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E582" w14:textId="77777777" w:rsidR="005268C8" w:rsidRDefault="005268C8" w:rsidP="002D7B4D">
      <w:pPr>
        <w:pStyle w:val="Addressee"/>
      </w:pPr>
    </w:p>
    <w:p w14:paraId="49025AE9" w14:textId="77777777" w:rsidR="005268C8" w:rsidRDefault="005268C8" w:rsidP="002D7B4D">
      <w:pPr>
        <w:pStyle w:val="Addressee"/>
      </w:pPr>
    </w:p>
    <w:p w14:paraId="7F8F8028" w14:textId="08E4B50D" w:rsidR="002F2179" w:rsidRPr="00B50660" w:rsidRDefault="004D4E48" w:rsidP="002D7B4D">
      <w:pPr>
        <w:pStyle w:val="Title1"/>
      </w:pPr>
      <w:r w:rsidRPr="00B50660">
        <w:t>Industrial Systems Optimization Program (ISOP)</w:t>
      </w:r>
    </w:p>
    <w:p w14:paraId="58B0EAEA" w14:textId="1D2E57EE" w:rsidR="00AE19A9" w:rsidRPr="00AE19A9" w:rsidRDefault="004D4E48" w:rsidP="00AE19A9">
      <w:pPr>
        <w:pStyle w:val="Title"/>
        <w:spacing w:after="600"/>
        <w:rPr>
          <w:color w:val="0070C0"/>
        </w:rPr>
      </w:pPr>
      <w:r w:rsidRPr="00553743">
        <w:rPr>
          <w:color w:val="0070C0"/>
        </w:rPr>
        <w:t>Implementation Plan</w:t>
      </w:r>
    </w:p>
    <w:p w14:paraId="156B2C53" w14:textId="07EE3697" w:rsidR="005268C8" w:rsidRPr="003E44DB" w:rsidRDefault="005268C8" w:rsidP="00B50660">
      <w:pPr>
        <w:rPr>
          <w:rFonts w:asciiTheme="majorHAnsi" w:hAnsiTheme="majorHAnsi" w:cstheme="majorHAnsi"/>
          <w:i/>
          <w:iCs/>
          <w:sz w:val="32"/>
          <w:szCs w:val="32"/>
        </w:rPr>
      </w:pPr>
      <w:r w:rsidRPr="003E44DB">
        <w:rPr>
          <w:rFonts w:asciiTheme="majorHAnsi" w:hAnsiTheme="majorHAnsi" w:cstheme="majorHAnsi"/>
          <w:i/>
          <w:iCs/>
          <w:sz w:val="32"/>
          <w:szCs w:val="32"/>
        </w:rPr>
        <w:t>Pacific Gas &amp; Electric Co.</w:t>
      </w:r>
    </w:p>
    <w:p w14:paraId="56B30C68" w14:textId="77777777" w:rsidR="002F2179" w:rsidRDefault="002F2179" w:rsidP="002D7B4D">
      <w:pPr>
        <w:pStyle w:val="Title1"/>
      </w:pPr>
    </w:p>
    <w:p w14:paraId="22C9713D" w14:textId="5B24C7DB" w:rsidR="00B857B9" w:rsidRDefault="00B857B9" w:rsidP="002D7B4D">
      <w:pPr>
        <w:pStyle w:val="Title1"/>
      </w:pPr>
    </w:p>
    <w:p w14:paraId="03BDA392" w14:textId="77777777" w:rsidR="00681E3B" w:rsidRDefault="00681E3B" w:rsidP="002D7B4D">
      <w:pPr>
        <w:pStyle w:val="Title1"/>
      </w:pPr>
    </w:p>
    <w:p w14:paraId="09FF1716" w14:textId="6751F6AC" w:rsidR="00B857B9" w:rsidRDefault="0078791E" w:rsidP="00D67F24">
      <w:r>
        <w:t>December</w:t>
      </w:r>
      <w:r w:rsidR="00B857B9">
        <w:t xml:space="preserve"> 2020</w:t>
      </w:r>
    </w:p>
    <w:p w14:paraId="3632AA22" w14:textId="63885D67" w:rsidR="00B857B9" w:rsidRDefault="00B857B9" w:rsidP="00D67F24">
      <w:r>
        <w:t xml:space="preserve">Version </w:t>
      </w:r>
      <w:r w:rsidR="0078791E">
        <w:t>2</w:t>
      </w:r>
    </w:p>
    <w:p w14:paraId="2DEFC866" w14:textId="4D685286" w:rsidR="002F2179" w:rsidRDefault="002F2179" w:rsidP="005D45C5">
      <w:pPr>
        <w:tabs>
          <w:tab w:val="left" w:pos="360"/>
        </w:tabs>
        <w:spacing w:after="200"/>
      </w:pPr>
      <w:r>
        <w:br w:type="page"/>
      </w:r>
    </w:p>
    <w:p w14:paraId="163E2287" w14:textId="77777777" w:rsidR="00BD0DB7" w:rsidRDefault="00BD0DB7" w:rsidP="005D45C5">
      <w:pPr>
        <w:tabs>
          <w:tab w:val="left" w:pos="360"/>
        </w:tabs>
        <w:sectPr w:rsidR="00BD0DB7" w:rsidSect="00D73B3A">
          <w:headerReference w:type="default" r:id="rId11"/>
          <w:footerReference w:type="default" r:id="rId12"/>
          <w:pgSz w:w="12240" w:h="15840"/>
          <w:pgMar w:top="2880" w:right="1440" w:bottom="1440" w:left="1440" w:header="720" w:footer="720" w:gutter="0"/>
          <w:cols w:space="720"/>
          <w:docGrid w:linePitch="360"/>
        </w:sectPr>
      </w:pPr>
    </w:p>
    <w:p w14:paraId="68BF5481" w14:textId="77777777" w:rsidR="001C42AA" w:rsidRDefault="001C42AA" w:rsidP="005D45C5">
      <w:pPr>
        <w:pStyle w:val="TOCHeading"/>
        <w:tabs>
          <w:tab w:val="left" w:pos="360"/>
        </w:tabs>
      </w:pPr>
      <w:r>
        <w:lastRenderedPageBreak/>
        <w:t>Table of Contents</w:t>
      </w:r>
    </w:p>
    <w:p w14:paraId="0F19D34D" w14:textId="779F575D" w:rsidR="00D36C0A" w:rsidRDefault="00D36C0A" w:rsidP="002D7B4D">
      <w:pPr>
        <w:pStyle w:val="TOC1"/>
        <w:rPr>
          <w:rFonts w:eastAsiaTheme="minorEastAsia" w:cstheme="minorBidi"/>
          <w:color w:val="auto"/>
          <w:sz w:val="22"/>
        </w:rPr>
      </w:pPr>
      <w:r>
        <w:rPr>
          <w:shd w:val="clear" w:color="auto" w:fill="E6E6E6"/>
        </w:rPr>
        <w:fldChar w:fldCharType="begin"/>
      </w:r>
    </w:p>
    <w:p w14:paraId="7EC9204B" w14:textId="286655DE" w:rsidR="00D026A1" w:rsidRDefault="00486A75" w:rsidP="002D7B4D">
      <w:pPr>
        <w:pStyle w:val="TOC1"/>
        <w:rPr>
          <w:rFonts w:eastAsiaTheme="minorEastAsia" w:cstheme="minorBidi"/>
          <w:color w:val="auto"/>
          <w:sz w:val="22"/>
        </w:rPr>
      </w:pPr>
      <w:sdt>
        <w:sdtPr>
          <w:rPr>
            <w:b/>
            <w:color w:val="2B579A"/>
            <w:shd w:val="clear" w:color="auto" w:fill="E6E6E6"/>
          </w:rPr>
          <w:id w:val="846060504"/>
          <w:docPartObj>
            <w:docPartGallery w:val="Custom Table of Contents"/>
            <w:docPartUnique/>
          </w:docPartObj>
        </w:sdtPr>
        <w:sdtEndPr/>
        <w:sdtContent>
          <w:r w:rsidR="00D36C0A">
            <w:instrText xml:space="preserve"> TOC \o "1-2" \h \z \u </w:instrText>
          </w:r>
          <w:r w:rsidR="00D36C0A">
            <w:rPr>
              <w:b/>
              <w:color w:val="2B579A"/>
              <w:shd w:val="clear" w:color="auto" w:fill="E6E6E6"/>
            </w:rPr>
            <w:fldChar w:fldCharType="separate"/>
          </w:r>
        </w:sdtContent>
      </w:sdt>
      <w:hyperlink w:anchor="_Toc54955096" w:history="1">
        <w:r w:rsidR="00D026A1" w:rsidRPr="0064712E">
          <w:rPr>
            <w:rStyle w:val="Hyperlink"/>
          </w:rPr>
          <w:t>Program Budget and Savings</w:t>
        </w:r>
        <w:r w:rsidR="00D026A1">
          <w:rPr>
            <w:webHidden/>
          </w:rPr>
          <w:tab/>
        </w:r>
        <w:r w:rsidR="00D026A1">
          <w:rPr>
            <w:webHidden/>
          </w:rPr>
          <w:fldChar w:fldCharType="begin"/>
        </w:r>
        <w:r w:rsidR="00D026A1">
          <w:rPr>
            <w:webHidden/>
          </w:rPr>
          <w:instrText xml:space="preserve"> PAGEREF _Toc54955096 \h </w:instrText>
        </w:r>
        <w:r w:rsidR="00D026A1">
          <w:rPr>
            <w:webHidden/>
          </w:rPr>
        </w:r>
        <w:r w:rsidR="00D026A1">
          <w:rPr>
            <w:webHidden/>
          </w:rPr>
          <w:fldChar w:fldCharType="separate"/>
        </w:r>
        <w:r w:rsidR="00A020D4">
          <w:rPr>
            <w:webHidden/>
          </w:rPr>
          <w:t>1</w:t>
        </w:r>
        <w:r w:rsidR="00D026A1">
          <w:rPr>
            <w:webHidden/>
          </w:rPr>
          <w:fldChar w:fldCharType="end"/>
        </w:r>
      </w:hyperlink>
    </w:p>
    <w:p w14:paraId="68BF9E1A" w14:textId="24071752" w:rsidR="00D026A1" w:rsidRDefault="00486A75" w:rsidP="002D7B4D">
      <w:pPr>
        <w:pStyle w:val="TOC1"/>
        <w:rPr>
          <w:rFonts w:eastAsiaTheme="minorEastAsia" w:cstheme="minorBidi"/>
          <w:color w:val="auto"/>
          <w:sz w:val="22"/>
        </w:rPr>
      </w:pPr>
      <w:hyperlink w:anchor="_Toc54955107" w:history="1">
        <w:r w:rsidR="00D026A1" w:rsidRPr="0064712E">
          <w:rPr>
            <w:rStyle w:val="Hyperlink"/>
          </w:rPr>
          <w:t>Implementation Plan Narrative</w:t>
        </w:r>
        <w:r w:rsidR="00D026A1">
          <w:rPr>
            <w:webHidden/>
          </w:rPr>
          <w:tab/>
        </w:r>
        <w:r w:rsidR="00D026A1">
          <w:rPr>
            <w:webHidden/>
          </w:rPr>
          <w:fldChar w:fldCharType="begin"/>
        </w:r>
        <w:r w:rsidR="00D026A1">
          <w:rPr>
            <w:webHidden/>
          </w:rPr>
          <w:instrText xml:space="preserve"> PAGEREF _Toc54955107 \h </w:instrText>
        </w:r>
        <w:r w:rsidR="00D026A1">
          <w:rPr>
            <w:webHidden/>
          </w:rPr>
        </w:r>
        <w:r w:rsidR="00D026A1">
          <w:rPr>
            <w:webHidden/>
          </w:rPr>
          <w:fldChar w:fldCharType="separate"/>
        </w:r>
        <w:r w:rsidR="00A020D4">
          <w:rPr>
            <w:webHidden/>
          </w:rPr>
          <w:t>3</w:t>
        </w:r>
        <w:r w:rsidR="00D026A1">
          <w:rPr>
            <w:webHidden/>
          </w:rPr>
          <w:fldChar w:fldCharType="end"/>
        </w:r>
      </w:hyperlink>
    </w:p>
    <w:p w14:paraId="54B2F6C9" w14:textId="58D48866" w:rsidR="00D026A1" w:rsidRDefault="00486A75" w:rsidP="002D7B4D">
      <w:pPr>
        <w:pStyle w:val="TOC1"/>
        <w:rPr>
          <w:rFonts w:eastAsiaTheme="minorEastAsia" w:cstheme="minorBidi"/>
          <w:color w:val="auto"/>
          <w:sz w:val="22"/>
        </w:rPr>
      </w:pPr>
      <w:hyperlink w:anchor="_Toc54955119" w:history="1">
        <w:r w:rsidR="00D026A1" w:rsidRPr="0064712E">
          <w:rPr>
            <w:rStyle w:val="Hyperlink"/>
          </w:rPr>
          <w:t>Supporting Documents</w:t>
        </w:r>
        <w:r w:rsidR="00D026A1">
          <w:rPr>
            <w:webHidden/>
          </w:rPr>
          <w:tab/>
        </w:r>
        <w:r w:rsidR="00D026A1">
          <w:rPr>
            <w:webHidden/>
          </w:rPr>
          <w:fldChar w:fldCharType="begin"/>
        </w:r>
        <w:r w:rsidR="00D026A1">
          <w:rPr>
            <w:webHidden/>
          </w:rPr>
          <w:instrText xml:space="preserve"> PAGEREF _Toc54955119 \h </w:instrText>
        </w:r>
        <w:r w:rsidR="00D026A1">
          <w:rPr>
            <w:webHidden/>
          </w:rPr>
        </w:r>
        <w:r w:rsidR="00D026A1">
          <w:rPr>
            <w:webHidden/>
          </w:rPr>
          <w:fldChar w:fldCharType="separate"/>
        </w:r>
        <w:r w:rsidR="00A020D4">
          <w:rPr>
            <w:webHidden/>
          </w:rPr>
          <w:t>11</w:t>
        </w:r>
        <w:r w:rsidR="00D026A1">
          <w:rPr>
            <w:webHidden/>
          </w:rPr>
          <w:fldChar w:fldCharType="end"/>
        </w:r>
      </w:hyperlink>
    </w:p>
    <w:p w14:paraId="1F03952B" w14:textId="4EB94A26" w:rsidR="00D36C0A" w:rsidRDefault="00D36C0A" w:rsidP="005D45C5">
      <w:pPr>
        <w:pStyle w:val="DocTitle"/>
        <w:tabs>
          <w:tab w:val="left" w:pos="360"/>
        </w:tabs>
        <w:sectPr w:rsidR="00D36C0A" w:rsidSect="00006465">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r>
        <w:rPr>
          <w:color w:val="2B579A"/>
          <w:shd w:val="clear" w:color="auto" w:fill="E6E6E6"/>
        </w:rPr>
        <w:fldChar w:fldCharType="end"/>
      </w:r>
    </w:p>
    <w:p w14:paraId="37D3B67A" w14:textId="77777777" w:rsidR="00EB16D2" w:rsidRDefault="00EB16D2" w:rsidP="005F1770">
      <w:pPr>
        <w:pStyle w:val="Heading1"/>
        <w:numPr>
          <w:ilvl w:val="0"/>
          <w:numId w:val="0"/>
        </w:numPr>
        <w:tabs>
          <w:tab w:val="left" w:pos="360"/>
        </w:tabs>
        <w:spacing w:before="0"/>
      </w:pPr>
      <w:bookmarkStart w:id="0" w:name="_Toc54955096"/>
      <w:r>
        <w:lastRenderedPageBreak/>
        <w:t>Program Budget and Savings</w:t>
      </w:r>
      <w:bookmarkEnd w:id="0"/>
    </w:p>
    <w:p w14:paraId="19699162" w14:textId="35AA207D" w:rsidR="00EB16D2" w:rsidRPr="00E46DDC" w:rsidRDefault="00EB16D2" w:rsidP="005D45C5">
      <w:pPr>
        <w:pStyle w:val="Heading2"/>
        <w:tabs>
          <w:tab w:val="left" w:pos="360"/>
        </w:tabs>
      </w:pPr>
      <w:bookmarkStart w:id="1" w:name="_Toc54955097"/>
      <w:r w:rsidRPr="00E46DDC">
        <w:t>Program and/or Sub-Program Name</w:t>
      </w:r>
      <w:bookmarkEnd w:id="1"/>
    </w:p>
    <w:p w14:paraId="5AAD23CA" w14:textId="664E338F" w:rsidR="0010506B" w:rsidRDefault="0010506B" w:rsidP="005D45C5">
      <w:pPr>
        <w:tabs>
          <w:tab w:val="left" w:pos="360"/>
        </w:tabs>
        <w:ind w:left="360"/>
      </w:pPr>
      <w:r w:rsidRPr="0010506B">
        <w:t>Industrial Systems Optimization Program (ISOP)</w:t>
      </w:r>
    </w:p>
    <w:p w14:paraId="56B735B1" w14:textId="77777777" w:rsidR="006C37FC" w:rsidRPr="00185489" w:rsidRDefault="00EB16D2" w:rsidP="006C37FC">
      <w:pPr>
        <w:pStyle w:val="Heading2"/>
        <w:tabs>
          <w:tab w:val="left" w:pos="360"/>
        </w:tabs>
        <w:rPr>
          <w:rStyle w:val="CommentReference"/>
          <w:color w:val="284B7B" w:themeColor="accent3" w:themeShade="80"/>
          <w:sz w:val="22"/>
        </w:rPr>
      </w:pPr>
      <w:bookmarkStart w:id="2" w:name="_Toc54955098"/>
      <w:r w:rsidRPr="0010506B">
        <w:t>Program / Sub-Program ID number</w:t>
      </w:r>
      <w:bookmarkEnd w:id="2"/>
    </w:p>
    <w:p w14:paraId="545104FC" w14:textId="5F6C8FDF" w:rsidR="0010506B" w:rsidRDefault="006C37FC" w:rsidP="006C37FC">
      <w:pPr>
        <w:ind w:left="360"/>
      </w:pPr>
      <w:r>
        <w:t>PGE_Ind_003</w:t>
      </w:r>
    </w:p>
    <w:p w14:paraId="19B58925" w14:textId="54036E52" w:rsidR="00EB16D2" w:rsidRDefault="00EB16D2" w:rsidP="005D45C5">
      <w:pPr>
        <w:pStyle w:val="Heading2"/>
        <w:tabs>
          <w:tab w:val="left" w:pos="360"/>
        </w:tabs>
      </w:pPr>
      <w:bookmarkStart w:id="3" w:name="_Toc54955099"/>
      <w:r w:rsidRPr="00AD0270">
        <w:t>Program / Sub-program Budget Table</w:t>
      </w:r>
      <w:bookmarkEnd w:id="3"/>
    </w:p>
    <w:p w14:paraId="5FD890B9" w14:textId="4209340A" w:rsidR="00E553E6" w:rsidRDefault="008F790A" w:rsidP="008F790A">
      <w:pPr>
        <w:ind w:left="360"/>
      </w:pPr>
      <w:r>
        <w:t>Table 1 below shows the cumulative 3-year program budget.</w:t>
      </w:r>
    </w:p>
    <w:p w14:paraId="1A39DCAB" w14:textId="77777777" w:rsidR="008F790A" w:rsidRPr="00605024" w:rsidRDefault="008F790A" w:rsidP="00185489">
      <w:pPr>
        <w:ind w:left="360"/>
      </w:pPr>
    </w:p>
    <w:p w14:paraId="22AC240C" w14:textId="1966E517" w:rsidR="00E553E6" w:rsidRPr="00E553E6" w:rsidRDefault="00E553E6" w:rsidP="00E553E6">
      <w:pPr>
        <w:pStyle w:val="Caption"/>
        <w:ind w:left="360"/>
      </w:pPr>
      <w:r>
        <w:t xml:space="preserve">Table </w:t>
      </w:r>
      <w:r>
        <w:fldChar w:fldCharType="begin"/>
      </w:r>
      <w:r>
        <w:instrText>SEQ Table \* ARABIC</w:instrText>
      </w:r>
      <w:r>
        <w:fldChar w:fldCharType="separate"/>
      </w:r>
      <w:r w:rsidR="00A020D4">
        <w:rPr>
          <w:noProof/>
        </w:rPr>
        <w:t>1</w:t>
      </w:r>
      <w:r>
        <w:fldChar w:fldCharType="end"/>
      </w:r>
      <w:r>
        <w:t>. Program Budget</w:t>
      </w:r>
    </w:p>
    <w:tbl>
      <w:tblPr>
        <w:tblStyle w:val="BlueGreyTable"/>
        <w:tblW w:w="4810" w:type="pct"/>
        <w:tblInd w:w="355" w:type="dxa"/>
        <w:tblLook w:val="06A0" w:firstRow="1" w:lastRow="0" w:firstColumn="1" w:lastColumn="0" w:noHBand="1" w:noVBand="1"/>
      </w:tblPr>
      <w:tblGrid>
        <w:gridCol w:w="1621"/>
        <w:gridCol w:w="1376"/>
        <w:gridCol w:w="1499"/>
        <w:gridCol w:w="1499"/>
        <w:gridCol w:w="1500"/>
        <w:gridCol w:w="1500"/>
      </w:tblGrid>
      <w:tr w:rsidR="004F4429" w:rsidRPr="00A4602B" w14:paraId="2424AE23" w14:textId="77777777" w:rsidTr="00932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pct"/>
            <w:vMerge w:val="restart"/>
            <w:shd w:val="clear" w:color="auto" w:fill="135E83" w:themeFill="accent1" w:themeFillShade="80"/>
          </w:tcPr>
          <w:p w14:paraId="7D94D7E7" w14:textId="1F3A994C" w:rsidR="004F4429" w:rsidRDefault="004F4429" w:rsidP="005D45C5">
            <w:pPr>
              <w:pStyle w:val="BodyText"/>
              <w:tabs>
                <w:tab w:val="left" w:pos="360"/>
              </w:tabs>
              <w:jc w:val="center"/>
              <w:rPr>
                <w:sz w:val="22"/>
                <w:szCs w:val="24"/>
              </w:rPr>
            </w:pPr>
            <w:r>
              <w:rPr>
                <w:sz w:val="22"/>
                <w:szCs w:val="24"/>
              </w:rPr>
              <w:t>Administration</w:t>
            </w:r>
          </w:p>
        </w:tc>
        <w:tc>
          <w:tcPr>
            <w:tcW w:w="765" w:type="pct"/>
            <w:vMerge w:val="restart"/>
            <w:shd w:val="clear" w:color="auto" w:fill="135E83" w:themeFill="accent1" w:themeFillShade="80"/>
          </w:tcPr>
          <w:p w14:paraId="522BC5B5" w14:textId="1D111CED" w:rsidR="004F4429" w:rsidRDefault="004F4429"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Marketing &amp; Outreach</w:t>
            </w:r>
          </w:p>
        </w:tc>
        <w:tc>
          <w:tcPr>
            <w:tcW w:w="2500" w:type="pct"/>
            <w:gridSpan w:val="3"/>
            <w:shd w:val="clear" w:color="auto" w:fill="135E83" w:themeFill="accent1" w:themeFillShade="80"/>
          </w:tcPr>
          <w:p w14:paraId="0FEEF12F" w14:textId="3B6124DC" w:rsidR="004F4429" w:rsidRDefault="004F4429"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Direct Implementation</w:t>
            </w:r>
          </w:p>
        </w:tc>
        <w:tc>
          <w:tcPr>
            <w:tcW w:w="835" w:type="pct"/>
            <w:vMerge w:val="restart"/>
            <w:shd w:val="clear" w:color="auto" w:fill="135E83" w:themeFill="accent1" w:themeFillShade="80"/>
          </w:tcPr>
          <w:p w14:paraId="3A901D50" w14:textId="34EC7D40" w:rsidR="004F4429" w:rsidRPr="00CA50F4" w:rsidRDefault="004F4429"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sz w:val="22"/>
                <w:szCs w:val="24"/>
              </w:rPr>
            </w:pPr>
            <w:r>
              <w:rPr>
                <w:sz w:val="22"/>
                <w:szCs w:val="24"/>
              </w:rPr>
              <w:t>Total</w:t>
            </w:r>
          </w:p>
        </w:tc>
      </w:tr>
      <w:tr w:rsidR="004F4429" w:rsidRPr="00A4602B" w14:paraId="2E83BCF5" w14:textId="77777777" w:rsidTr="00932F53">
        <w:tc>
          <w:tcPr>
            <w:cnfStyle w:val="001000000000" w:firstRow="0" w:lastRow="0" w:firstColumn="1" w:lastColumn="0" w:oddVBand="0" w:evenVBand="0" w:oddHBand="0" w:evenHBand="0" w:firstRowFirstColumn="0" w:firstRowLastColumn="0" w:lastRowFirstColumn="0" w:lastRowLastColumn="0"/>
            <w:tcW w:w="901" w:type="pct"/>
            <w:vMerge/>
            <w:shd w:val="clear" w:color="auto" w:fill="135E83" w:themeFill="accent1" w:themeFillShade="80"/>
          </w:tcPr>
          <w:p w14:paraId="18F211A6" w14:textId="750983D7" w:rsidR="004F4429" w:rsidRPr="00CA50F4" w:rsidRDefault="004F4429" w:rsidP="00CE71BD">
            <w:pPr>
              <w:pStyle w:val="BodyText"/>
              <w:tabs>
                <w:tab w:val="left" w:pos="360"/>
              </w:tabs>
              <w:jc w:val="center"/>
              <w:rPr>
                <w:sz w:val="22"/>
                <w:szCs w:val="24"/>
              </w:rPr>
            </w:pPr>
          </w:p>
        </w:tc>
        <w:tc>
          <w:tcPr>
            <w:tcW w:w="765" w:type="pct"/>
            <w:vMerge/>
            <w:shd w:val="clear" w:color="auto" w:fill="135E83" w:themeFill="accent1" w:themeFillShade="80"/>
          </w:tcPr>
          <w:p w14:paraId="199BB9BD" w14:textId="72B3E7B6" w:rsidR="004F4429" w:rsidRPr="00CA50F4" w:rsidRDefault="004F4429"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 w:val="22"/>
                <w:szCs w:val="24"/>
              </w:rPr>
            </w:pPr>
          </w:p>
        </w:tc>
        <w:tc>
          <w:tcPr>
            <w:tcW w:w="833" w:type="pct"/>
            <w:shd w:val="clear" w:color="auto" w:fill="135E83" w:themeFill="accent1" w:themeFillShade="80"/>
          </w:tcPr>
          <w:p w14:paraId="2DCFB02F" w14:textId="408116C3" w:rsidR="004F4429" w:rsidRPr="00A9263D" w:rsidRDefault="004F4429"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4"/>
              </w:rPr>
            </w:pPr>
            <w:r w:rsidRPr="00A9263D">
              <w:rPr>
                <w:b/>
                <w:bCs/>
                <w:color w:val="FFFFFF" w:themeColor="background1"/>
                <w:sz w:val="22"/>
                <w:szCs w:val="24"/>
              </w:rPr>
              <w:t>Incentive</w:t>
            </w:r>
          </w:p>
        </w:tc>
        <w:tc>
          <w:tcPr>
            <w:tcW w:w="833" w:type="pct"/>
            <w:shd w:val="clear" w:color="auto" w:fill="135E83" w:themeFill="accent1" w:themeFillShade="80"/>
          </w:tcPr>
          <w:p w14:paraId="3BBAF5F8" w14:textId="4D91FB62" w:rsidR="004F4429" w:rsidRPr="00CE71BD" w:rsidRDefault="004F4429"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4"/>
              </w:rPr>
            </w:pPr>
            <w:r w:rsidRPr="00A9263D">
              <w:rPr>
                <w:b/>
                <w:bCs/>
                <w:color w:val="FFFFFF" w:themeColor="background1"/>
                <w:sz w:val="22"/>
                <w:szCs w:val="24"/>
              </w:rPr>
              <w:t xml:space="preserve">Non-Incentive </w:t>
            </w:r>
          </w:p>
        </w:tc>
        <w:tc>
          <w:tcPr>
            <w:tcW w:w="833" w:type="pct"/>
            <w:shd w:val="clear" w:color="auto" w:fill="135E83" w:themeFill="accent1" w:themeFillShade="80"/>
          </w:tcPr>
          <w:p w14:paraId="3DC69E21" w14:textId="2DD767EF" w:rsidR="004F4429" w:rsidRPr="00CE71BD" w:rsidRDefault="004F4429"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CE71BD">
              <w:rPr>
                <w:b/>
                <w:bCs/>
                <w:color w:val="FFFFFF" w:themeColor="background1"/>
                <w:sz w:val="22"/>
                <w:szCs w:val="24"/>
              </w:rPr>
              <w:t>Performance Reserve</w:t>
            </w:r>
          </w:p>
        </w:tc>
        <w:tc>
          <w:tcPr>
            <w:tcW w:w="835" w:type="pct"/>
            <w:vMerge/>
            <w:shd w:val="clear" w:color="auto" w:fill="135E83" w:themeFill="accent1" w:themeFillShade="80"/>
          </w:tcPr>
          <w:p w14:paraId="13A6CC73" w14:textId="73AF8FB8" w:rsidR="004F4429" w:rsidRPr="00CA50F4" w:rsidRDefault="004F4429"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 w:val="22"/>
                <w:szCs w:val="24"/>
              </w:rPr>
            </w:pPr>
          </w:p>
        </w:tc>
      </w:tr>
      <w:tr w:rsidR="004F4429" w:rsidRPr="00A4602B" w14:paraId="1B7F3F74" w14:textId="77777777" w:rsidTr="004F4429">
        <w:tc>
          <w:tcPr>
            <w:cnfStyle w:val="001000000000" w:firstRow="0" w:lastRow="0" w:firstColumn="1" w:lastColumn="0" w:oddVBand="0" w:evenVBand="0" w:oddHBand="0" w:evenHBand="0" w:firstRowFirstColumn="0" w:firstRowLastColumn="0" w:lastRowFirstColumn="0" w:lastRowLastColumn="0"/>
            <w:tcW w:w="901" w:type="pct"/>
            <w:shd w:val="clear" w:color="auto" w:fill="auto"/>
          </w:tcPr>
          <w:p w14:paraId="0EF4CD43" w14:textId="244BB252" w:rsidR="00CE71BD" w:rsidRPr="007D3B4A" w:rsidRDefault="00CE71BD" w:rsidP="00CE71BD">
            <w:pPr>
              <w:pStyle w:val="BodyText"/>
              <w:tabs>
                <w:tab w:val="left" w:pos="360"/>
              </w:tabs>
              <w:jc w:val="center"/>
              <w:rPr>
                <w:szCs w:val="20"/>
              </w:rPr>
            </w:pPr>
            <w:r>
              <w:rPr>
                <w:bCs/>
                <w:szCs w:val="20"/>
              </w:rPr>
              <w:t>$1,151,867</w:t>
            </w:r>
          </w:p>
        </w:tc>
        <w:tc>
          <w:tcPr>
            <w:tcW w:w="765" w:type="pct"/>
          </w:tcPr>
          <w:p w14:paraId="6073428A" w14:textId="51319A45" w:rsidR="00CE71BD" w:rsidRPr="007D3B4A" w:rsidRDefault="00CE71BD"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Pr>
                <w:szCs w:val="20"/>
              </w:rPr>
              <w:t>$764,656</w:t>
            </w:r>
          </w:p>
        </w:tc>
        <w:tc>
          <w:tcPr>
            <w:tcW w:w="833" w:type="pct"/>
          </w:tcPr>
          <w:p w14:paraId="04BD9FE7" w14:textId="7CE0E557" w:rsidR="00CE71BD" w:rsidRPr="007D3B4A" w:rsidRDefault="00CE71BD"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Pr>
                <w:szCs w:val="20"/>
              </w:rPr>
              <w:t>$6,114,685</w:t>
            </w:r>
          </w:p>
        </w:tc>
        <w:tc>
          <w:tcPr>
            <w:tcW w:w="833" w:type="pct"/>
          </w:tcPr>
          <w:p w14:paraId="30448767" w14:textId="7C9861C6" w:rsidR="00CE71BD" w:rsidRDefault="00CE71BD"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Pr>
                <w:szCs w:val="20"/>
              </w:rPr>
              <w:t>$4,887,596</w:t>
            </w:r>
          </w:p>
        </w:tc>
        <w:tc>
          <w:tcPr>
            <w:tcW w:w="833" w:type="pct"/>
          </w:tcPr>
          <w:p w14:paraId="480BDCD0" w14:textId="2EC41B40" w:rsidR="00CE71BD" w:rsidRPr="00CE71BD" w:rsidRDefault="00CE71BD"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sidRPr="00CE71BD">
              <w:rPr>
                <w:szCs w:val="20"/>
              </w:rPr>
              <w:t>$2,398,128</w:t>
            </w:r>
          </w:p>
        </w:tc>
        <w:tc>
          <w:tcPr>
            <w:tcW w:w="835" w:type="pct"/>
          </w:tcPr>
          <w:p w14:paraId="79AC0D59" w14:textId="288F8E21" w:rsidR="00CE71BD" w:rsidRPr="002642D4" w:rsidRDefault="00275BEF" w:rsidP="00CE71BD">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$15,316,931</w:t>
            </w:r>
          </w:p>
        </w:tc>
      </w:tr>
    </w:tbl>
    <w:p w14:paraId="430E5C27" w14:textId="77777777" w:rsidR="00A12902" w:rsidRPr="0010506B" w:rsidRDefault="00A12902" w:rsidP="005D45C5">
      <w:pPr>
        <w:tabs>
          <w:tab w:val="left" w:pos="360"/>
        </w:tabs>
      </w:pPr>
    </w:p>
    <w:p w14:paraId="5C219ABD" w14:textId="467858B2" w:rsidR="00EB16D2" w:rsidRDefault="00EB16D2" w:rsidP="005D45C5">
      <w:pPr>
        <w:pStyle w:val="Heading2"/>
        <w:tabs>
          <w:tab w:val="left" w:pos="360"/>
        </w:tabs>
      </w:pPr>
      <w:bookmarkStart w:id="4" w:name="_Toc54955100"/>
      <w:r w:rsidRPr="0010506B">
        <w:t>Program / Sub-program Gross Impacts Table</w:t>
      </w:r>
      <w:bookmarkEnd w:id="4"/>
    </w:p>
    <w:p w14:paraId="5148F1F8" w14:textId="3CB34504" w:rsidR="004E44C1" w:rsidRDefault="004E44C1" w:rsidP="005D45C5">
      <w:pPr>
        <w:pStyle w:val="BodyText"/>
        <w:tabs>
          <w:tab w:val="left" w:pos="360"/>
        </w:tabs>
      </w:pPr>
    </w:p>
    <w:p w14:paraId="1B331B10" w14:textId="0CA9BA27" w:rsidR="00D210AC" w:rsidRDefault="00D210AC" w:rsidP="005D45C5">
      <w:pPr>
        <w:tabs>
          <w:tab w:val="left" w:pos="360"/>
        </w:tabs>
        <w:ind w:left="360"/>
      </w:pPr>
      <w:r>
        <w:t xml:space="preserve">Projected </w:t>
      </w:r>
      <w:r w:rsidR="006A422E">
        <w:t xml:space="preserve">cumulative 3-year </w:t>
      </w:r>
      <w:r>
        <w:t xml:space="preserve">program savings impacts are shown </w:t>
      </w:r>
      <w:r w:rsidR="00E553E6">
        <w:t>in Table 2 below</w:t>
      </w:r>
      <w:r>
        <w:t>. Actual savings are subject to change.</w:t>
      </w:r>
    </w:p>
    <w:p w14:paraId="1D1647A7" w14:textId="0FA84F69" w:rsidR="00D210AC" w:rsidRDefault="00D210AC" w:rsidP="005D45C5">
      <w:pPr>
        <w:tabs>
          <w:tab w:val="left" w:pos="360"/>
        </w:tabs>
      </w:pPr>
    </w:p>
    <w:p w14:paraId="46FB2B16" w14:textId="03C20F4B" w:rsidR="00E553E6" w:rsidRPr="004E44C1" w:rsidRDefault="00E553E6" w:rsidP="00E553E6">
      <w:pPr>
        <w:pStyle w:val="Caption"/>
        <w:ind w:firstLine="360"/>
      </w:pPr>
      <w:r>
        <w:t xml:space="preserve">Table </w:t>
      </w:r>
      <w:r>
        <w:fldChar w:fldCharType="begin"/>
      </w:r>
      <w:r>
        <w:instrText>SEQ Table \* ARABIC</w:instrText>
      </w:r>
      <w:r>
        <w:fldChar w:fldCharType="separate"/>
      </w:r>
      <w:r w:rsidR="00A020D4">
        <w:rPr>
          <w:noProof/>
        </w:rPr>
        <w:t>2</w:t>
      </w:r>
      <w:r>
        <w:fldChar w:fldCharType="end"/>
      </w:r>
      <w:r>
        <w:t>. Program Gross Impacts</w:t>
      </w:r>
    </w:p>
    <w:tbl>
      <w:tblPr>
        <w:tblStyle w:val="BlueGreyTable"/>
        <w:tblW w:w="4810" w:type="pct"/>
        <w:tblInd w:w="355" w:type="dxa"/>
        <w:tblLook w:val="06A0" w:firstRow="1" w:lastRow="0" w:firstColumn="1" w:lastColumn="0" w:noHBand="1" w:noVBand="1"/>
      </w:tblPr>
      <w:tblGrid>
        <w:gridCol w:w="2998"/>
        <w:gridCol w:w="2998"/>
        <w:gridCol w:w="2999"/>
      </w:tblGrid>
      <w:tr w:rsidR="00803A6B" w14:paraId="565988D7" w14:textId="77777777" w:rsidTr="00932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135E83" w:themeFill="accent1" w:themeFillShade="80"/>
          </w:tcPr>
          <w:p w14:paraId="127C567E" w14:textId="754683E1" w:rsidR="00803A6B" w:rsidRDefault="00803A6B" w:rsidP="005D45C5">
            <w:pPr>
              <w:pStyle w:val="BodyText"/>
              <w:tabs>
                <w:tab w:val="left" w:pos="360"/>
              </w:tabs>
              <w:jc w:val="center"/>
              <w:rPr>
                <w:b w:val="0"/>
                <w:sz w:val="22"/>
                <w:szCs w:val="24"/>
              </w:rPr>
            </w:pPr>
            <w:r>
              <w:rPr>
                <w:sz w:val="22"/>
                <w:szCs w:val="24"/>
              </w:rPr>
              <w:t>Electric Energy</w:t>
            </w:r>
            <w:r w:rsidR="00636CDD">
              <w:rPr>
                <w:sz w:val="22"/>
                <w:szCs w:val="24"/>
              </w:rPr>
              <w:t xml:space="preserve"> Savings</w:t>
            </w:r>
          </w:p>
          <w:p w14:paraId="1796FE29" w14:textId="1850D8FC" w:rsidR="00803A6B" w:rsidRPr="00636CDD" w:rsidRDefault="00636CDD" w:rsidP="005D45C5">
            <w:pPr>
              <w:pStyle w:val="BodyText"/>
              <w:tabs>
                <w:tab w:val="left" w:pos="360"/>
              </w:tabs>
              <w:jc w:val="center"/>
              <w:rPr>
                <w:b w:val="0"/>
                <w:bCs/>
                <w:sz w:val="22"/>
                <w:szCs w:val="24"/>
              </w:rPr>
            </w:pPr>
            <w:r w:rsidRPr="00636CDD">
              <w:rPr>
                <w:b w:val="0"/>
                <w:bCs/>
              </w:rPr>
              <w:t>(kWh)</w:t>
            </w:r>
          </w:p>
        </w:tc>
        <w:tc>
          <w:tcPr>
            <w:tcW w:w="1666" w:type="pct"/>
            <w:shd w:val="clear" w:color="auto" w:fill="135E83" w:themeFill="accent1" w:themeFillShade="80"/>
          </w:tcPr>
          <w:p w14:paraId="04660BB3" w14:textId="7A4F33C6" w:rsidR="00803A6B" w:rsidRDefault="00803A6B"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b w:val="0"/>
                <w:sz w:val="22"/>
                <w:szCs w:val="24"/>
              </w:rPr>
            </w:pPr>
            <w:r>
              <w:rPr>
                <w:sz w:val="22"/>
                <w:szCs w:val="24"/>
              </w:rPr>
              <w:t>Electric Demand</w:t>
            </w:r>
            <w:r w:rsidR="00636CDD">
              <w:rPr>
                <w:sz w:val="22"/>
                <w:szCs w:val="24"/>
              </w:rPr>
              <w:t xml:space="preserve"> Savings</w:t>
            </w:r>
          </w:p>
          <w:p w14:paraId="16A12CE9" w14:textId="5B1CFEB5" w:rsidR="00803A6B" w:rsidRPr="00636CDD" w:rsidRDefault="00636CDD"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b w:val="0"/>
                <w:bCs/>
                <w:sz w:val="22"/>
                <w:szCs w:val="24"/>
              </w:rPr>
            </w:pPr>
            <w:r w:rsidRPr="00636CDD">
              <w:rPr>
                <w:b w:val="0"/>
                <w:bCs/>
              </w:rPr>
              <w:t>(kW)</w:t>
            </w:r>
          </w:p>
        </w:tc>
        <w:tc>
          <w:tcPr>
            <w:tcW w:w="1667" w:type="pct"/>
            <w:shd w:val="clear" w:color="auto" w:fill="135E83" w:themeFill="accent1" w:themeFillShade="80"/>
          </w:tcPr>
          <w:p w14:paraId="5C6181AA" w14:textId="667552AA" w:rsidR="00803A6B" w:rsidRDefault="00803A6B"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b w:val="0"/>
                <w:sz w:val="22"/>
                <w:szCs w:val="24"/>
              </w:rPr>
            </w:pPr>
            <w:r>
              <w:rPr>
                <w:sz w:val="22"/>
                <w:szCs w:val="24"/>
              </w:rPr>
              <w:t>Natural Gas</w:t>
            </w:r>
            <w:r w:rsidR="00636CDD">
              <w:rPr>
                <w:sz w:val="22"/>
                <w:szCs w:val="24"/>
              </w:rPr>
              <w:t xml:space="preserve"> Savings</w:t>
            </w:r>
          </w:p>
          <w:p w14:paraId="40449B18" w14:textId="59A9CDE3" w:rsidR="00803A6B" w:rsidRPr="00636CDD" w:rsidRDefault="00636CDD" w:rsidP="005D45C5">
            <w:pPr>
              <w:pStyle w:val="BodyText"/>
              <w:tabs>
                <w:tab w:val="left" w:pos="360"/>
              </w:tabs>
              <w:jc w:val="center"/>
              <w:cnfStyle w:val="100000000000" w:firstRow="1" w:lastRow="0" w:firstColumn="0" w:lastColumn="0" w:oddVBand="0" w:evenVBand="0" w:oddHBand="0" w:evenHBand="0" w:firstRowFirstColumn="0" w:firstRowLastColumn="0" w:lastRowFirstColumn="0" w:lastRowLastColumn="0"/>
              <w:rPr>
                <w:b w:val="0"/>
                <w:bCs/>
                <w:sz w:val="22"/>
                <w:szCs w:val="24"/>
              </w:rPr>
            </w:pPr>
            <w:r w:rsidRPr="00636CDD">
              <w:rPr>
                <w:b w:val="0"/>
                <w:bCs/>
              </w:rPr>
              <w:t>(</w:t>
            </w:r>
            <w:proofErr w:type="spellStart"/>
            <w:r w:rsidRPr="00636CDD">
              <w:rPr>
                <w:b w:val="0"/>
                <w:bCs/>
              </w:rPr>
              <w:t>Therms</w:t>
            </w:r>
            <w:proofErr w:type="spellEnd"/>
            <w:r w:rsidRPr="00636CDD">
              <w:rPr>
                <w:b w:val="0"/>
                <w:bCs/>
              </w:rPr>
              <w:t>)</w:t>
            </w:r>
          </w:p>
        </w:tc>
      </w:tr>
      <w:tr w:rsidR="00803A6B" w:rsidRPr="00A4602B" w14:paraId="001573A3" w14:textId="77777777" w:rsidTr="00803A6B">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0B50CD7E" w14:textId="64E88F01" w:rsidR="00803A6B" w:rsidRPr="00FA5DF0" w:rsidRDefault="00803A6B" w:rsidP="005D45C5">
            <w:pPr>
              <w:pStyle w:val="BodyText"/>
              <w:tabs>
                <w:tab w:val="left" w:pos="360"/>
              </w:tabs>
              <w:jc w:val="center"/>
              <w:rPr>
                <w:szCs w:val="20"/>
              </w:rPr>
            </w:pPr>
            <w:r>
              <w:rPr>
                <w:szCs w:val="20"/>
              </w:rPr>
              <w:t>30,500,000</w:t>
            </w:r>
          </w:p>
        </w:tc>
        <w:tc>
          <w:tcPr>
            <w:tcW w:w="1666" w:type="pct"/>
          </w:tcPr>
          <w:p w14:paraId="35E80748" w14:textId="5EF0FD61" w:rsidR="00803A6B" w:rsidRPr="00FA5DF0" w:rsidRDefault="00803A6B" w:rsidP="005D45C5">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Pr>
                <w:szCs w:val="20"/>
              </w:rPr>
              <w:t>4,700</w:t>
            </w:r>
          </w:p>
        </w:tc>
        <w:tc>
          <w:tcPr>
            <w:tcW w:w="1667" w:type="pct"/>
          </w:tcPr>
          <w:p w14:paraId="216C2AF4" w14:textId="355E44BD" w:rsidR="00803A6B" w:rsidRPr="00FA5DF0" w:rsidRDefault="00803A6B" w:rsidP="005D45C5">
            <w:pPr>
              <w:pStyle w:val="BodyText"/>
              <w:tabs>
                <w:tab w:val="left" w:pos="360"/>
              </w:tabs>
              <w:jc w:val="center"/>
              <w:cnfStyle w:val="000000000000" w:firstRow="0" w:lastRow="0" w:firstColumn="0" w:lastColumn="0" w:oddVBand="0" w:evenVBand="0" w:oddHBand="0" w:evenHBand="0" w:firstRowFirstColumn="0" w:firstRowLastColumn="0" w:lastRowFirstColumn="0" w:lastRowLastColumn="0"/>
              <w:rPr>
                <w:szCs w:val="20"/>
              </w:rPr>
            </w:pPr>
            <w:r>
              <w:rPr>
                <w:szCs w:val="20"/>
              </w:rPr>
              <w:t>3,000,000</w:t>
            </w:r>
          </w:p>
        </w:tc>
      </w:tr>
    </w:tbl>
    <w:p w14:paraId="48BF345D" w14:textId="77777777" w:rsidR="00D210AC" w:rsidRPr="00D210AC" w:rsidRDefault="00D210AC" w:rsidP="005D45C5">
      <w:pPr>
        <w:tabs>
          <w:tab w:val="left" w:pos="360"/>
        </w:tabs>
        <w:rPr>
          <w:b/>
          <w:bCs/>
        </w:rPr>
      </w:pPr>
    </w:p>
    <w:p w14:paraId="1562454C" w14:textId="22413D98" w:rsidR="00EB16D2" w:rsidRDefault="00EB16D2" w:rsidP="005D45C5">
      <w:pPr>
        <w:pStyle w:val="Heading2"/>
        <w:tabs>
          <w:tab w:val="left" w:pos="360"/>
        </w:tabs>
      </w:pPr>
      <w:bookmarkStart w:id="5" w:name="_Toc54955101"/>
      <w:r w:rsidRPr="0010506B">
        <w:t>Program / Sub-Program Cost Effectiveness (TRC)</w:t>
      </w:r>
      <w:bookmarkEnd w:id="5"/>
    </w:p>
    <w:p w14:paraId="33554CD5" w14:textId="0E9FC858" w:rsidR="00952F01" w:rsidRDefault="00952F01" w:rsidP="005D45C5">
      <w:pPr>
        <w:tabs>
          <w:tab w:val="left" w:pos="360"/>
        </w:tabs>
        <w:ind w:left="360"/>
      </w:pPr>
      <w:r>
        <w:t xml:space="preserve">Total Resource </w:t>
      </w:r>
      <w:r w:rsidR="00F253D0">
        <w:t>Benefit-Cost Ratio</w:t>
      </w:r>
      <w:r>
        <w:t xml:space="preserve"> (</w:t>
      </w:r>
      <w:proofErr w:type="spellStart"/>
      <w:r w:rsidR="006A422E">
        <w:t>TRC</w:t>
      </w:r>
      <w:r w:rsidR="00F253D0">
        <w:t>Ratio</w:t>
      </w:r>
      <w:proofErr w:type="spellEnd"/>
      <w:r>
        <w:t>)</w:t>
      </w:r>
      <w:r w:rsidR="006A422E">
        <w:t xml:space="preserve">: </w:t>
      </w:r>
      <w:r w:rsidR="00285F7F">
        <w:t>1.31</w:t>
      </w:r>
    </w:p>
    <w:p w14:paraId="0C9D37DD" w14:textId="01C0BD9D" w:rsidR="00F87D2D" w:rsidRPr="0010506B" w:rsidRDefault="00952F01" w:rsidP="005D45C5">
      <w:pPr>
        <w:tabs>
          <w:tab w:val="left" w:pos="360"/>
        </w:tabs>
        <w:ind w:left="360"/>
      </w:pPr>
      <w:r>
        <w:t xml:space="preserve">Total Resource </w:t>
      </w:r>
      <w:r w:rsidR="00F253D0">
        <w:t>Benefit-Cost Ratio, minus program costs (</w:t>
      </w:r>
      <w:proofErr w:type="spellStart"/>
      <w:r w:rsidR="00636CDD">
        <w:t>TRC</w:t>
      </w:r>
      <w:r w:rsidR="00F253D0">
        <w:t>Ratio</w:t>
      </w:r>
      <w:r w:rsidR="00636CDD">
        <w:t>NoAdmin</w:t>
      </w:r>
      <w:proofErr w:type="spellEnd"/>
      <w:r w:rsidR="00F253D0">
        <w:t>)</w:t>
      </w:r>
      <w:r w:rsidR="00636CDD">
        <w:t>: 3.</w:t>
      </w:r>
      <w:r w:rsidR="002E505B">
        <w:t>10</w:t>
      </w:r>
    </w:p>
    <w:p w14:paraId="1EEAAB76" w14:textId="4EEFA3BF" w:rsidR="00EB16D2" w:rsidRDefault="00EB16D2" w:rsidP="005D45C5">
      <w:pPr>
        <w:pStyle w:val="Heading2"/>
        <w:tabs>
          <w:tab w:val="left" w:pos="360"/>
        </w:tabs>
      </w:pPr>
      <w:bookmarkStart w:id="6" w:name="_Toc54955102"/>
      <w:r w:rsidRPr="0010506B">
        <w:t>Program / Sub-Program Cost Effectiveness (PAC)</w:t>
      </w:r>
      <w:bookmarkEnd w:id="6"/>
    </w:p>
    <w:p w14:paraId="3A1AA7E1" w14:textId="0A1526EC" w:rsidR="00F87D2D" w:rsidRDefault="00B41812" w:rsidP="005D45C5">
      <w:pPr>
        <w:tabs>
          <w:tab w:val="left" w:pos="360"/>
        </w:tabs>
        <w:ind w:left="360"/>
      </w:pPr>
      <w:r>
        <w:t xml:space="preserve">Program Administrator Benefit-Cost Ratio (PAC): </w:t>
      </w:r>
      <w:r w:rsidR="00285F7F">
        <w:t>1.32</w:t>
      </w:r>
    </w:p>
    <w:p w14:paraId="4E46C58A" w14:textId="3577550E" w:rsidR="00EB16D2" w:rsidRDefault="00EB16D2" w:rsidP="005D45C5">
      <w:pPr>
        <w:pStyle w:val="Heading2"/>
        <w:tabs>
          <w:tab w:val="left" w:pos="360"/>
        </w:tabs>
      </w:pPr>
      <w:bookmarkStart w:id="7" w:name="_Toc54955103"/>
      <w:r w:rsidRPr="0010506B">
        <w:t>Type of Program / Sub-Program Implementer</w:t>
      </w:r>
      <w:bookmarkEnd w:id="7"/>
    </w:p>
    <w:p w14:paraId="54E260F6" w14:textId="181F3BF5" w:rsidR="00F87D2D" w:rsidRPr="0010506B" w:rsidRDefault="00B81DBE" w:rsidP="005D45C5">
      <w:pPr>
        <w:tabs>
          <w:tab w:val="left" w:pos="360"/>
        </w:tabs>
        <w:ind w:left="360"/>
      </w:pPr>
      <w:r>
        <w:t>Third party-delivered</w:t>
      </w:r>
    </w:p>
    <w:p w14:paraId="21A81B0D" w14:textId="24CBB1F9" w:rsidR="00EB16D2" w:rsidRDefault="00EB16D2" w:rsidP="005D45C5">
      <w:pPr>
        <w:pStyle w:val="Heading2"/>
        <w:tabs>
          <w:tab w:val="left" w:pos="360"/>
        </w:tabs>
      </w:pPr>
      <w:bookmarkStart w:id="8" w:name="_Toc54955104"/>
      <w:r w:rsidRPr="0010506B">
        <w:t>Market Sector(s)</w:t>
      </w:r>
      <w:bookmarkEnd w:id="8"/>
      <w:r w:rsidR="00677CA3" w:rsidRPr="0010506B">
        <w:t xml:space="preserve"> </w:t>
      </w:r>
    </w:p>
    <w:p w14:paraId="20FB6F0E" w14:textId="77777777" w:rsidR="00964AF9" w:rsidRDefault="00964AF9" w:rsidP="005D45C5">
      <w:pPr>
        <w:tabs>
          <w:tab w:val="left" w:pos="360"/>
        </w:tabs>
        <w:ind w:left="360"/>
      </w:pPr>
      <w:r>
        <w:t>Industrial</w:t>
      </w:r>
    </w:p>
    <w:p w14:paraId="7CC81F35" w14:textId="77777777" w:rsidR="00964AF9" w:rsidRDefault="00964AF9" w:rsidP="005D45C5">
      <w:pPr>
        <w:tabs>
          <w:tab w:val="left" w:pos="360"/>
        </w:tabs>
        <w:ind w:left="360"/>
      </w:pPr>
    </w:p>
    <w:p w14:paraId="71F75F20" w14:textId="73B12ED0" w:rsidR="00F415DE" w:rsidRDefault="00AA08AE" w:rsidP="005D45C5">
      <w:pPr>
        <w:tabs>
          <w:tab w:val="left" w:pos="360"/>
        </w:tabs>
        <w:ind w:left="360"/>
      </w:pPr>
      <w:r>
        <w:t xml:space="preserve">Specifically, </w:t>
      </w:r>
      <w:r w:rsidR="00F415DE">
        <w:t xml:space="preserve">ISOP </w:t>
      </w:r>
      <w:r w:rsidR="00B94B92">
        <w:t>serves</w:t>
      </w:r>
      <w:r w:rsidR="00F415DE">
        <w:t xml:space="preserve"> the following </w:t>
      </w:r>
      <w:r w:rsidR="000F1E93">
        <w:t>North American Industry Classification System (</w:t>
      </w:r>
      <w:r w:rsidR="00F415DE">
        <w:t>NAICS</w:t>
      </w:r>
      <w:r w:rsidR="000F1E93">
        <w:t>)</w:t>
      </w:r>
      <w:r w:rsidR="00F415DE">
        <w:t xml:space="preserve"> codes: </w:t>
      </w:r>
    </w:p>
    <w:p w14:paraId="69B1BE41" w14:textId="624F6923" w:rsidR="00CA5480" w:rsidRDefault="00CA5480" w:rsidP="00FC5C7E">
      <w:pPr>
        <w:pStyle w:val="BulletList-2"/>
      </w:pPr>
      <w:r w:rsidRPr="00FA2E0B">
        <w:rPr>
          <w:b/>
          <w:bCs/>
        </w:rPr>
        <w:t xml:space="preserve">NAICS 31-33: </w:t>
      </w:r>
      <w:r>
        <w:t xml:space="preserve">Manufacturing and </w:t>
      </w:r>
      <w:r w:rsidR="00202C2E">
        <w:t>Fo</w:t>
      </w:r>
      <w:r>
        <w:t xml:space="preserve">od </w:t>
      </w:r>
      <w:r w:rsidR="00202C2E">
        <w:t>P</w:t>
      </w:r>
      <w:r>
        <w:t xml:space="preserve">rocessing, and similar manufacturing and food industry facilities. </w:t>
      </w:r>
    </w:p>
    <w:p w14:paraId="62DCB8B9" w14:textId="1276316A" w:rsidR="00CA5480" w:rsidRDefault="00CA5480" w:rsidP="00FC5C7E">
      <w:pPr>
        <w:pStyle w:val="BulletList-2"/>
      </w:pPr>
      <w:r w:rsidRPr="00FA2E0B">
        <w:rPr>
          <w:b/>
          <w:bCs/>
        </w:rPr>
        <w:t xml:space="preserve">NAICS 493110: </w:t>
      </w:r>
      <w:r>
        <w:t xml:space="preserve">General Warehousing and Storage, </w:t>
      </w:r>
      <w:r w:rsidR="001679FF">
        <w:t>and associated</w:t>
      </w:r>
      <w:r>
        <w:t xml:space="preserve"> food industry-related warehousing and distribution facilities</w:t>
      </w:r>
      <w:r w:rsidR="00202C2E">
        <w:t>.</w:t>
      </w:r>
    </w:p>
    <w:p w14:paraId="7D59ADA2" w14:textId="4E163FDB" w:rsidR="00202231" w:rsidRPr="0010506B" w:rsidRDefault="00CA5480" w:rsidP="00FC5C7E">
      <w:pPr>
        <w:pStyle w:val="BulletList-2"/>
      </w:pPr>
      <w:r w:rsidRPr="00FA2E0B">
        <w:rPr>
          <w:b/>
          <w:bCs/>
        </w:rPr>
        <w:t xml:space="preserve">NAICS 493120: </w:t>
      </w:r>
      <w:r>
        <w:t xml:space="preserve">Refrigerated Warehousing and Storage, </w:t>
      </w:r>
      <w:r w:rsidR="001679FF">
        <w:t>and associated</w:t>
      </w:r>
      <w:r>
        <w:t xml:space="preserve"> food industry-related warehousing and distribution facilities</w:t>
      </w:r>
    </w:p>
    <w:p w14:paraId="57F1EA0F" w14:textId="3E06CB62" w:rsidR="00EB16D2" w:rsidRDefault="00EB16D2" w:rsidP="005D45C5">
      <w:pPr>
        <w:pStyle w:val="Heading2"/>
        <w:tabs>
          <w:tab w:val="left" w:pos="360"/>
        </w:tabs>
      </w:pPr>
      <w:bookmarkStart w:id="9" w:name="_Toc54955105"/>
      <w:r w:rsidRPr="0010506B">
        <w:t>Program / Sub-program Type</w:t>
      </w:r>
      <w:bookmarkEnd w:id="9"/>
      <w:r w:rsidRPr="0010506B">
        <w:t xml:space="preserve"> </w:t>
      </w:r>
    </w:p>
    <w:p w14:paraId="54A2CCA7" w14:textId="422819E2" w:rsidR="00F5452E" w:rsidRPr="0010506B" w:rsidRDefault="00442CAE" w:rsidP="005D45C5">
      <w:pPr>
        <w:tabs>
          <w:tab w:val="left" w:pos="360"/>
        </w:tabs>
        <w:ind w:left="360"/>
      </w:pPr>
      <w:r>
        <w:t>Resource</w:t>
      </w:r>
    </w:p>
    <w:p w14:paraId="18A91558" w14:textId="0F0B36CD" w:rsidR="00D75954" w:rsidRDefault="00EB16D2" w:rsidP="005D45C5">
      <w:pPr>
        <w:pStyle w:val="Heading2"/>
        <w:tabs>
          <w:tab w:val="left" w:pos="360"/>
        </w:tabs>
      </w:pPr>
      <w:bookmarkStart w:id="10" w:name="_Toc54955106"/>
      <w:r w:rsidRPr="00D75954">
        <w:t xml:space="preserve">Market </w:t>
      </w:r>
      <w:r w:rsidR="00D719AC">
        <w:t>C</w:t>
      </w:r>
      <w:r w:rsidRPr="00D75954">
        <w:t>hannel(s)</w:t>
      </w:r>
      <w:r w:rsidR="00A16CAF" w:rsidRPr="00D75954">
        <w:t xml:space="preserve"> </w:t>
      </w:r>
      <w:r w:rsidRPr="00D75954">
        <w:t>and Intervention Strategies</w:t>
      </w:r>
      <w:bookmarkEnd w:id="10"/>
      <w:r w:rsidRPr="00D75954">
        <w:t xml:space="preserve"> </w:t>
      </w:r>
    </w:p>
    <w:p w14:paraId="01181B35" w14:textId="5999DCF6" w:rsidR="00BC3A62" w:rsidRPr="00BC3A62" w:rsidRDefault="00BC3A62" w:rsidP="005D45C5">
      <w:pPr>
        <w:tabs>
          <w:tab w:val="left" w:pos="360"/>
        </w:tabs>
        <w:ind w:left="360"/>
      </w:pPr>
      <w:r>
        <w:t xml:space="preserve">ISOP </w:t>
      </w:r>
      <w:r w:rsidR="00EC3B01">
        <w:t>uses the following market channel(s) and intervention strategies:</w:t>
      </w:r>
    </w:p>
    <w:p w14:paraId="369AF7C8" w14:textId="5CCF7FE5" w:rsidR="00C46E9C" w:rsidRPr="00C6086D" w:rsidRDefault="009E4F1E" w:rsidP="00846B0F">
      <w:pPr>
        <w:pStyle w:val="BulletList-2"/>
        <w:numPr>
          <w:ilvl w:val="1"/>
          <w:numId w:val="12"/>
        </w:numPr>
      </w:pPr>
      <w:r w:rsidRPr="007A6B9B">
        <w:rPr>
          <w:b/>
          <w:bCs/>
        </w:rPr>
        <w:t>Channel</w:t>
      </w:r>
      <w:r w:rsidRPr="00C6086D">
        <w:t xml:space="preserve">: </w:t>
      </w:r>
      <w:r w:rsidR="00D75954" w:rsidRPr="00C6086D">
        <w:t>Downstream</w:t>
      </w:r>
    </w:p>
    <w:p w14:paraId="2983BC31" w14:textId="6FB661CB" w:rsidR="006D1542" w:rsidRDefault="009E4F1E" w:rsidP="00846B0F">
      <w:pPr>
        <w:pStyle w:val="BulletList-2"/>
        <w:numPr>
          <w:ilvl w:val="1"/>
          <w:numId w:val="12"/>
        </w:numPr>
      </w:pPr>
      <w:r w:rsidRPr="00BC3A62">
        <w:rPr>
          <w:b/>
          <w:bCs/>
        </w:rPr>
        <w:t>Intervention St</w:t>
      </w:r>
      <w:r w:rsidRPr="007A6B9B">
        <w:rPr>
          <w:b/>
          <w:bCs/>
        </w:rPr>
        <w:t>rategies:</w:t>
      </w:r>
      <w:r>
        <w:t xml:space="preserve"> </w:t>
      </w:r>
      <w:r w:rsidR="007A6B9B">
        <w:t>I</w:t>
      </w:r>
      <w:r>
        <w:t>ncentive</w:t>
      </w:r>
      <w:r w:rsidR="007A6B9B">
        <w:t>s</w:t>
      </w:r>
      <w:r>
        <w:t xml:space="preserve">, </w:t>
      </w:r>
      <w:r w:rsidR="007A6B9B">
        <w:t>F</w:t>
      </w:r>
      <w:r>
        <w:t xml:space="preserve">inancing, and </w:t>
      </w:r>
      <w:r w:rsidR="007A6B9B">
        <w:t>T</w:t>
      </w:r>
      <w:r>
        <w:t xml:space="preserve">echnical </w:t>
      </w:r>
      <w:r w:rsidR="007A6B9B">
        <w:t>A</w:t>
      </w:r>
      <w:r>
        <w:t xml:space="preserve">ssistance </w:t>
      </w:r>
    </w:p>
    <w:p w14:paraId="1FE20FD4" w14:textId="77777777" w:rsidR="00C765D0" w:rsidRDefault="00C765D0">
      <w:pPr>
        <w:spacing w:line="240" w:lineRule="auto"/>
        <w:rPr>
          <w:color w:val="0070C0"/>
          <w:sz w:val="28"/>
          <w:szCs w:val="40"/>
        </w:rPr>
      </w:pPr>
      <w:bookmarkStart w:id="11" w:name="_Toc54955107"/>
      <w:r>
        <w:br w:type="page"/>
      </w:r>
    </w:p>
    <w:p w14:paraId="14AB165F" w14:textId="0B037D14" w:rsidR="00EB16D2" w:rsidRPr="009571B8" w:rsidRDefault="00EB16D2" w:rsidP="005D45C5">
      <w:pPr>
        <w:pStyle w:val="Heading1"/>
        <w:tabs>
          <w:tab w:val="left" w:pos="360"/>
        </w:tabs>
      </w:pPr>
      <w:r w:rsidRPr="009571B8">
        <w:lastRenderedPageBreak/>
        <w:t>Implementation Plan</w:t>
      </w:r>
      <w:bookmarkEnd w:id="11"/>
    </w:p>
    <w:p w14:paraId="688D523B" w14:textId="7EF7300E" w:rsidR="00EB16D2" w:rsidRDefault="00EB16D2" w:rsidP="00A82072">
      <w:pPr>
        <w:pStyle w:val="Heading2"/>
        <w:numPr>
          <w:ilvl w:val="0"/>
          <w:numId w:val="13"/>
        </w:numPr>
        <w:tabs>
          <w:tab w:val="left" w:pos="360"/>
        </w:tabs>
      </w:pPr>
      <w:bookmarkStart w:id="12" w:name="_Toc54955108"/>
      <w:r w:rsidRPr="00645284">
        <w:t>Program Description</w:t>
      </w:r>
      <w:bookmarkEnd w:id="12"/>
    </w:p>
    <w:p w14:paraId="137698EB" w14:textId="0AE36466" w:rsidR="00EA1639" w:rsidRDefault="00EA1639" w:rsidP="005D45C5">
      <w:pPr>
        <w:tabs>
          <w:tab w:val="left" w:pos="360"/>
        </w:tabs>
        <w:ind w:left="360"/>
      </w:pPr>
      <w:r w:rsidRPr="00EA1639">
        <w:t xml:space="preserve">ISOP is an opt-in, single-point-of contact </w:t>
      </w:r>
      <w:r w:rsidR="00DB5A04">
        <w:t xml:space="preserve">(SPOC) </w:t>
      </w:r>
      <w:r w:rsidRPr="00EA1639">
        <w:t>program delivery model for industrial, manufacturing and food processing customers designed to significantly improve customer awareness, opportunity discovery, participation, influence on decision making, energy savings, cost effectiveness, and customer satisfaction</w:t>
      </w:r>
      <w:r w:rsidR="000D1173">
        <w:t>.</w:t>
      </w:r>
    </w:p>
    <w:p w14:paraId="502FC57C" w14:textId="77777777" w:rsidR="00EA1639" w:rsidRDefault="00EA1639" w:rsidP="005D45C5">
      <w:pPr>
        <w:tabs>
          <w:tab w:val="left" w:pos="360"/>
        </w:tabs>
        <w:ind w:left="360"/>
      </w:pPr>
    </w:p>
    <w:p w14:paraId="4211DBCB" w14:textId="35834C74" w:rsidR="0098595C" w:rsidRDefault="000D1173" w:rsidP="005D45C5">
      <w:pPr>
        <w:tabs>
          <w:tab w:val="left" w:pos="360"/>
        </w:tabs>
        <w:ind w:left="360"/>
      </w:pPr>
      <w:r>
        <w:t>ISOP</w:t>
      </w:r>
      <w:r w:rsidR="002A553A" w:rsidRPr="002A553A">
        <w:t xml:space="preserve"> focuses on training, retro-commissioning, and capital projects with systems-level optimization</w:t>
      </w:r>
      <w:r w:rsidR="00492462">
        <w:t xml:space="preserve"> via the following features:</w:t>
      </w:r>
      <w:r w:rsidR="0098595C">
        <w:t xml:space="preserve"> </w:t>
      </w:r>
    </w:p>
    <w:p w14:paraId="4229D9D5" w14:textId="69474DFA" w:rsidR="0098595C" w:rsidRDefault="0098595C" w:rsidP="006129AC">
      <w:pPr>
        <w:pStyle w:val="BulletList-2"/>
      </w:pPr>
      <w:r w:rsidRPr="00C35267">
        <w:rPr>
          <w:b/>
          <w:bCs/>
        </w:rPr>
        <w:t>Training Initiated Engagement</w:t>
      </w:r>
      <w:r w:rsidR="002B019D">
        <w:rPr>
          <w:b/>
          <w:bCs/>
        </w:rPr>
        <w:t xml:space="preserve"> (TIE)</w:t>
      </w:r>
      <w:r w:rsidRPr="00C35267">
        <w:rPr>
          <w:b/>
          <w:bCs/>
        </w:rPr>
        <w:t>:</w:t>
      </w:r>
      <w:r>
        <w:t xml:space="preserve"> ISOP engage</w:t>
      </w:r>
      <w:r w:rsidR="00C8515A">
        <w:t>s</w:t>
      </w:r>
      <w:r>
        <w:t xml:space="preserve"> key </w:t>
      </w:r>
      <w:r w:rsidR="00721AB5">
        <w:t>facility operations</w:t>
      </w:r>
      <w:r>
        <w:t xml:space="preserve"> personnel with high-quality energy efficiency training on systems and opportunities relevant to their plants, delivered by Cascade’s industrial manufacturing and food processing experts in an interactive format. </w:t>
      </w:r>
    </w:p>
    <w:p w14:paraId="5A96871C" w14:textId="5B152F93" w:rsidR="0098595C" w:rsidRDefault="0098595C" w:rsidP="006129AC">
      <w:pPr>
        <w:pStyle w:val="BulletList-2"/>
      </w:pPr>
      <w:r w:rsidRPr="00C35267">
        <w:rPr>
          <w:b/>
          <w:bCs/>
        </w:rPr>
        <w:t>Energy Coach:</w:t>
      </w:r>
      <w:r>
        <w:t xml:space="preserve"> ISOP assign</w:t>
      </w:r>
      <w:r w:rsidR="001335F0">
        <w:t>s</w:t>
      </w:r>
      <w:r>
        <w:t xml:space="preserve"> a </w:t>
      </w:r>
      <w:r w:rsidR="001335F0">
        <w:t xml:space="preserve">long-term </w:t>
      </w:r>
      <w:r w:rsidR="00ED4D4E">
        <w:t>E</w:t>
      </w:r>
      <w:r w:rsidR="001335F0">
        <w:t xml:space="preserve">nergy </w:t>
      </w:r>
      <w:r w:rsidR="00ED4D4E">
        <w:t>C</w:t>
      </w:r>
      <w:r w:rsidR="001335F0">
        <w:t xml:space="preserve">oach </w:t>
      </w:r>
      <w:r>
        <w:t>to each customer to simplify participation and establish a trusting relationship that supports new project identification, development, and implementation.</w:t>
      </w:r>
    </w:p>
    <w:p w14:paraId="5BCA28FE" w14:textId="1DD60916" w:rsidR="0098595C" w:rsidRDefault="0098595C" w:rsidP="006129AC">
      <w:pPr>
        <w:pStyle w:val="BulletList-2"/>
      </w:pPr>
      <w:r w:rsidRPr="00C35267">
        <w:rPr>
          <w:b/>
          <w:bCs/>
        </w:rPr>
        <w:t xml:space="preserve">Multiple Tracks: </w:t>
      </w:r>
      <w:r>
        <w:t>ISOP offer</w:t>
      </w:r>
      <w:r w:rsidR="001335F0">
        <w:t>s</w:t>
      </w:r>
      <w:r>
        <w:t xml:space="preserve"> customers who opt in two tracks to increase program accessibility:</w:t>
      </w:r>
    </w:p>
    <w:p w14:paraId="759380B8" w14:textId="65897DA4" w:rsidR="0098595C" w:rsidRDefault="0098595C" w:rsidP="006129AC">
      <w:pPr>
        <w:pStyle w:val="BulletList-2"/>
        <w:numPr>
          <w:ilvl w:val="2"/>
          <w:numId w:val="15"/>
        </w:numPr>
      </w:pPr>
      <w:r>
        <w:t>A standard track offering more traditional a la carte energy efficiency services</w:t>
      </w:r>
      <w:r w:rsidR="00C35267">
        <w:t xml:space="preserve">. The standard track </w:t>
      </w:r>
      <w:r w:rsidR="00C35267" w:rsidRPr="002A553A">
        <w:t xml:space="preserve">includes regular </w:t>
      </w:r>
      <w:r w:rsidR="00DD0C23">
        <w:t>E</w:t>
      </w:r>
      <w:r w:rsidR="00C35267" w:rsidRPr="002A553A">
        <w:t xml:space="preserve">nergy </w:t>
      </w:r>
      <w:r w:rsidR="00DD0C23">
        <w:t>C</w:t>
      </w:r>
      <w:r w:rsidR="00C35267" w:rsidRPr="002A553A">
        <w:t>oach touchpoints and technical support to identify and implement projects</w:t>
      </w:r>
      <w:r w:rsidR="00C35267">
        <w:t>.</w:t>
      </w:r>
    </w:p>
    <w:p w14:paraId="36BE1AFD" w14:textId="08C5777F" w:rsidR="0098595C" w:rsidRDefault="0098595C" w:rsidP="006129AC">
      <w:pPr>
        <w:pStyle w:val="BulletList-2"/>
        <w:numPr>
          <w:ilvl w:val="2"/>
          <w:numId w:val="15"/>
        </w:numPr>
      </w:pPr>
      <w:r>
        <w:t>An enhanced track offering services designed around long-term energy management principles.</w:t>
      </w:r>
      <w:r w:rsidR="00C35267">
        <w:t xml:space="preserve"> The enhanced track </w:t>
      </w:r>
      <w:r w:rsidR="00C35267" w:rsidRPr="00C35267">
        <w:t xml:space="preserve">includes energy management coaching, energy management and collaboration software, and ongoing </w:t>
      </w:r>
      <w:r w:rsidR="00ED4D4E">
        <w:t>E</w:t>
      </w:r>
      <w:r w:rsidR="00C35267" w:rsidRPr="00C35267">
        <w:t xml:space="preserve">nergy </w:t>
      </w:r>
      <w:r w:rsidR="00ED4D4E">
        <w:t>C</w:t>
      </w:r>
      <w:r w:rsidR="00C35267" w:rsidRPr="00C35267">
        <w:t>oach support to drive projects</w:t>
      </w:r>
      <w:r w:rsidR="00C35267">
        <w:t>.</w:t>
      </w:r>
    </w:p>
    <w:p w14:paraId="57400A14" w14:textId="77777777" w:rsidR="0098595C" w:rsidRDefault="0098595C" w:rsidP="006129AC">
      <w:pPr>
        <w:pStyle w:val="BulletList-2"/>
      </w:pPr>
      <w:r w:rsidRPr="00C35267">
        <w:rPr>
          <w:b/>
          <w:bCs/>
        </w:rPr>
        <w:t>Savings from Complex Systems and Processes:</w:t>
      </w:r>
      <w:r>
        <w:t xml:space="preserve"> ISOP supports all relevant measure types but focuses on complex, interactive mechanical systems that yield interactive capital and behavioral, retro-commissioning, and operational (BRO) measures. </w:t>
      </w:r>
    </w:p>
    <w:p w14:paraId="62667EE2" w14:textId="5007AB73" w:rsidR="00E17547" w:rsidRDefault="0098595C" w:rsidP="006129AC">
      <w:pPr>
        <w:pStyle w:val="BulletList-2"/>
      </w:pPr>
      <w:r w:rsidRPr="00C35267">
        <w:rPr>
          <w:b/>
          <w:bCs/>
        </w:rPr>
        <w:t>Incentives in Alignment with Program Objectives:</w:t>
      </w:r>
      <w:r>
        <w:t xml:space="preserve"> ISOP offers a service and financial incentive structure designed to reduce market and customer barriers, scale with lifetime savings, and meet stated </w:t>
      </w:r>
      <w:r w:rsidR="00DD0C23">
        <w:t>Pacific Gas &amp; Electric (</w:t>
      </w:r>
      <w:r>
        <w:t>PG&amp;E</w:t>
      </w:r>
      <w:r w:rsidR="00DD0C23">
        <w:t>)</w:t>
      </w:r>
      <w:r>
        <w:t xml:space="preserve"> objectives</w:t>
      </w:r>
    </w:p>
    <w:p w14:paraId="5741DF1A" w14:textId="77777777" w:rsidR="00BA04FE" w:rsidRDefault="00BA04FE" w:rsidP="005D45C5">
      <w:pPr>
        <w:pStyle w:val="BulletList-1"/>
        <w:tabs>
          <w:tab w:val="clear" w:pos="720"/>
          <w:tab w:val="left" w:pos="360"/>
        </w:tabs>
        <w:ind w:left="360" w:firstLine="0"/>
      </w:pPr>
    </w:p>
    <w:p w14:paraId="40CA24FC" w14:textId="3AF50225" w:rsidR="00BA04FE" w:rsidRDefault="00BA04FE" w:rsidP="005D45C5">
      <w:pPr>
        <w:pStyle w:val="BulletList-1"/>
        <w:tabs>
          <w:tab w:val="clear" w:pos="720"/>
          <w:tab w:val="left" w:pos="360"/>
        </w:tabs>
        <w:ind w:left="360" w:firstLine="0"/>
      </w:pPr>
      <w:r>
        <w:t xml:space="preserve">ISOP objectives over the three-year program term </w:t>
      </w:r>
      <w:r w:rsidR="00F3640C">
        <w:t>include the following</w:t>
      </w:r>
      <w:r>
        <w:t xml:space="preserve">: </w:t>
      </w:r>
    </w:p>
    <w:p w14:paraId="753CA9F9" w14:textId="6A3DEAE6" w:rsidR="00BA04FE" w:rsidRDefault="00BA04FE" w:rsidP="007E0802">
      <w:pPr>
        <w:pStyle w:val="BulletList-2"/>
      </w:pPr>
      <w:r>
        <w:t>Generat</w:t>
      </w:r>
      <w:r w:rsidR="00D81AD6">
        <w:t>e</w:t>
      </w:r>
      <w:r>
        <w:t xml:space="preserve"> cost-effective </w:t>
      </w:r>
      <w:r w:rsidR="00D81AD6">
        <w:t xml:space="preserve">electricity and natural gas </w:t>
      </w:r>
      <w:r>
        <w:t>savings</w:t>
      </w:r>
    </w:p>
    <w:p w14:paraId="3351AAA5" w14:textId="4F823A7C" w:rsidR="00BA04FE" w:rsidRDefault="00BA04FE" w:rsidP="007E0802">
      <w:pPr>
        <w:pStyle w:val="BulletList-2"/>
      </w:pPr>
      <w:r>
        <w:t xml:space="preserve">Boost customer satisfaction, building customer energy-efficiency knowledge and commitment, reducing barriers to project implementation, and improving participation rates. </w:t>
      </w:r>
    </w:p>
    <w:p w14:paraId="5F0C5913" w14:textId="0981ECFE" w:rsidR="00BA04FE" w:rsidRDefault="00BA04FE" w:rsidP="007E0802">
      <w:pPr>
        <w:pStyle w:val="BulletList-2"/>
      </w:pPr>
      <w:r>
        <w:t>Improv</w:t>
      </w:r>
      <w:r w:rsidR="00CD29A0">
        <w:t>e</w:t>
      </w:r>
      <w:r>
        <w:t xml:space="preserve"> </w:t>
      </w:r>
      <w:r w:rsidR="00890191">
        <w:t xml:space="preserve">Net-to-Gross </w:t>
      </w:r>
      <w:r w:rsidR="00F04EBD">
        <w:t xml:space="preserve">(NTG) </w:t>
      </w:r>
      <w:r w:rsidR="00890191">
        <w:t xml:space="preserve">ratios </w:t>
      </w:r>
      <w:r>
        <w:t xml:space="preserve">by clearly documenting significant early project influence. </w:t>
      </w:r>
    </w:p>
    <w:p w14:paraId="77C225A2" w14:textId="7C7A31DC" w:rsidR="00BA04FE" w:rsidRDefault="00BA04FE" w:rsidP="007E0802">
      <w:pPr>
        <w:pStyle w:val="BulletList-2"/>
      </w:pPr>
      <w:r>
        <w:lastRenderedPageBreak/>
        <w:t>Improv</w:t>
      </w:r>
      <w:r w:rsidR="00CD29A0">
        <w:t>e</w:t>
      </w:r>
      <w:r>
        <w:t xml:space="preserve"> cost-effectiveness by implementing more complex, comprehensive projects and sustaining savings of installed measures. </w:t>
      </w:r>
    </w:p>
    <w:p w14:paraId="6E2AC217" w14:textId="39FE942B" w:rsidR="00BA04FE" w:rsidRDefault="00BA04FE" w:rsidP="007E0802">
      <w:pPr>
        <w:pStyle w:val="BulletList-2"/>
      </w:pPr>
      <w:r>
        <w:t>Creat</w:t>
      </w:r>
      <w:r w:rsidR="00CD29A0">
        <w:t>e</w:t>
      </w:r>
      <w:r>
        <w:t xml:space="preserve"> a strong project pipeline with engaged customers ready to act on opportunities. </w:t>
      </w:r>
    </w:p>
    <w:p w14:paraId="7964F180" w14:textId="23DED07F" w:rsidR="00BA04FE" w:rsidRDefault="00BA04FE" w:rsidP="007E0802">
      <w:pPr>
        <w:pStyle w:val="BulletList-2"/>
      </w:pPr>
      <w:r>
        <w:t>Accelerat</w:t>
      </w:r>
      <w:r w:rsidR="00CD29A0">
        <w:t>e</w:t>
      </w:r>
      <w:r>
        <w:t xml:space="preserve"> adoption of </w:t>
      </w:r>
      <w:r w:rsidR="00CD29A0">
        <w:t>energy management</w:t>
      </w:r>
      <w:r>
        <w:t xml:space="preserve"> principles and practices. </w:t>
      </w:r>
    </w:p>
    <w:p w14:paraId="62D70377" w14:textId="45C8946A" w:rsidR="00492462" w:rsidRDefault="00BA04FE" w:rsidP="007E0802">
      <w:pPr>
        <w:pStyle w:val="BulletList-2"/>
      </w:pPr>
      <w:r w:rsidRPr="00A24546">
        <w:t xml:space="preserve">Support PG&amp;E and the </w:t>
      </w:r>
      <w:r w:rsidR="00A1484F">
        <w:t>California Public Utilities Commission (</w:t>
      </w:r>
      <w:r w:rsidRPr="00A24546">
        <w:t>CPUC</w:t>
      </w:r>
      <w:r w:rsidR="00A1484F">
        <w:t>)</w:t>
      </w:r>
      <w:r w:rsidRPr="00A24546">
        <w:t xml:space="preserve"> long-term energy-efficiency goals.</w:t>
      </w:r>
    </w:p>
    <w:p w14:paraId="2A097FAD" w14:textId="79FFF8F4" w:rsidR="001F70D0" w:rsidRDefault="00EB16D2" w:rsidP="005D45C5">
      <w:pPr>
        <w:pStyle w:val="Heading2"/>
        <w:tabs>
          <w:tab w:val="left" w:pos="360"/>
        </w:tabs>
      </w:pPr>
      <w:bookmarkStart w:id="13" w:name="_Toc54955109"/>
      <w:r w:rsidRPr="1E57BC6D">
        <w:t>Program Delivery and Customer Services</w:t>
      </w:r>
      <w:bookmarkEnd w:id="13"/>
      <w:r w:rsidRPr="1E57BC6D">
        <w:t xml:space="preserve"> </w:t>
      </w:r>
    </w:p>
    <w:p w14:paraId="1F4C5BB6" w14:textId="3A5EFDC5" w:rsidR="001801FD" w:rsidRPr="001801FD" w:rsidRDefault="001801FD" w:rsidP="007C45A3">
      <w:pPr>
        <w:pStyle w:val="Heading3"/>
      </w:pPr>
      <w:r w:rsidRPr="001801FD">
        <w:t>Program Delivery</w:t>
      </w:r>
    </w:p>
    <w:p w14:paraId="7E2AEAD8" w14:textId="5159E533" w:rsidR="001F70D0" w:rsidRPr="007E311A" w:rsidRDefault="18F90A46" w:rsidP="005D45C5">
      <w:pPr>
        <w:tabs>
          <w:tab w:val="left" w:pos="360"/>
        </w:tabs>
        <w:ind w:left="360"/>
      </w:pPr>
      <w:r w:rsidRPr="00492462">
        <w:t xml:space="preserve">ISOP </w:t>
      </w:r>
      <w:r w:rsidR="3B06B7A2" w:rsidRPr="00492462">
        <w:t xml:space="preserve">program delivery </w:t>
      </w:r>
      <w:r w:rsidR="00496D19">
        <w:t>is</w:t>
      </w:r>
      <w:r w:rsidR="3B06B7A2" w:rsidRPr="00492462">
        <w:t xml:space="preserve"> accomplished </w:t>
      </w:r>
      <w:r w:rsidR="00E63751">
        <w:t>by</w:t>
      </w:r>
      <w:r w:rsidR="38958BB4">
        <w:t xml:space="preserve"> providing customers with valued training that builds trust and leads directly to projects. </w:t>
      </w:r>
      <w:r w:rsidR="71EE06B2" w:rsidRPr="3BBBEC0E">
        <w:t>ISOP reach</w:t>
      </w:r>
      <w:r w:rsidR="00271874">
        <w:t>es</w:t>
      </w:r>
      <w:r w:rsidR="71EE06B2" w:rsidRPr="3BBBEC0E">
        <w:t xml:space="preserve"> customers through </w:t>
      </w:r>
      <w:r w:rsidR="3B06B7A2" w:rsidRPr="1E57BC6D">
        <w:t xml:space="preserve">early and ongoing </w:t>
      </w:r>
      <w:r w:rsidR="59F2D041" w:rsidRPr="1E57BC6D">
        <w:t>engage</w:t>
      </w:r>
      <w:r w:rsidR="1ECE94F9" w:rsidRPr="1E57BC6D">
        <w:t>ment with</w:t>
      </w:r>
      <w:r w:rsidR="59F2D041" w:rsidRPr="1E57BC6D">
        <w:t xml:space="preserve"> </w:t>
      </w:r>
      <w:r w:rsidRPr="1E57BC6D">
        <w:t xml:space="preserve">key </w:t>
      </w:r>
      <w:r w:rsidR="14B409EA" w:rsidRPr="3BBBEC0E">
        <w:t xml:space="preserve">influencers and </w:t>
      </w:r>
      <w:r w:rsidRPr="1E57BC6D">
        <w:t>decision-makers relevant to the industrial manufacturing and food processing segments</w:t>
      </w:r>
      <w:r w:rsidR="00355B47">
        <w:t>.</w:t>
      </w:r>
    </w:p>
    <w:p w14:paraId="743C4E66" w14:textId="7C0A9D57" w:rsidR="001F70D0" w:rsidRPr="007E311A" w:rsidRDefault="001F70D0" w:rsidP="005D45C5">
      <w:pPr>
        <w:tabs>
          <w:tab w:val="left" w:pos="360"/>
        </w:tabs>
        <w:ind w:left="360"/>
        <w:rPr>
          <w:rFonts w:ascii="Arial" w:eastAsia="Arial" w:hAnsi="Arial" w:cs="Arial"/>
          <w:sz w:val="20"/>
          <w:szCs w:val="20"/>
        </w:rPr>
      </w:pPr>
    </w:p>
    <w:p w14:paraId="55952481" w14:textId="356F0684" w:rsidR="001F70D0" w:rsidRPr="007E311A" w:rsidRDefault="18F90A46" w:rsidP="005D45C5">
      <w:pPr>
        <w:tabs>
          <w:tab w:val="left" w:pos="360"/>
        </w:tabs>
        <w:ind w:left="360"/>
      </w:pPr>
      <w:r w:rsidRPr="008813D9">
        <w:t>Influencers incl</w:t>
      </w:r>
      <w:r w:rsidRPr="1E57BC6D">
        <w:t xml:space="preserve">ude: </w:t>
      </w:r>
    </w:p>
    <w:p w14:paraId="789F3094" w14:textId="42DE5DBC" w:rsidR="001F70D0" w:rsidRPr="007E311A" w:rsidRDefault="18F90A46" w:rsidP="00310BFD">
      <w:pPr>
        <w:pStyle w:val="BulletList-2"/>
      </w:pPr>
      <w:r w:rsidRPr="1E57BC6D">
        <w:t>Industry associations</w:t>
      </w:r>
    </w:p>
    <w:p w14:paraId="17B41786" w14:textId="43AC253B" w:rsidR="001F70D0" w:rsidRPr="007E311A" w:rsidRDefault="18F90A46" w:rsidP="00310BFD">
      <w:pPr>
        <w:pStyle w:val="BulletList-2"/>
      </w:pPr>
      <w:r w:rsidRPr="1E57BC6D">
        <w:t>Vendors and contractors who serve the manufacturing and food processing sectors</w:t>
      </w:r>
    </w:p>
    <w:p w14:paraId="681A93B7" w14:textId="2059C061" w:rsidR="001F70D0" w:rsidRPr="007E311A" w:rsidRDefault="18F90A46" w:rsidP="00310BFD">
      <w:pPr>
        <w:pStyle w:val="BulletList-2"/>
      </w:pPr>
      <w:r w:rsidRPr="1E57BC6D">
        <w:t>Manufacturing and food processing sector peers</w:t>
      </w:r>
    </w:p>
    <w:p w14:paraId="033CF6F4" w14:textId="42EBEB2F" w:rsidR="001F70D0" w:rsidRDefault="18F90A46" w:rsidP="00310BFD">
      <w:pPr>
        <w:pStyle w:val="BulletList-2"/>
      </w:pPr>
      <w:r w:rsidRPr="1E57BC6D">
        <w:t>Facility and maintenance managers, and plant engineers</w:t>
      </w:r>
      <w:r>
        <w:t xml:space="preserve"> </w:t>
      </w:r>
    </w:p>
    <w:p w14:paraId="6FAA3959" w14:textId="77777777" w:rsidR="00492462" w:rsidRPr="007E311A" w:rsidRDefault="00492462" w:rsidP="005D45C5">
      <w:pPr>
        <w:pStyle w:val="BulletList-1"/>
        <w:tabs>
          <w:tab w:val="clear" w:pos="720"/>
          <w:tab w:val="left" w:pos="360"/>
        </w:tabs>
        <w:ind w:left="1080" w:firstLine="0"/>
      </w:pPr>
    </w:p>
    <w:p w14:paraId="12FE78EF" w14:textId="66689E30" w:rsidR="3379C847" w:rsidRPr="008813D9" w:rsidRDefault="3379C847" w:rsidP="005D45C5">
      <w:pPr>
        <w:tabs>
          <w:tab w:val="left" w:pos="360"/>
        </w:tabs>
        <w:ind w:left="360"/>
      </w:pPr>
      <w:r w:rsidRPr="008813D9">
        <w:t xml:space="preserve">Decision-makers include: </w:t>
      </w:r>
    </w:p>
    <w:p w14:paraId="639FF292" w14:textId="2B328C2F" w:rsidR="3379C847" w:rsidRDefault="3379C847" w:rsidP="00310BFD">
      <w:pPr>
        <w:pStyle w:val="BulletList-2"/>
      </w:pPr>
      <w:r w:rsidRPr="3BBBEC0E">
        <w:t xml:space="preserve">For larger organizations with centralized administration, corporate executives within the operations ranks are typically decision-makers. </w:t>
      </w:r>
    </w:p>
    <w:p w14:paraId="5D0FA3F4" w14:textId="1A85F4E4" w:rsidR="3379C847" w:rsidRDefault="3379C847" w:rsidP="00310BFD">
      <w:pPr>
        <w:pStyle w:val="BulletList-2"/>
      </w:pPr>
      <w:r w:rsidRPr="3BBBEC0E">
        <w:t>For organizations with local autonomy, a plant engineer or facility manager often makes the case for energy-efficiency projects to a general manager who consults with the </w:t>
      </w:r>
      <w:r w:rsidR="00C82309">
        <w:t>Chief Financial Officer</w:t>
      </w:r>
      <w:r w:rsidRPr="3BBBEC0E">
        <w:t>.</w:t>
      </w:r>
    </w:p>
    <w:p w14:paraId="6AC398F5" w14:textId="77777777" w:rsidR="00331963" w:rsidRDefault="00331963" w:rsidP="005D45C5">
      <w:pPr>
        <w:tabs>
          <w:tab w:val="left" w:pos="360"/>
        </w:tabs>
        <w:ind w:left="360"/>
      </w:pPr>
    </w:p>
    <w:p w14:paraId="22A78B93" w14:textId="37E493A9" w:rsidR="00DF0FAB" w:rsidRDefault="00A37F44" w:rsidP="007C4AA6">
      <w:pPr>
        <w:tabs>
          <w:tab w:val="left" w:pos="360"/>
        </w:tabs>
        <w:ind w:left="360"/>
      </w:pPr>
      <w:r>
        <w:t>To engage customers and influence energy saving projects, ISOP offer</w:t>
      </w:r>
      <w:r w:rsidR="00741110">
        <w:t>s</w:t>
      </w:r>
      <w:r>
        <w:t xml:space="preserve"> </w:t>
      </w:r>
      <w:r w:rsidR="00331963">
        <w:t xml:space="preserve">segment-appropriate technical expertise </w:t>
      </w:r>
      <w:r w:rsidR="003C00DB">
        <w:t>and incorporate</w:t>
      </w:r>
      <w:r w:rsidR="005347C4">
        <w:t>s</w:t>
      </w:r>
      <w:r w:rsidR="003C00DB">
        <w:t xml:space="preserve"> key </w:t>
      </w:r>
      <w:r w:rsidR="00593737">
        <w:t>e</w:t>
      </w:r>
      <w:r w:rsidR="00890191">
        <w:t xml:space="preserve">nergy </w:t>
      </w:r>
      <w:r w:rsidR="00593737">
        <w:t xml:space="preserve">efficiency </w:t>
      </w:r>
      <w:r w:rsidR="00890191">
        <w:t xml:space="preserve">strategies </w:t>
      </w:r>
      <w:r w:rsidR="003C00DB">
        <w:t xml:space="preserve">to </w:t>
      </w:r>
      <w:r w:rsidR="00C65016">
        <w:t xml:space="preserve">identify potential projects, </w:t>
      </w:r>
      <w:r w:rsidR="00C3400A">
        <w:t>fully quantify savings and financial impacts for various alternatives, and</w:t>
      </w:r>
      <w:r w:rsidR="00B24C18">
        <w:t xml:space="preserve"> help achieve customer buy-in.</w:t>
      </w:r>
      <w:r w:rsidR="009A0D90">
        <w:t xml:space="preserve"> </w:t>
      </w:r>
      <w:r w:rsidR="007B0BB0">
        <w:t xml:space="preserve">Customer eligibility </w:t>
      </w:r>
      <w:r w:rsidR="000C7F44">
        <w:t>is</w:t>
      </w:r>
      <w:r w:rsidR="00B62B26">
        <w:t xml:space="preserve"> </w:t>
      </w:r>
      <w:r w:rsidR="00A3042E">
        <w:t xml:space="preserve">determined </w:t>
      </w:r>
      <w:r w:rsidR="000C7F44">
        <w:t>based on</w:t>
      </w:r>
      <w:r w:rsidR="00A3042E">
        <w:t xml:space="preserve"> NAICS</w:t>
      </w:r>
      <w:r w:rsidR="00947C3B">
        <w:t xml:space="preserve"> codes and other criteria as </w:t>
      </w:r>
      <w:r w:rsidR="00985D70">
        <w:t xml:space="preserve">described in </w:t>
      </w:r>
      <w:r w:rsidR="000C7F44">
        <w:t xml:space="preserve">the </w:t>
      </w:r>
      <w:r w:rsidR="00C82309">
        <w:t xml:space="preserve">ISOP </w:t>
      </w:r>
      <w:r w:rsidR="00B04D6A">
        <w:t>Program Manual</w:t>
      </w:r>
      <w:r w:rsidR="000C7F44">
        <w:t xml:space="preserve">. </w:t>
      </w:r>
    </w:p>
    <w:p w14:paraId="3CE48E26" w14:textId="77777777" w:rsidR="00D81AD6" w:rsidRPr="00331963" w:rsidRDefault="00D81AD6" w:rsidP="005D45C5">
      <w:pPr>
        <w:pStyle w:val="Heading3"/>
        <w:tabs>
          <w:tab w:val="left" w:pos="360"/>
        </w:tabs>
      </w:pPr>
      <w:r w:rsidRPr="00331963">
        <w:t xml:space="preserve">Services and </w:t>
      </w:r>
      <w:r w:rsidRPr="00CD18BD">
        <w:t>Tools</w:t>
      </w:r>
    </w:p>
    <w:p w14:paraId="3236CEE6" w14:textId="43EB0BAE" w:rsidR="007B0BB0" w:rsidRDefault="009908F9" w:rsidP="00EF0F13">
      <w:pPr>
        <w:spacing w:line="240" w:lineRule="auto"/>
        <w:ind w:left="360"/>
      </w:pPr>
      <w:r>
        <w:t xml:space="preserve">Participating customers </w:t>
      </w:r>
      <w:r w:rsidR="007F22DA">
        <w:t xml:space="preserve">have access to </w:t>
      </w:r>
      <w:proofErr w:type="gramStart"/>
      <w:r w:rsidR="007F22DA">
        <w:t>some</w:t>
      </w:r>
      <w:proofErr w:type="gramEnd"/>
      <w:r w:rsidR="007F22DA">
        <w:t xml:space="preserve"> o</w:t>
      </w:r>
      <w:r w:rsidR="005A5FBC">
        <w:t>r</w:t>
      </w:r>
      <w:r w:rsidR="007F22DA">
        <w:t xml:space="preserve"> all of the services listed in</w:t>
      </w:r>
      <w:r w:rsidR="006A3FAB">
        <w:t xml:space="preserve"> Table 3</w:t>
      </w:r>
      <w:r w:rsidR="007F22DA">
        <w:t xml:space="preserve">, </w:t>
      </w:r>
      <w:r w:rsidR="00DC1CA2">
        <w:t>depending on th</w:t>
      </w:r>
      <w:r w:rsidR="001476D0">
        <w:t xml:space="preserve">eir level of commitment, facility </w:t>
      </w:r>
      <w:r w:rsidR="004A7EA4">
        <w:t xml:space="preserve">characteristics, and </w:t>
      </w:r>
      <w:r w:rsidR="00DC1838">
        <w:t>program track.</w:t>
      </w:r>
    </w:p>
    <w:p w14:paraId="1C4A9545" w14:textId="01E0529E" w:rsidR="003A4103" w:rsidRDefault="003A4103">
      <w:pPr>
        <w:spacing w:line="240" w:lineRule="auto"/>
        <w:rPr>
          <w:i/>
          <w:iCs/>
          <w:color w:val="135E83" w:themeColor="accent1" w:themeShade="80"/>
          <w:sz w:val="18"/>
          <w:szCs w:val="18"/>
        </w:rPr>
      </w:pPr>
      <w:bookmarkStart w:id="14" w:name="_Ref54696916"/>
    </w:p>
    <w:p w14:paraId="37DDD670" w14:textId="77777777" w:rsidR="00C765D0" w:rsidRDefault="00C765D0">
      <w:pPr>
        <w:spacing w:line="240" w:lineRule="auto"/>
        <w:rPr>
          <w:i/>
          <w:iCs/>
          <w:color w:val="135E83" w:themeColor="accent1" w:themeShade="80"/>
          <w:sz w:val="18"/>
          <w:szCs w:val="18"/>
        </w:rPr>
      </w:pPr>
      <w:r>
        <w:br w:type="page"/>
      </w:r>
    </w:p>
    <w:p w14:paraId="4AF197EB" w14:textId="453EC744" w:rsidR="001A41C7" w:rsidRDefault="001A41C7" w:rsidP="005D45C5">
      <w:pPr>
        <w:pStyle w:val="Caption"/>
        <w:keepNext/>
        <w:tabs>
          <w:tab w:val="left" w:pos="360"/>
        </w:tabs>
        <w:ind w:left="360"/>
      </w:pPr>
      <w:r>
        <w:lastRenderedPageBreak/>
        <w:t xml:space="preserve">Table </w:t>
      </w:r>
      <w:r>
        <w:fldChar w:fldCharType="begin"/>
      </w:r>
      <w:r>
        <w:instrText>SEQ Table \* ARABIC</w:instrText>
      </w:r>
      <w:r>
        <w:fldChar w:fldCharType="separate"/>
      </w:r>
      <w:r w:rsidR="00A020D4">
        <w:rPr>
          <w:noProof/>
        </w:rPr>
        <w:t>3</w:t>
      </w:r>
      <w:r>
        <w:fldChar w:fldCharType="end"/>
      </w:r>
      <w:bookmarkEnd w:id="14"/>
      <w:r>
        <w:t>. List of ISOP Customer Services</w:t>
      </w:r>
    </w:p>
    <w:tbl>
      <w:tblPr>
        <w:tblStyle w:val="BlueGreyTable"/>
        <w:tblW w:w="0" w:type="auto"/>
        <w:tblInd w:w="355" w:type="dxa"/>
        <w:tblLook w:val="06A0" w:firstRow="1" w:lastRow="0" w:firstColumn="1" w:lastColumn="0" w:noHBand="1" w:noVBand="1"/>
      </w:tblPr>
      <w:tblGrid>
        <w:gridCol w:w="2160"/>
        <w:gridCol w:w="6835"/>
      </w:tblGrid>
      <w:tr w:rsidR="00B767FC" w:rsidRPr="00A4602B" w14:paraId="3CEFDC10" w14:textId="77777777" w:rsidTr="008216E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shd w:val="clear" w:color="auto" w:fill="135E83" w:themeFill="accent1" w:themeFillShade="80"/>
          </w:tcPr>
          <w:p w14:paraId="01017765" w14:textId="3FC7D0D0" w:rsidR="00B767FC" w:rsidRPr="008216ED" w:rsidRDefault="00C831A8" w:rsidP="008216ED">
            <w:pPr>
              <w:tabs>
                <w:tab w:val="left" w:pos="360"/>
              </w:tabs>
              <w:jc w:val="center"/>
              <w:rPr>
                <w:sz w:val="22"/>
                <w:szCs w:val="24"/>
              </w:rPr>
            </w:pPr>
            <w:r w:rsidRPr="008216ED">
              <w:rPr>
                <w:sz w:val="22"/>
                <w:szCs w:val="24"/>
              </w:rPr>
              <w:t xml:space="preserve">ISOP </w:t>
            </w:r>
            <w:r w:rsidR="001A41C7" w:rsidRPr="008216ED">
              <w:rPr>
                <w:sz w:val="22"/>
                <w:szCs w:val="24"/>
              </w:rPr>
              <w:t>Service</w:t>
            </w:r>
          </w:p>
        </w:tc>
        <w:tc>
          <w:tcPr>
            <w:tcW w:w="6835" w:type="dxa"/>
            <w:shd w:val="clear" w:color="auto" w:fill="135E83" w:themeFill="accent1" w:themeFillShade="80"/>
          </w:tcPr>
          <w:p w14:paraId="304E0A5A" w14:textId="16FB5BEA" w:rsidR="00B767FC" w:rsidRPr="008216ED" w:rsidRDefault="001A41C7" w:rsidP="008216ED">
            <w:pPr>
              <w:tabs>
                <w:tab w:val="left" w:pos="360"/>
              </w:tabs>
              <w:jc w:val="center"/>
              <w:cnfStyle w:val="100000000000" w:firstRow="1" w:lastRow="0" w:firstColumn="0" w:lastColumn="0" w:oddVBand="0" w:evenVBand="0" w:oddHBand="0" w:evenHBand="0" w:firstRowFirstColumn="0" w:firstRowLastColumn="0" w:lastRowFirstColumn="0" w:lastRowLastColumn="0"/>
              <w:rPr>
                <w:sz w:val="22"/>
                <w:szCs w:val="24"/>
              </w:rPr>
            </w:pPr>
            <w:r w:rsidRPr="008216ED">
              <w:rPr>
                <w:sz w:val="22"/>
                <w:szCs w:val="24"/>
              </w:rPr>
              <w:t>Description</w:t>
            </w:r>
          </w:p>
        </w:tc>
      </w:tr>
      <w:tr w:rsidR="00B767FC" w:rsidRPr="00A4602B" w14:paraId="7FE31F81"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58DA2E16" w14:textId="751B643B" w:rsidR="00B767FC" w:rsidRPr="00182376" w:rsidRDefault="00881C47" w:rsidP="005D45C5">
            <w:pPr>
              <w:tabs>
                <w:tab w:val="left" w:pos="360"/>
              </w:tabs>
              <w:rPr>
                <w:b/>
                <w:bCs/>
              </w:rPr>
            </w:pPr>
            <w:r w:rsidRPr="00182376">
              <w:rPr>
                <w:b/>
                <w:bCs/>
              </w:rPr>
              <w:t>Energy Coach</w:t>
            </w:r>
          </w:p>
        </w:tc>
        <w:tc>
          <w:tcPr>
            <w:tcW w:w="6835" w:type="dxa"/>
          </w:tcPr>
          <w:p w14:paraId="4526E319" w14:textId="47FB6A1A" w:rsidR="00B767FC" w:rsidRPr="00A4602B" w:rsidRDefault="00186C35" w:rsidP="005D45C5">
            <w:pPr>
              <w:tabs>
                <w:tab w:val="left" w:pos="360"/>
              </w:tabs>
              <w:cnfStyle w:val="000000000000" w:firstRow="0" w:lastRow="0" w:firstColumn="0" w:lastColumn="0" w:oddVBand="0" w:evenVBand="0" w:oddHBand="0" w:evenHBand="0" w:firstRowFirstColumn="0" w:firstRowLastColumn="0" w:lastRowFirstColumn="0" w:lastRowLastColumn="0"/>
            </w:pPr>
            <w:r>
              <w:t>Participants</w:t>
            </w:r>
            <w:r w:rsidR="00F40158">
              <w:t xml:space="preserve"> are</w:t>
            </w:r>
            <w:r w:rsidR="00423726" w:rsidRPr="00423726">
              <w:t xml:space="preserve"> assigned a single‐point‐of‐contact </w:t>
            </w:r>
            <w:r w:rsidR="00DD0C23">
              <w:t>E</w:t>
            </w:r>
            <w:r w:rsidR="00423726" w:rsidRPr="00423726">
              <w:t xml:space="preserve">nergy </w:t>
            </w:r>
            <w:r w:rsidR="00DD0C23">
              <w:t>C</w:t>
            </w:r>
            <w:r w:rsidR="00423726" w:rsidRPr="00423726">
              <w:t xml:space="preserve">oach to facilitate the program process, provide energy coaching, and help each customer identify and advance energy‐saving projects. </w:t>
            </w:r>
            <w:r w:rsidR="00423726">
              <w:t>All</w:t>
            </w:r>
            <w:r w:rsidR="00423726" w:rsidRPr="00423726">
              <w:t xml:space="preserve"> </w:t>
            </w:r>
            <w:r w:rsidR="00DD0C23">
              <w:t>E</w:t>
            </w:r>
            <w:r w:rsidR="00423726" w:rsidRPr="00423726">
              <w:t xml:space="preserve">nergy </w:t>
            </w:r>
            <w:r w:rsidR="00DD0C23">
              <w:t>C</w:t>
            </w:r>
            <w:r w:rsidR="00423726" w:rsidRPr="00423726">
              <w:t>oaches have strong interpersonal relationship and communication skills in addition to technical and industry-specific expertise, enabling them to build trusting, long-term relationships with customers.</w:t>
            </w:r>
          </w:p>
        </w:tc>
      </w:tr>
      <w:tr w:rsidR="00881C47" w:rsidRPr="00A4602B" w14:paraId="1797D521"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473C8782" w14:textId="5CDA7F63" w:rsidR="00881C47" w:rsidRPr="00182376" w:rsidRDefault="00881C47" w:rsidP="005D45C5">
            <w:pPr>
              <w:tabs>
                <w:tab w:val="left" w:pos="360"/>
              </w:tabs>
              <w:rPr>
                <w:b/>
                <w:bCs/>
              </w:rPr>
            </w:pPr>
            <w:r w:rsidRPr="00182376">
              <w:rPr>
                <w:b/>
                <w:bCs/>
              </w:rPr>
              <w:t>Technical Training</w:t>
            </w:r>
          </w:p>
        </w:tc>
        <w:tc>
          <w:tcPr>
            <w:tcW w:w="6835" w:type="dxa"/>
          </w:tcPr>
          <w:p w14:paraId="78275293" w14:textId="132231ED" w:rsidR="00881C47" w:rsidRPr="00A4602B" w:rsidRDefault="00881C47" w:rsidP="005D45C5">
            <w:pPr>
              <w:tabs>
                <w:tab w:val="left" w:pos="360"/>
              </w:tabs>
              <w:cnfStyle w:val="000000000000" w:firstRow="0" w:lastRow="0" w:firstColumn="0" w:lastColumn="0" w:oddVBand="0" w:evenVBand="0" w:oddHBand="0" w:evenHBand="0" w:firstRowFirstColumn="0" w:firstRowLastColumn="0" w:lastRowFirstColumn="0" w:lastRowLastColumn="0"/>
            </w:pPr>
            <w:r>
              <w:t>ISOP offer</w:t>
            </w:r>
            <w:r w:rsidR="005E372D">
              <w:t>s</w:t>
            </w:r>
            <w:r>
              <w:t xml:space="preserve"> Training Initiated Education early in a participant’s engagement. In-person or virtual </w:t>
            </w:r>
            <w:r w:rsidRPr="00173FE5">
              <w:t xml:space="preserve">TIE workshops </w:t>
            </w:r>
            <w:r w:rsidR="00816839">
              <w:t>are</w:t>
            </w:r>
            <w:r w:rsidRPr="00173FE5">
              <w:t xml:space="preserve"> offered repeatedly and include invitees from multiple companies. Topics vary to be of interest to the market. Experts in industrial manufacturing and food processing systems and processes deliver TIE workshops, building trust with and helping activate customers.</w:t>
            </w:r>
          </w:p>
        </w:tc>
      </w:tr>
      <w:tr w:rsidR="00B36BB0" w:rsidRPr="00A4602B" w14:paraId="4E8BE5D6"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5E607BC2" w14:textId="233B7FAE" w:rsidR="00B36BB0" w:rsidRPr="00182376" w:rsidRDefault="00B36BB0" w:rsidP="005D45C5">
            <w:pPr>
              <w:tabs>
                <w:tab w:val="left" w:pos="360"/>
              </w:tabs>
              <w:rPr>
                <w:b/>
                <w:bCs/>
              </w:rPr>
            </w:pPr>
            <w:r w:rsidRPr="00182376">
              <w:rPr>
                <w:b/>
                <w:bCs/>
              </w:rPr>
              <w:t>On-Site Scoping Visit</w:t>
            </w:r>
          </w:p>
        </w:tc>
        <w:tc>
          <w:tcPr>
            <w:tcW w:w="6835" w:type="dxa"/>
          </w:tcPr>
          <w:p w14:paraId="3678ACDA" w14:textId="21E219B5" w:rsidR="00B36BB0" w:rsidRPr="00A4602B" w:rsidRDefault="00C2691B" w:rsidP="005D45C5">
            <w:pPr>
              <w:tabs>
                <w:tab w:val="left" w:pos="360"/>
              </w:tabs>
              <w:cnfStyle w:val="000000000000" w:firstRow="0" w:lastRow="0" w:firstColumn="0" w:lastColumn="0" w:oddVBand="0" w:evenVBand="0" w:oddHBand="0" w:evenHBand="0" w:firstRowFirstColumn="0" w:firstRowLastColumn="0" w:lastRowFirstColumn="0" w:lastRowLastColumn="0"/>
            </w:pPr>
            <w:r>
              <w:t>ISOP</w:t>
            </w:r>
            <w:r w:rsidRPr="00C2691B">
              <w:t xml:space="preserve"> </w:t>
            </w:r>
            <w:r w:rsidR="00AF3AA8">
              <w:t>can</w:t>
            </w:r>
            <w:r w:rsidRPr="00C2691B">
              <w:t xml:space="preserve"> arrange for a technical </w:t>
            </w:r>
            <w:r>
              <w:t>expert</w:t>
            </w:r>
            <w:r w:rsidRPr="00C2691B">
              <w:t xml:space="preserve"> to conduct an extensive scoping visit at </w:t>
            </w:r>
            <w:r w:rsidR="00C75DED" w:rsidRPr="00C2691B">
              <w:t>interested</w:t>
            </w:r>
            <w:r w:rsidRPr="00C2691B">
              <w:t xml:space="preserve"> high-potential sites to populate an opportunity register. During the scoping, the technical lead document</w:t>
            </w:r>
            <w:r w:rsidR="000E18D0">
              <w:t>s</w:t>
            </w:r>
            <w:r w:rsidRPr="00C2691B">
              <w:t xml:space="preserve"> baseline and early </w:t>
            </w:r>
            <w:r w:rsidR="008A7A54">
              <w:t>program</w:t>
            </w:r>
            <w:r w:rsidRPr="00C2691B">
              <w:t xml:space="preserve"> influence details.</w:t>
            </w:r>
          </w:p>
        </w:tc>
      </w:tr>
      <w:tr w:rsidR="00C43197" w:rsidRPr="00A4602B" w14:paraId="262E5DAD"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4298B66F" w14:textId="35F170DA" w:rsidR="00C43197" w:rsidRPr="00182376" w:rsidRDefault="00C43197" w:rsidP="005D45C5">
            <w:pPr>
              <w:tabs>
                <w:tab w:val="left" w:pos="360"/>
              </w:tabs>
              <w:rPr>
                <w:b/>
                <w:bCs/>
              </w:rPr>
            </w:pPr>
            <w:r w:rsidRPr="00182376">
              <w:rPr>
                <w:b/>
                <w:bCs/>
              </w:rPr>
              <w:t>Energy Management Coaching</w:t>
            </w:r>
            <w:r w:rsidR="00AE5711" w:rsidRPr="00182376">
              <w:rPr>
                <w:b/>
                <w:bCs/>
              </w:rPr>
              <w:t xml:space="preserve"> and Support</w:t>
            </w:r>
          </w:p>
        </w:tc>
        <w:tc>
          <w:tcPr>
            <w:tcW w:w="6835" w:type="dxa"/>
          </w:tcPr>
          <w:p w14:paraId="779B919E" w14:textId="0FE85076" w:rsidR="00C43197" w:rsidRPr="00A4602B" w:rsidRDefault="001F1F4C" w:rsidP="005D45C5">
            <w:pPr>
              <w:tabs>
                <w:tab w:val="left" w:pos="360"/>
              </w:tabs>
              <w:cnfStyle w:val="000000000000" w:firstRow="0" w:lastRow="0" w:firstColumn="0" w:lastColumn="0" w:oddVBand="0" w:evenVBand="0" w:oddHBand="0" w:evenHBand="0" w:firstRowFirstColumn="0" w:firstRowLastColumn="0" w:lastRowFirstColumn="0" w:lastRowLastColumn="0"/>
            </w:pPr>
            <w:r>
              <w:t>Participants</w:t>
            </w:r>
            <w:r w:rsidRPr="001F1F4C">
              <w:t xml:space="preserve"> pursuing the ISOP enhanced track receive energy coaching and energy management training. This coaching consists of a one-year site-level engagement during which the customer’s assigned </w:t>
            </w:r>
            <w:r w:rsidR="00DD0C23">
              <w:t>E</w:t>
            </w:r>
            <w:r w:rsidRPr="001F1F4C">
              <w:t xml:space="preserve">nergy </w:t>
            </w:r>
            <w:r w:rsidR="00DD0C23">
              <w:t>C</w:t>
            </w:r>
            <w:r w:rsidRPr="001F1F4C">
              <w:t xml:space="preserve">oach and technical lead help implement the opportunity register of projects identified during scoping and subsequent treasure hunts. </w:t>
            </w:r>
          </w:p>
        </w:tc>
      </w:tr>
      <w:tr w:rsidR="00881C47" w:rsidRPr="00A4602B" w14:paraId="6635F8F0"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36D8130E" w14:textId="56B31DBC" w:rsidR="00881C47" w:rsidRPr="00182376" w:rsidRDefault="00881C47" w:rsidP="005D45C5">
            <w:pPr>
              <w:tabs>
                <w:tab w:val="left" w:pos="360"/>
              </w:tabs>
              <w:rPr>
                <w:b/>
                <w:bCs/>
              </w:rPr>
            </w:pPr>
            <w:r w:rsidRPr="00182376">
              <w:rPr>
                <w:b/>
                <w:bCs/>
              </w:rPr>
              <w:t>SENSEI Energy Management and Collaboration Software</w:t>
            </w:r>
          </w:p>
        </w:tc>
        <w:tc>
          <w:tcPr>
            <w:tcW w:w="6835" w:type="dxa"/>
          </w:tcPr>
          <w:p w14:paraId="1A5FBF2E" w14:textId="2565FCF3" w:rsidR="00881C47" w:rsidRPr="00A4602B" w:rsidRDefault="003842FB" w:rsidP="005D45C5">
            <w:pPr>
              <w:tabs>
                <w:tab w:val="left" w:pos="360"/>
              </w:tabs>
              <w:cnfStyle w:val="000000000000" w:firstRow="0" w:lastRow="0" w:firstColumn="0" w:lastColumn="0" w:oddVBand="0" w:evenVBand="0" w:oddHBand="0" w:evenHBand="0" w:firstRowFirstColumn="0" w:firstRowLastColumn="0" w:lastRowFirstColumn="0" w:lastRowLastColumn="0"/>
            </w:pPr>
            <w:r w:rsidRPr="003842FB">
              <w:t xml:space="preserve">Active ISOP participants with high savings potential </w:t>
            </w:r>
            <w:r w:rsidR="004A750B">
              <w:t>have access to</w:t>
            </w:r>
            <w:r w:rsidRPr="003842FB">
              <w:t xml:space="preserve"> SENSEI®—Cascade’s energy management and collaboration software—to build and implement a detailed opportunity register of BRO and custom projects, track ongoing </w:t>
            </w:r>
            <w:r w:rsidR="00C16693">
              <w:t>normalized metered energy consumption (NMEC)</w:t>
            </w:r>
            <w:r w:rsidRPr="003842FB">
              <w:t xml:space="preserve"> performance, and provide regular energy-performance feedback. SENSEI® gathers energy data through Green Button Connect and production data through integration or upload and uses these and other factors to calculate and visualize energy savings over time.</w:t>
            </w:r>
          </w:p>
        </w:tc>
      </w:tr>
      <w:tr w:rsidR="00881C47" w:rsidRPr="00A4602B" w14:paraId="0D4D5C84"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2D91E606" w14:textId="670C046B" w:rsidR="00881C47" w:rsidRPr="00182376" w:rsidRDefault="00881C47" w:rsidP="005D45C5">
            <w:pPr>
              <w:tabs>
                <w:tab w:val="left" w:pos="360"/>
              </w:tabs>
              <w:rPr>
                <w:b/>
                <w:bCs/>
              </w:rPr>
            </w:pPr>
            <w:r w:rsidRPr="00182376">
              <w:rPr>
                <w:b/>
                <w:bCs/>
              </w:rPr>
              <w:t>Financial Incentives</w:t>
            </w:r>
          </w:p>
        </w:tc>
        <w:tc>
          <w:tcPr>
            <w:tcW w:w="6835" w:type="dxa"/>
          </w:tcPr>
          <w:p w14:paraId="51322F4C" w14:textId="082BC055" w:rsidR="00881C47" w:rsidRPr="00A4602B" w:rsidRDefault="00E72749" w:rsidP="005D45C5">
            <w:pPr>
              <w:tabs>
                <w:tab w:val="left" w:pos="360"/>
              </w:tabs>
              <w:cnfStyle w:val="000000000000" w:firstRow="0" w:lastRow="0" w:firstColumn="0" w:lastColumn="0" w:oddVBand="0" w:evenVBand="0" w:oddHBand="0" w:evenHBand="0" w:firstRowFirstColumn="0" w:firstRowLastColumn="0" w:lastRowFirstColumn="0" w:lastRowLastColumn="0"/>
            </w:pPr>
            <w:r w:rsidRPr="00E72749">
              <w:t>ISOP offers multi-tier financial incentive structure designed to reduce market and customer barriers and scale with lifetime savings.</w:t>
            </w:r>
          </w:p>
        </w:tc>
      </w:tr>
      <w:tr w:rsidR="00881C47" w:rsidRPr="00A4602B" w14:paraId="2F97A5C8" w14:textId="77777777" w:rsidTr="00E00D51">
        <w:tc>
          <w:tcPr>
            <w:cnfStyle w:val="001000000000" w:firstRow="0" w:lastRow="0" w:firstColumn="1" w:lastColumn="0" w:oddVBand="0" w:evenVBand="0" w:oddHBand="0" w:evenHBand="0" w:firstRowFirstColumn="0" w:firstRowLastColumn="0" w:lastRowFirstColumn="0" w:lastRowLastColumn="0"/>
            <w:tcW w:w="2160" w:type="dxa"/>
          </w:tcPr>
          <w:p w14:paraId="2D20778D" w14:textId="2270B6BA" w:rsidR="00881C47" w:rsidRPr="00182376" w:rsidRDefault="00881C47" w:rsidP="005D45C5">
            <w:pPr>
              <w:tabs>
                <w:tab w:val="left" w:pos="360"/>
              </w:tabs>
              <w:rPr>
                <w:b/>
                <w:bCs/>
              </w:rPr>
            </w:pPr>
            <w:r w:rsidRPr="00182376">
              <w:rPr>
                <w:b/>
                <w:bCs/>
              </w:rPr>
              <w:t>On-Bill Financing</w:t>
            </w:r>
          </w:p>
        </w:tc>
        <w:tc>
          <w:tcPr>
            <w:tcW w:w="6835" w:type="dxa"/>
          </w:tcPr>
          <w:p w14:paraId="51972C9F" w14:textId="73E212C4" w:rsidR="00881C47" w:rsidRPr="00A4602B" w:rsidRDefault="00977BDA" w:rsidP="005D45C5">
            <w:pPr>
              <w:tabs>
                <w:tab w:val="left" w:pos="360"/>
              </w:tabs>
              <w:cnfStyle w:val="000000000000" w:firstRow="0" w:lastRow="0" w:firstColumn="0" w:lastColumn="0" w:oddVBand="0" w:evenVBand="0" w:oddHBand="0" w:evenHBand="0" w:firstRowFirstColumn="0" w:firstRowLastColumn="0" w:lastRowFirstColumn="0" w:lastRowLastColumn="0"/>
            </w:pPr>
            <w:r>
              <w:t>C</w:t>
            </w:r>
            <w:r w:rsidR="009A1C99" w:rsidRPr="009A1C99">
              <w:t xml:space="preserve">ash and non-cash incentives </w:t>
            </w:r>
            <w:r w:rsidR="00764DAE">
              <w:t xml:space="preserve">are </w:t>
            </w:r>
            <w:r w:rsidR="00BA184C">
              <w:t>complemented by</w:t>
            </w:r>
            <w:r w:rsidR="009A1C99" w:rsidRPr="009A1C99">
              <w:t xml:space="preserve"> </w:t>
            </w:r>
            <w:r w:rsidR="00953506">
              <w:t>o</w:t>
            </w:r>
            <w:r w:rsidR="009A1C99" w:rsidRPr="009A1C99">
              <w:t>n-</w:t>
            </w:r>
            <w:r w:rsidR="00953506">
              <w:t>b</w:t>
            </w:r>
            <w:r w:rsidR="009A1C99" w:rsidRPr="009A1C99">
              <w:t xml:space="preserve">ill </w:t>
            </w:r>
            <w:r w:rsidR="00953506">
              <w:t>f</w:t>
            </w:r>
            <w:r w:rsidR="009A1C99" w:rsidRPr="009A1C99">
              <w:t xml:space="preserve">inancing </w:t>
            </w:r>
            <w:r w:rsidR="00953506">
              <w:t>– including</w:t>
            </w:r>
            <w:r w:rsidR="009A1C99" w:rsidRPr="009A1C99">
              <w:t xml:space="preserve"> </w:t>
            </w:r>
            <w:r w:rsidR="008447B3">
              <w:t>On-Bill Financing (</w:t>
            </w:r>
            <w:r w:rsidR="009A1C99" w:rsidRPr="009A1C99">
              <w:t>OBF</w:t>
            </w:r>
            <w:r w:rsidR="008447B3">
              <w:t>)</w:t>
            </w:r>
            <w:r w:rsidR="009A1C99" w:rsidRPr="009A1C99">
              <w:t xml:space="preserve"> </w:t>
            </w:r>
            <w:r w:rsidR="002D7B4D">
              <w:t xml:space="preserve">both with and </w:t>
            </w:r>
            <w:r w:rsidR="00200BB7">
              <w:t>without incentives</w:t>
            </w:r>
            <w:r w:rsidR="00CC66B1">
              <w:t xml:space="preserve"> – </w:t>
            </w:r>
            <w:r w:rsidR="00BA184C">
              <w:t>in alignment with PG&amp;E’s Energy Efficiency Business Plan.</w:t>
            </w:r>
          </w:p>
        </w:tc>
      </w:tr>
    </w:tbl>
    <w:p w14:paraId="171BA36B" w14:textId="310FE8B6" w:rsidR="001F70D0" w:rsidRDefault="00EB16D2" w:rsidP="005D45C5">
      <w:pPr>
        <w:pStyle w:val="Heading2"/>
        <w:tabs>
          <w:tab w:val="left" w:pos="360"/>
        </w:tabs>
      </w:pPr>
      <w:bookmarkStart w:id="15" w:name="_Toc54955110"/>
      <w:r w:rsidRPr="00A45136">
        <w:lastRenderedPageBreak/>
        <w:t>Program Design</w:t>
      </w:r>
      <w:r w:rsidR="00A16CAF" w:rsidRPr="00A45136">
        <w:t xml:space="preserve"> </w:t>
      </w:r>
      <w:r w:rsidRPr="00A45136">
        <w:t>and Best Practices</w:t>
      </w:r>
      <w:bookmarkEnd w:id="15"/>
    </w:p>
    <w:p w14:paraId="3B255748" w14:textId="4F300FB2" w:rsidR="00EB7048" w:rsidRPr="00EB7048" w:rsidRDefault="00EB7048" w:rsidP="00EB7048">
      <w:pPr>
        <w:pStyle w:val="Heading3"/>
      </w:pPr>
      <w:r>
        <w:t>Program Design</w:t>
      </w:r>
    </w:p>
    <w:p w14:paraId="70685885" w14:textId="60DEE86E" w:rsidR="00D67D10" w:rsidRDefault="00441F5A" w:rsidP="001814F0">
      <w:pPr>
        <w:tabs>
          <w:tab w:val="left" w:pos="360"/>
        </w:tabs>
        <w:ind w:left="360"/>
      </w:pPr>
      <w:r>
        <w:t>ISOP</w:t>
      </w:r>
      <w:r w:rsidR="00E3683A" w:rsidRPr="00A45136">
        <w:t xml:space="preserve"> is designed to achieve deep, persistent, and long-lived savings, by leading with training, leveraging energy management coaching, and adopting </w:t>
      </w:r>
      <w:r w:rsidR="00C0508F">
        <w:t>energy management strategies t</w:t>
      </w:r>
      <w:r w:rsidR="00E3683A" w:rsidRPr="00A45136">
        <w:t>hat have proven effective in program</w:t>
      </w:r>
      <w:r w:rsidR="00E3683A">
        <w:t xml:space="preserve"> delivery.</w:t>
      </w:r>
    </w:p>
    <w:p w14:paraId="4BFFD1AF" w14:textId="77777777" w:rsidR="00D67D10" w:rsidRDefault="00D67D10" w:rsidP="001814F0">
      <w:pPr>
        <w:tabs>
          <w:tab w:val="left" w:pos="360"/>
        </w:tabs>
        <w:ind w:left="360"/>
      </w:pPr>
    </w:p>
    <w:p w14:paraId="2A9E1F2A" w14:textId="6E18E46B" w:rsidR="001814F0" w:rsidRDefault="00441F5A" w:rsidP="001814F0">
      <w:pPr>
        <w:tabs>
          <w:tab w:val="left" w:pos="360"/>
        </w:tabs>
        <w:ind w:left="360"/>
      </w:pPr>
      <w:r>
        <w:t>This program</w:t>
      </w:r>
      <w:r w:rsidR="001814F0" w:rsidRPr="00CA6B5C">
        <w:t xml:space="preserve"> </w:t>
      </w:r>
      <w:r w:rsidR="003B0297">
        <w:t>engages</w:t>
      </w:r>
      <w:r w:rsidR="001814F0" w:rsidRPr="00CA6B5C">
        <w:t xml:space="preserve"> eligible energy users in manufacturing and food processing through a </w:t>
      </w:r>
      <w:r w:rsidR="001814F0" w:rsidRPr="005A5FBC">
        <w:t xml:space="preserve">standard or enhanced </w:t>
      </w:r>
      <w:r w:rsidR="001814F0" w:rsidRPr="00CA6B5C">
        <w:t xml:space="preserve">track based on their preference and eligibility. Small- and medium-sized business customers across manufacturing and food processing segments are expected to participate via the standard track while large and/or highly engaged sites with significant energy savings opportunity and interest in initiating an ongoing program to capture deep savings </w:t>
      </w:r>
      <w:r w:rsidR="00613524">
        <w:t>are</w:t>
      </w:r>
      <w:r w:rsidR="001814F0" w:rsidRPr="00CA6B5C">
        <w:t xml:space="preserve"> guided toward </w:t>
      </w:r>
      <w:r w:rsidR="00497941">
        <w:t>the</w:t>
      </w:r>
      <w:r w:rsidR="001814F0" w:rsidRPr="00CA6B5C">
        <w:t xml:space="preserve"> enhanced track.</w:t>
      </w:r>
    </w:p>
    <w:p w14:paraId="178A5270" w14:textId="77777777" w:rsidR="001814F0" w:rsidRDefault="001814F0" w:rsidP="005D45C5">
      <w:pPr>
        <w:tabs>
          <w:tab w:val="left" w:pos="360"/>
        </w:tabs>
        <w:ind w:left="360"/>
      </w:pPr>
    </w:p>
    <w:p w14:paraId="43A17BF2" w14:textId="143919DE" w:rsidR="00F640B5" w:rsidRDefault="0026547A" w:rsidP="005D45C5">
      <w:pPr>
        <w:tabs>
          <w:tab w:val="left" w:pos="360"/>
        </w:tabs>
        <w:ind w:left="360"/>
      </w:pPr>
      <w:r>
        <w:t>W</w:t>
      </w:r>
      <w:r w:rsidR="6722D810">
        <w:t>ith a focus on complex mechanical systems such as refrigeration, compressed air, pumping, fans, blowers, boiler and steam systems, and the industrial processes they serve</w:t>
      </w:r>
      <w:r>
        <w:t>, ISOP supports all relevant measure types</w:t>
      </w:r>
      <w:r w:rsidR="00F82C28">
        <w:t xml:space="preserve">, including </w:t>
      </w:r>
      <w:r w:rsidR="6722D810">
        <w:t xml:space="preserve">deemed and custom capital and BRO measures. </w:t>
      </w:r>
      <w:r w:rsidR="00F87F35">
        <w:t>While t</w:t>
      </w:r>
      <w:r w:rsidR="6722D810">
        <w:t>he program’s emphasis is on system, process, and controls optimization and associated upgrades</w:t>
      </w:r>
      <w:r w:rsidR="00F87F35">
        <w:t xml:space="preserve">, </w:t>
      </w:r>
      <w:r w:rsidR="00195389">
        <w:t xml:space="preserve">ISOP </w:t>
      </w:r>
      <w:r w:rsidR="00372B6A">
        <w:t>leverage</w:t>
      </w:r>
      <w:r w:rsidR="00F87F35">
        <w:t>s</w:t>
      </w:r>
      <w:r w:rsidR="00372B6A">
        <w:t xml:space="preserve"> all PG&amp;E </w:t>
      </w:r>
      <w:r w:rsidR="00876767">
        <w:t xml:space="preserve">Energy Efficiency Platforms – deemed, custom, NMEC, and financing – to </w:t>
      </w:r>
      <w:r w:rsidR="00F13DF3">
        <w:t xml:space="preserve">meet customer </w:t>
      </w:r>
      <w:r w:rsidR="006725E0">
        <w:t xml:space="preserve">expectations and </w:t>
      </w:r>
      <w:r w:rsidR="00D9177C">
        <w:t xml:space="preserve">to </w:t>
      </w:r>
      <w:r w:rsidR="006725E0">
        <w:t>quantify savings claims.</w:t>
      </w:r>
      <w:r w:rsidR="00876767">
        <w:t xml:space="preserve"> </w:t>
      </w:r>
      <w:r w:rsidR="6722D810">
        <w:t xml:space="preserve"> </w:t>
      </w:r>
    </w:p>
    <w:p w14:paraId="5B3A71A5" w14:textId="77777777" w:rsidR="00590EA8" w:rsidRDefault="00590EA8" w:rsidP="00590EA8">
      <w:pPr>
        <w:tabs>
          <w:tab w:val="left" w:pos="360"/>
        </w:tabs>
        <w:ind w:left="360"/>
      </w:pPr>
    </w:p>
    <w:p w14:paraId="6C2DA06B" w14:textId="563E8C39" w:rsidR="00590EA8" w:rsidRDefault="00590EA8" w:rsidP="00590EA8">
      <w:pPr>
        <w:tabs>
          <w:tab w:val="left" w:pos="360"/>
        </w:tabs>
        <w:ind w:left="360"/>
      </w:pPr>
      <w:r w:rsidRPr="00BC1A3F">
        <w:t>Thoughtfully structured, multi-tier incentives drive a wide variety of projects and deeper energy savings, in alignment with lifetime net energy savings.</w:t>
      </w:r>
      <w:r w:rsidRPr="00FF16B5">
        <w:t> </w:t>
      </w:r>
      <w:r>
        <w:t xml:space="preserve">Additionally, ISOP helps participating customers scope and implement projects that capture known, relatively low-hanging forms of savings. </w:t>
      </w:r>
      <w:r w:rsidR="00F70545">
        <w:t>OBF</w:t>
      </w:r>
      <w:r w:rsidR="002D7B4D">
        <w:t>,</w:t>
      </w:r>
      <w:r w:rsidR="00C94E9A">
        <w:t xml:space="preserve"> </w:t>
      </w:r>
      <w:r w:rsidR="002D7B4D">
        <w:t xml:space="preserve">both with and </w:t>
      </w:r>
      <w:r w:rsidR="00C94E9A">
        <w:t>without incentives, is</w:t>
      </w:r>
      <w:r>
        <w:t xml:space="preserve"> available as well.</w:t>
      </w:r>
    </w:p>
    <w:p w14:paraId="6E49F571" w14:textId="2C2CA821" w:rsidR="00EB7048" w:rsidRDefault="00EB7048" w:rsidP="00EB7048">
      <w:pPr>
        <w:pStyle w:val="Heading3"/>
      </w:pPr>
      <w:r>
        <w:t>Best Practices</w:t>
      </w:r>
    </w:p>
    <w:p w14:paraId="4C5057BB" w14:textId="71AAE77F" w:rsidR="00557FAC" w:rsidRDefault="00EF723F" w:rsidP="003F35D7">
      <w:pPr>
        <w:tabs>
          <w:tab w:val="left" w:pos="360"/>
        </w:tabs>
        <w:ind w:left="360"/>
      </w:pPr>
      <w:r>
        <w:t xml:space="preserve">ISOP </w:t>
      </w:r>
      <w:r w:rsidR="009A70E6">
        <w:t>is designed t</w:t>
      </w:r>
      <w:r w:rsidR="003F35D7">
        <w:rPr>
          <w:lang w:val="en-CA"/>
        </w:rPr>
        <w:t xml:space="preserve">o overcome specific barriers to increased energy efficiency adoption within California’s industrial sector. </w:t>
      </w:r>
      <w:r w:rsidR="003F35D7" w:rsidRPr="3BBBEC0E">
        <w:t xml:space="preserve">For small and medium customers, in which projects are smaller and customer expertise is less specialized, existing vendor relationships and sales channels are key to cost-effective results. </w:t>
      </w:r>
      <w:r w:rsidR="00F51683">
        <w:t xml:space="preserve">In addition to direct outreach, </w:t>
      </w:r>
      <w:r w:rsidR="003F35D7" w:rsidRPr="3BBBEC0E">
        <w:t>ISOP</w:t>
      </w:r>
      <w:r w:rsidR="006320E4">
        <w:t xml:space="preserve"> also</w:t>
      </w:r>
      <w:r w:rsidR="003F35D7" w:rsidRPr="3BBBEC0E">
        <w:t xml:space="preserve"> </w:t>
      </w:r>
      <w:r w:rsidR="00A91229">
        <w:t xml:space="preserve">leverages </w:t>
      </w:r>
      <w:r w:rsidR="004B7242">
        <w:t>its</w:t>
      </w:r>
      <w:r w:rsidR="00A91229">
        <w:t xml:space="preserve"> existing network of vendors</w:t>
      </w:r>
      <w:r w:rsidR="002D7B4D">
        <w:t xml:space="preserve"> and</w:t>
      </w:r>
      <w:r w:rsidR="00A91229">
        <w:t xml:space="preserve"> </w:t>
      </w:r>
      <w:r w:rsidR="00586E75">
        <w:t xml:space="preserve">trade allies to </w:t>
      </w:r>
      <w:r w:rsidR="006023F5">
        <w:t xml:space="preserve">identify </w:t>
      </w:r>
      <w:r w:rsidR="000D724F">
        <w:t xml:space="preserve">and develop </w:t>
      </w:r>
      <w:r w:rsidR="006023F5">
        <w:t>projects that may benefit from an energy efficiency upgrade.</w:t>
      </w:r>
      <w:r w:rsidR="00BB1AA5">
        <w:t xml:space="preserve"> </w:t>
      </w:r>
    </w:p>
    <w:p w14:paraId="044F2BF2" w14:textId="77777777" w:rsidR="003F35D7" w:rsidRDefault="003F35D7" w:rsidP="003F35D7">
      <w:pPr>
        <w:tabs>
          <w:tab w:val="left" w:pos="360"/>
        </w:tabs>
        <w:ind w:left="360"/>
      </w:pPr>
    </w:p>
    <w:p w14:paraId="38D70885" w14:textId="377ED447" w:rsidR="003F35D7" w:rsidRDefault="003F35D7" w:rsidP="00E44135">
      <w:pPr>
        <w:tabs>
          <w:tab w:val="left" w:pos="360"/>
        </w:tabs>
        <w:ind w:left="360"/>
      </w:pPr>
      <w:r w:rsidRPr="00FF16B5">
        <w:t xml:space="preserve">Mid-large industrial manufacturing and food processing customers value free, relevant technical assistance and </w:t>
      </w:r>
      <w:r w:rsidR="004B71AE">
        <w:t xml:space="preserve">often </w:t>
      </w:r>
      <w:r w:rsidRPr="00FF16B5">
        <w:t>prefer getting value through incremental system optimization (BRO measures) before pursuing capital intensive energy efficiency projects. </w:t>
      </w:r>
      <w:r w:rsidR="00A7647D">
        <w:t xml:space="preserve">In response, ISOP </w:t>
      </w:r>
      <w:r w:rsidR="006D73CF" w:rsidRPr="006D73CF">
        <w:t>target</w:t>
      </w:r>
      <w:r w:rsidR="006D73CF">
        <w:t>s</w:t>
      </w:r>
      <w:r w:rsidR="006D73CF" w:rsidRPr="006D73CF">
        <w:t xml:space="preserve"> </w:t>
      </w:r>
      <w:r w:rsidR="006D73CF">
        <w:t>this</w:t>
      </w:r>
      <w:r w:rsidR="006D73CF" w:rsidRPr="006D73CF">
        <w:t xml:space="preserve"> traditionally underserved segment </w:t>
      </w:r>
      <w:r w:rsidR="00BB1AA5">
        <w:t>(</w:t>
      </w:r>
      <w:r w:rsidR="006D73CF" w:rsidRPr="006D73CF">
        <w:t>mid-large industrial manufacturing and food processing facilities without in-house, dedicated energy staff)</w:t>
      </w:r>
      <w:r w:rsidR="006D73CF">
        <w:t xml:space="preserve"> and </w:t>
      </w:r>
      <w:r w:rsidR="00A7647D">
        <w:t xml:space="preserve">offers a </w:t>
      </w:r>
      <w:r w:rsidRPr="00BC1A3F">
        <w:t>long-term, highly competent single point of contact to simplify customer participation</w:t>
      </w:r>
      <w:r w:rsidR="00706A99">
        <w:t xml:space="preserve"> and</w:t>
      </w:r>
      <w:r w:rsidR="009F2562">
        <w:t xml:space="preserve"> </w:t>
      </w:r>
      <w:r w:rsidRPr="00BC1A3F">
        <w:t>identify, promote, and advance projects.</w:t>
      </w:r>
      <w:r w:rsidRPr="00FF16B5">
        <w:t> </w:t>
      </w:r>
    </w:p>
    <w:p w14:paraId="6415070C" w14:textId="15BC4296" w:rsidR="009950B6" w:rsidRDefault="009950B6" w:rsidP="00E44135">
      <w:pPr>
        <w:tabs>
          <w:tab w:val="left" w:pos="360"/>
        </w:tabs>
        <w:ind w:left="360"/>
      </w:pPr>
    </w:p>
    <w:p w14:paraId="744AEF74" w14:textId="04F32CA4" w:rsidR="00F61EAF" w:rsidRDefault="009950B6" w:rsidP="00F61EAF">
      <w:pPr>
        <w:tabs>
          <w:tab w:val="left" w:pos="360"/>
        </w:tabs>
        <w:ind w:left="360"/>
      </w:pPr>
      <w:r w:rsidRPr="00FF16B5">
        <w:lastRenderedPageBreak/>
        <w:t xml:space="preserve">All but the largest manufacturing and food processing customers typically lack the resources to employ energy management staff, and thereby lack the knowledge </w:t>
      </w:r>
      <w:r w:rsidR="00C328AF">
        <w:t xml:space="preserve">and bandwidth </w:t>
      </w:r>
      <w:r w:rsidRPr="00FF16B5">
        <w:t xml:space="preserve">to identify, quantify, and justify energy-efficiency measures. Even companies with energy-efficiency opportunities already identified are often short-staffed </w:t>
      </w:r>
      <w:r>
        <w:t>and unable</w:t>
      </w:r>
      <w:r w:rsidRPr="00FF16B5">
        <w:t xml:space="preserve"> to act on them. </w:t>
      </w:r>
      <w:r>
        <w:t>M</w:t>
      </w:r>
      <w:r w:rsidRPr="00FF16B5">
        <w:t>anufacturing and food processing customers tend to maintain and repair older equipment for as long as possible, reducing the potential for energy-efficiency additions. </w:t>
      </w:r>
      <w:r w:rsidR="00693EDE">
        <w:t>ISOP offers d</w:t>
      </w:r>
      <w:r w:rsidR="00693EDE" w:rsidRPr="00FF16B5">
        <w:t>eep, segment-appropriate technical expertise for new project identification and quality energy</w:t>
      </w:r>
      <w:r w:rsidR="00693EDE">
        <w:t xml:space="preserve"> </w:t>
      </w:r>
      <w:r w:rsidR="00693EDE" w:rsidRPr="00FF16B5">
        <w:t>engineering service</w:t>
      </w:r>
      <w:r w:rsidR="00E33736">
        <w:t>s</w:t>
      </w:r>
      <w:r w:rsidR="00693EDE">
        <w:t>, en</w:t>
      </w:r>
      <w:r w:rsidR="00693EDE" w:rsidRPr="007B74D9">
        <w:t>ergy studies, energy project management</w:t>
      </w:r>
      <w:r w:rsidR="007838A8">
        <w:t xml:space="preserve"> co-funding</w:t>
      </w:r>
      <w:r w:rsidR="00693EDE" w:rsidRPr="007B74D9">
        <w:t xml:space="preserve">, and energy coaching </w:t>
      </w:r>
      <w:r w:rsidR="00693EDE">
        <w:t>to</w:t>
      </w:r>
      <w:r w:rsidR="00693EDE" w:rsidRPr="007B74D9">
        <w:t xml:space="preserve"> help customers </w:t>
      </w:r>
      <w:r w:rsidR="00D41534">
        <w:t xml:space="preserve">of all sizes </w:t>
      </w:r>
      <w:r w:rsidR="00693EDE" w:rsidRPr="007B74D9">
        <w:t>bridge the gap.</w:t>
      </w:r>
      <w:r w:rsidR="00F61EAF" w:rsidRPr="00F61EAF">
        <w:t xml:space="preserve"> </w:t>
      </w:r>
    </w:p>
    <w:p w14:paraId="72532531" w14:textId="79D131BE" w:rsidR="009950B6" w:rsidRDefault="009950B6" w:rsidP="00E44135">
      <w:pPr>
        <w:tabs>
          <w:tab w:val="left" w:pos="360"/>
        </w:tabs>
        <w:ind w:left="360"/>
      </w:pPr>
    </w:p>
    <w:p w14:paraId="7BD1E204" w14:textId="4B39153D" w:rsidR="003F35D7" w:rsidRPr="00BC1A3F" w:rsidRDefault="003F35D7" w:rsidP="00F61EAF">
      <w:pPr>
        <w:pStyle w:val="BulletList-1"/>
        <w:tabs>
          <w:tab w:val="clear" w:pos="720"/>
          <w:tab w:val="left" w:pos="360"/>
        </w:tabs>
        <w:ind w:left="360" w:firstLine="0"/>
      </w:pPr>
      <w:r w:rsidRPr="00FF16B5">
        <w:t>Larger manufacturing and food processing customers can struggle with layers of decision-makers with different motivations</w:t>
      </w:r>
      <w:r>
        <w:t xml:space="preserve">, and the </w:t>
      </w:r>
      <w:r w:rsidRPr="00FF16B5">
        <w:t xml:space="preserve">internal capital allocation process </w:t>
      </w:r>
      <w:r>
        <w:t>can be</w:t>
      </w:r>
      <w:r w:rsidRPr="00FF16B5">
        <w:t xml:space="preserve"> highly competitive. Projects submitted for funding typically outstrip available budget by a factor of two- or three-to-one. Projects that increase production capacity or ensure ongoing compliance with regulation are typically selected over energy</w:t>
      </w:r>
      <w:r>
        <w:t xml:space="preserve"> e</w:t>
      </w:r>
      <w:r w:rsidRPr="00FF16B5">
        <w:t>fficiency projects.</w:t>
      </w:r>
      <w:r w:rsidRPr="00FC4622">
        <w:t xml:space="preserve"> </w:t>
      </w:r>
      <w:r w:rsidRPr="00BC1A3F">
        <w:t>For select customers, SENSEI® energy management and collaboration software </w:t>
      </w:r>
      <w:proofErr w:type="gramStart"/>
      <w:r w:rsidRPr="00B04D1A">
        <w:t>makes</w:t>
      </w:r>
      <w:proofErr w:type="gramEnd"/>
      <w:r w:rsidRPr="00B04D1A">
        <w:t xml:space="preserve"> energy information visible to staff and leaders within the organization </w:t>
      </w:r>
      <w:r>
        <w:t xml:space="preserve">to </w:t>
      </w:r>
      <w:r w:rsidRPr="00B04D1A">
        <w:t xml:space="preserve">promote engagement around energy management. </w:t>
      </w:r>
      <w:r>
        <w:t xml:space="preserve">SENSEI </w:t>
      </w:r>
      <w:r w:rsidR="00EC42A2">
        <w:t>provides</w:t>
      </w:r>
      <w:r w:rsidR="00564A46">
        <w:t xml:space="preserve"> </w:t>
      </w:r>
      <w:r w:rsidRPr="00BC1A3F">
        <w:t xml:space="preserve">access </w:t>
      </w:r>
      <w:r w:rsidR="00CE30BD">
        <w:t xml:space="preserve">to </w:t>
      </w:r>
      <w:r w:rsidRPr="00BC1A3F">
        <w:t xml:space="preserve">actionable energy data, </w:t>
      </w:r>
      <w:r w:rsidR="005360F7">
        <w:t>helps prioritize</w:t>
      </w:r>
      <w:r w:rsidR="00564A46">
        <w:t xml:space="preserve"> </w:t>
      </w:r>
      <w:r w:rsidRPr="00BC1A3F">
        <w:t xml:space="preserve">opportunities, </w:t>
      </w:r>
      <w:r w:rsidR="00C524BD">
        <w:t xml:space="preserve">ties actions to results </w:t>
      </w:r>
      <w:r w:rsidRPr="00BC1A3F">
        <w:t xml:space="preserve">and </w:t>
      </w:r>
      <w:r w:rsidR="008A58A4">
        <w:t xml:space="preserve">provides </w:t>
      </w:r>
      <w:r w:rsidR="00EA2D86">
        <w:t>another means of documenting program</w:t>
      </w:r>
      <w:r w:rsidRPr="00BC1A3F">
        <w:t xml:space="preserve"> influence. </w:t>
      </w:r>
    </w:p>
    <w:p w14:paraId="7C44B187" w14:textId="77777777" w:rsidR="00B207A1" w:rsidRDefault="00B207A1" w:rsidP="00B207A1">
      <w:pPr>
        <w:tabs>
          <w:tab w:val="left" w:pos="360"/>
        </w:tabs>
        <w:ind w:left="360"/>
      </w:pPr>
    </w:p>
    <w:p w14:paraId="7E9E27AA" w14:textId="73F0F989" w:rsidR="00401171" w:rsidRDefault="00D26C51" w:rsidP="00BB18E4">
      <w:pPr>
        <w:ind w:left="360"/>
      </w:pPr>
      <w:r>
        <w:t xml:space="preserve">ISOP takes a proactive approach to building relationships, fostering </w:t>
      </w:r>
      <w:proofErr w:type="gramStart"/>
      <w:r>
        <w:t>participation</w:t>
      </w:r>
      <w:proofErr w:type="gramEnd"/>
      <w:r>
        <w:t xml:space="preserve"> and influencing and supporting implementation. </w:t>
      </w:r>
      <w:r w:rsidR="00BC1D72">
        <w:t>By deploying</w:t>
      </w:r>
      <w:r>
        <w:t xml:space="preserve"> </w:t>
      </w:r>
      <w:r w:rsidR="00DD0C23">
        <w:t>E</w:t>
      </w:r>
      <w:r>
        <w:t xml:space="preserve">nergy </w:t>
      </w:r>
      <w:r w:rsidR="00DD0C23">
        <w:t>C</w:t>
      </w:r>
      <w:r>
        <w:t>oaches experienced in the manufacturing and food processing industrial subsectors</w:t>
      </w:r>
      <w:r w:rsidR="00231A2C">
        <w:t>,</w:t>
      </w:r>
      <w:r>
        <w:t xml:space="preserve"> </w:t>
      </w:r>
      <w:r w:rsidR="00BC1D72">
        <w:t>ISOP</w:t>
      </w:r>
      <w:r>
        <w:t xml:space="preserve"> build</w:t>
      </w:r>
      <w:r w:rsidR="00BC1D72">
        <w:t>s</w:t>
      </w:r>
      <w:r>
        <w:t xml:space="preserve"> strong relationships at the plant manager, maintenance manager and corporate energy manager levels</w:t>
      </w:r>
      <w:r w:rsidR="00B2672E">
        <w:t>.</w:t>
      </w:r>
      <w:r>
        <w:t xml:space="preserve"> This simplified, single point of contact approach </w:t>
      </w:r>
      <w:r w:rsidR="006D1E9C">
        <w:t>ensures a responsive and focused program</w:t>
      </w:r>
      <w:r w:rsidR="001F3170">
        <w:t xml:space="preserve"> interaction that</w:t>
      </w:r>
      <w:r>
        <w:t xml:space="preserve"> helps build long-term customer relationships</w:t>
      </w:r>
      <w:r w:rsidR="00B877E9">
        <w:t>,</w:t>
      </w:r>
      <w:r>
        <w:t xml:space="preserve"> increases project activity</w:t>
      </w:r>
      <w:r w:rsidR="00BC1D72">
        <w:t xml:space="preserve">, and </w:t>
      </w:r>
      <w:r>
        <w:t>allow</w:t>
      </w:r>
      <w:r w:rsidR="00BC1D72">
        <w:t xml:space="preserve">s </w:t>
      </w:r>
      <w:r w:rsidR="00B877E9">
        <w:t>us</w:t>
      </w:r>
      <w:r>
        <w:t xml:space="preserve"> to dig ever deeper into each site’s potential across multiple sub-systems and processes. </w:t>
      </w:r>
    </w:p>
    <w:p w14:paraId="7538B62E" w14:textId="77777777" w:rsidR="00401171" w:rsidRDefault="00401171" w:rsidP="00BB18E4">
      <w:pPr>
        <w:ind w:left="360"/>
      </w:pPr>
    </w:p>
    <w:p w14:paraId="3FBB537C" w14:textId="1464AC75" w:rsidR="003F35D7" w:rsidRDefault="0069200B" w:rsidP="00BB18E4">
      <w:pPr>
        <w:ind w:left="360"/>
        <w:rPr>
          <w:lang w:val="en-CA"/>
        </w:rPr>
      </w:pPr>
      <w:r w:rsidRPr="3BBBEC0E">
        <w:t>Seeking first to understand, building trust incrementally, becoming a trusted advisor, and consistently delivering on promises</w:t>
      </w:r>
      <w:r>
        <w:t xml:space="preserve"> are best practices that</w:t>
      </w:r>
      <w:r w:rsidRPr="3BBBEC0E">
        <w:t xml:space="preserve"> enable a more effective program. </w:t>
      </w:r>
      <w:r w:rsidR="003C5C6E">
        <w:rPr>
          <w:lang w:val="en-CA"/>
        </w:rPr>
        <w:t xml:space="preserve">For more information on </w:t>
      </w:r>
      <w:r w:rsidR="003F35D7">
        <w:rPr>
          <w:lang w:val="en-CA"/>
        </w:rPr>
        <w:t>barriers and strategies</w:t>
      </w:r>
      <w:r w:rsidR="003C5C6E">
        <w:rPr>
          <w:lang w:val="en-CA"/>
        </w:rPr>
        <w:t xml:space="preserve"> see the </w:t>
      </w:r>
      <w:r w:rsidR="003F35D7">
        <w:rPr>
          <w:lang w:val="en-CA"/>
        </w:rPr>
        <w:t>Program Theory of Change Diagram (Supporting Document 2).</w:t>
      </w:r>
    </w:p>
    <w:p w14:paraId="1F6ACE41" w14:textId="6C52B531" w:rsidR="00EB16D2" w:rsidRDefault="00EB16D2" w:rsidP="005D45C5">
      <w:pPr>
        <w:pStyle w:val="Heading2"/>
        <w:tabs>
          <w:tab w:val="left" w:pos="360"/>
        </w:tabs>
      </w:pPr>
      <w:bookmarkStart w:id="16" w:name="_Toc54955111"/>
      <w:r w:rsidRPr="1E57BC6D">
        <w:t>Innovation</w:t>
      </w:r>
      <w:bookmarkEnd w:id="16"/>
      <w:r w:rsidR="00677CA3">
        <w:t xml:space="preserve"> </w:t>
      </w:r>
    </w:p>
    <w:p w14:paraId="576BE314" w14:textId="7FCFD7B8" w:rsidR="00AC31A9" w:rsidRDefault="007D7296" w:rsidP="00340535">
      <w:pPr>
        <w:tabs>
          <w:tab w:val="left" w:pos="360"/>
        </w:tabs>
        <w:ind w:left="360"/>
      </w:pPr>
      <w:r>
        <w:t xml:space="preserve">ISOP </w:t>
      </w:r>
      <w:r w:rsidR="00AE7169">
        <w:t xml:space="preserve">utilizes several innovations to </w:t>
      </w:r>
      <w:r w:rsidR="008F2219">
        <w:t xml:space="preserve">technologies, marketing strategies, and </w:t>
      </w:r>
      <w:r w:rsidR="00AE7169">
        <w:t xml:space="preserve">program delivery </w:t>
      </w:r>
      <w:r w:rsidRPr="007D7296">
        <w:t>to increase the uptake of cost-effective energy efficiency</w:t>
      </w:r>
      <w:r w:rsidR="007A546B">
        <w:t xml:space="preserve">, </w:t>
      </w:r>
      <w:r w:rsidR="006F312E">
        <w:t>im</w:t>
      </w:r>
      <w:r w:rsidR="004217CC" w:rsidRPr="004217CC">
        <w:t>prove program effectiveness</w:t>
      </w:r>
      <w:r w:rsidR="006F312E">
        <w:t>,</w:t>
      </w:r>
      <w:r w:rsidR="004217CC" w:rsidRPr="004217CC">
        <w:t xml:space="preserve"> and increase customer participation</w:t>
      </w:r>
      <w:r w:rsidR="00204133">
        <w:t xml:space="preserve"> (</w:t>
      </w:r>
      <w:r w:rsidR="00F64704">
        <w:fldChar w:fldCharType="begin"/>
      </w:r>
      <w:r w:rsidR="00F64704">
        <w:instrText xml:space="preserve"> REF _Ref55386440 \h </w:instrText>
      </w:r>
      <w:r w:rsidR="00F64704">
        <w:fldChar w:fldCharType="separate"/>
      </w:r>
      <w:r w:rsidR="00A020D4">
        <w:t xml:space="preserve">Table </w:t>
      </w:r>
      <w:r w:rsidR="00A020D4">
        <w:rPr>
          <w:noProof/>
        </w:rPr>
        <w:t>4</w:t>
      </w:r>
      <w:r w:rsidR="00F64704">
        <w:fldChar w:fldCharType="end"/>
      </w:r>
      <w:r w:rsidR="00204133">
        <w:t>)</w:t>
      </w:r>
      <w:r w:rsidR="00DF6D4A">
        <w:t>.</w:t>
      </w:r>
    </w:p>
    <w:p w14:paraId="247050DD" w14:textId="03DB06A1" w:rsidR="00AE2E93" w:rsidRDefault="00AE2E93" w:rsidP="00340535">
      <w:pPr>
        <w:tabs>
          <w:tab w:val="left" w:pos="360"/>
        </w:tabs>
        <w:ind w:left="360"/>
      </w:pPr>
    </w:p>
    <w:p w14:paraId="049A07E3" w14:textId="242D4830" w:rsidR="00AE2E93" w:rsidRDefault="00AE2E93" w:rsidP="00340535">
      <w:pPr>
        <w:tabs>
          <w:tab w:val="left" w:pos="360"/>
        </w:tabs>
        <w:ind w:left="360"/>
      </w:pPr>
    </w:p>
    <w:p w14:paraId="7837202B" w14:textId="75D9FD71" w:rsidR="00AE2E93" w:rsidRDefault="00AE2E93" w:rsidP="00340535">
      <w:pPr>
        <w:tabs>
          <w:tab w:val="left" w:pos="360"/>
        </w:tabs>
        <w:ind w:left="360"/>
      </w:pPr>
    </w:p>
    <w:p w14:paraId="46DCC093" w14:textId="77777777" w:rsidR="00AE2E93" w:rsidRDefault="00AE2E93" w:rsidP="00340535">
      <w:pPr>
        <w:tabs>
          <w:tab w:val="left" w:pos="360"/>
        </w:tabs>
        <w:ind w:left="360"/>
      </w:pPr>
    </w:p>
    <w:p w14:paraId="1BCB0199" w14:textId="3C852E74" w:rsidR="00251870" w:rsidRDefault="00251870" w:rsidP="00340535">
      <w:pPr>
        <w:tabs>
          <w:tab w:val="left" w:pos="360"/>
        </w:tabs>
        <w:ind w:left="360"/>
      </w:pPr>
    </w:p>
    <w:p w14:paraId="6F897E12" w14:textId="5B0C5337" w:rsidR="004D6516" w:rsidRDefault="00370642" w:rsidP="00370642">
      <w:pPr>
        <w:pStyle w:val="Caption"/>
        <w:ind w:left="360"/>
      </w:pPr>
      <w:bookmarkStart w:id="17" w:name="_Ref54864914"/>
      <w:bookmarkStart w:id="18" w:name="_Ref55386440"/>
      <w:bookmarkStart w:id="19" w:name="_Ref54864907"/>
      <w:r>
        <w:lastRenderedPageBreak/>
        <w:t xml:space="preserve">Table </w:t>
      </w:r>
      <w:r>
        <w:fldChar w:fldCharType="begin"/>
      </w:r>
      <w:r>
        <w:instrText>SEQ Table \* ARABIC</w:instrText>
      </w:r>
      <w:r>
        <w:fldChar w:fldCharType="separate"/>
      </w:r>
      <w:r w:rsidR="00A020D4">
        <w:rPr>
          <w:noProof/>
        </w:rPr>
        <w:t>4</w:t>
      </w:r>
      <w:r>
        <w:fldChar w:fldCharType="end"/>
      </w:r>
      <w:bookmarkEnd w:id="17"/>
      <w:bookmarkEnd w:id="18"/>
      <w:r w:rsidR="004D6516">
        <w:t xml:space="preserve">. </w:t>
      </w:r>
      <w:bookmarkEnd w:id="19"/>
      <w:r w:rsidR="002D3B82">
        <w:t>Program Innovation Summary</w:t>
      </w:r>
    </w:p>
    <w:tbl>
      <w:tblPr>
        <w:tblStyle w:val="BlueGreyTable"/>
        <w:tblW w:w="4810" w:type="pct"/>
        <w:tblInd w:w="355" w:type="dxa"/>
        <w:tblLayout w:type="fixed"/>
        <w:tblCellMar>
          <w:top w:w="43" w:type="dxa"/>
          <w:left w:w="108" w:type="dxa"/>
          <w:bottom w:w="43" w:type="dxa"/>
          <w:right w:w="108" w:type="dxa"/>
        </w:tblCellMar>
        <w:tblLook w:val="04A0" w:firstRow="1" w:lastRow="0" w:firstColumn="1" w:lastColumn="0" w:noHBand="0" w:noVBand="1"/>
      </w:tblPr>
      <w:tblGrid>
        <w:gridCol w:w="4861"/>
        <w:gridCol w:w="1349"/>
        <w:gridCol w:w="1439"/>
        <w:gridCol w:w="1346"/>
      </w:tblGrid>
      <w:tr w:rsidR="005C460E" w14:paraId="01066CD1" w14:textId="77777777" w:rsidTr="00474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pct"/>
            <w:vMerge w:val="restart"/>
            <w:shd w:val="clear" w:color="auto" w:fill="135E83" w:themeFill="accent1" w:themeFillShade="80"/>
          </w:tcPr>
          <w:p w14:paraId="44E5BB7A" w14:textId="3D0E57C9" w:rsidR="00FE31CD" w:rsidRPr="00FA6891" w:rsidRDefault="00FE31CD" w:rsidP="00FE31CD">
            <w:pPr>
              <w:tabs>
                <w:tab w:val="left" w:pos="360"/>
              </w:tabs>
              <w:jc w:val="center"/>
              <w:rPr>
                <w:bCs/>
                <w:color w:val="135E83" w:themeColor="accent1" w:themeShade="80"/>
                <w:sz w:val="22"/>
              </w:rPr>
            </w:pPr>
            <w:r w:rsidRPr="00FA6891">
              <w:rPr>
                <w:bCs/>
                <w:sz w:val="22"/>
              </w:rPr>
              <w:t>Innovation</w:t>
            </w:r>
          </w:p>
        </w:tc>
        <w:tc>
          <w:tcPr>
            <w:tcW w:w="2298" w:type="pct"/>
            <w:gridSpan w:val="3"/>
            <w:shd w:val="clear" w:color="auto" w:fill="135E83" w:themeFill="accent1" w:themeFillShade="80"/>
          </w:tcPr>
          <w:p w14:paraId="1DE1F87C" w14:textId="19EFAA59" w:rsidR="00FE31CD" w:rsidRPr="00FE31CD" w:rsidRDefault="00FE31CD" w:rsidP="00FE31CD">
            <w:pPr>
              <w:tabs>
                <w:tab w:val="left" w:pos="360"/>
              </w:tabs>
              <w:jc w:val="center"/>
              <w:cnfStyle w:val="100000000000" w:firstRow="1" w:lastRow="0" w:firstColumn="0" w:lastColumn="0" w:oddVBand="0" w:evenVBand="0" w:oddHBand="0" w:evenHBand="0" w:firstRowFirstColumn="0" w:firstRowLastColumn="0" w:lastRowFirstColumn="0" w:lastRowLastColumn="0"/>
              <w:rPr>
                <w:sz w:val="22"/>
              </w:rPr>
            </w:pPr>
            <w:r w:rsidRPr="00FE31CD">
              <w:rPr>
                <w:sz w:val="22"/>
              </w:rPr>
              <w:t>Innovation Type</w:t>
            </w:r>
          </w:p>
        </w:tc>
      </w:tr>
      <w:tr w:rsidR="002D7B4D" w14:paraId="693D7C86" w14:textId="77777777" w:rsidTr="00375E6E">
        <w:tc>
          <w:tcPr>
            <w:cnfStyle w:val="001000000000" w:firstRow="0" w:lastRow="0" w:firstColumn="1" w:lastColumn="0" w:oddVBand="0" w:evenVBand="0" w:oddHBand="0" w:evenHBand="0" w:firstRowFirstColumn="0" w:firstRowLastColumn="0" w:lastRowFirstColumn="0" w:lastRowLastColumn="0"/>
            <w:tcW w:w="2702" w:type="pct"/>
            <w:vMerge/>
            <w:shd w:val="clear" w:color="auto" w:fill="135E83" w:themeFill="accent1" w:themeFillShade="80"/>
          </w:tcPr>
          <w:p w14:paraId="1D3272C0" w14:textId="27DD3E28" w:rsidR="00FE31CD" w:rsidRPr="00FE31CD" w:rsidRDefault="00FE31CD" w:rsidP="00FE31CD">
            <w:pPr>
              <w:tabs>
                <w:tab w:val="left" w:pos="360"/>
              </w:tabs>
              <w:jc w:val="center"/>
              <w:rPr>
                <w:b/>
                <w:color w:val="FFFFFF" w:themeColor="background1"/>
              </w:rPr>
            </w:pPr>
          </w:p>
        </w:tc>
        <w:tc>
          <w:tcPr>
            <w:tcW w:w="750" w:type="pct"/>
            <w:shd w:val="clear" w:color="auto" w:fill="135E83" w:themeFill="accent1" w:themeFillShade="80"/>
          </w:tcPr>
          <w:p w14:paraId="07F3F270" w14:textId="13396DB5" w:rsidR="00FE31CD" w:rsidRPr="008216ED" w:rsidRDefault="00FE31CD" w:rsidP="00FE31CD">
            <w:pPr>
              <w:tabs>
                <w:tab w:val="left" w:pos="360"/>
              </w:tabs>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8216ED">
              <w:rPr>
                <w:b/>
                <w:color w:val="FFFFFF" w:themeColor="background1"/>
              </w:rPr>
              <w:t>Delivery Approach</w:t>
            </w:r>
          </w:p>
        </w:tc>
        <w:tc>
          <w:tcPr>
            <w:tcW w:w="800" w:type="pct"/>
            <w:shd w:val="clear" w:color="auto" w:fill="135E83" w:themeFill="accent1" w:themeFillShade="80"/>
          </w:tcPr>
          <w:p w14:paraId="34A86B2F" w14:textId="3771AAF1" w:rsidR="00FE31CD" w:rsidRPr="008216ED" w:rsidRDefault="00FE31CD" w:rsidP="00FE31CD">
            <w:pPr>
              <w:tabs>
                <w:tab w:val="left" w:pos="360"/>
              </w:tabs>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8216ED">
              <w:rPr>
                <w:b/>
                <w:color w:val="FFFFFF" w:themeColor="background1"/>
              </w:rPr>
              <w:t>Marketing Strategy</w:t>
            </w:r>
          </w:p>
        </w:tc>
        <w:tc>
          <w:tcPr>
            <w:tcW w:w="748" w:type="pct"/>
            <w:shd w:val="clear" w:color="auto" w:fill="135E83" w:themeFill="accent1" w:themeFillShade="80"/>
          </w:tcPr>
          <w:p w14:paraId="3C24C244" w14:textId="1573B597" w:rsidR="00FE31CD" w:rsidRPr="008216ED" w:rsidRDefault="00FE31CD" w:rsidP="00FE31CD">
            <w:pPr>
              <w:tabs>
                <w:tab w:val="left" w:pos="360"/>
              </w:tabs>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8216ED">
              <w:rPr>
                <w:b/>
                <w:color w:val="FFFFFF" w:themeColor="background1"/>
              </w:rPr>
              <w:t>Technology</w:t>
            </w:r>
          </w:p>
        </w:tc>
      </w:tr>
      <w:tr w:rsidR="00FA6891" w14:paraId="658D2C6F" w14:textId="77777777" w:rsidTr="004742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pct"/>
          </w:tcPr>
          <w:p w14:paraId="2D9398F8" w14:textId="7A4161EA" w:rsidR="008512C4" w:rsidRPr="00310BFD" w:rsidRDefault="00FE31CD" w:rsidP="00340535">
            <w:pPr>
              <w:tabs>
                <w:tab w:val="left" w:pos="360"/>
              </w:tabs>
            </w:pPr>
            <w:r w:rsidRPr="00310BFD">
              <w:t>Long-term single point of contact to drive engagement and pipeline</w:t>
            </w:r>
          </w:p>
        </w:tc>
        <w:tc>
          <w:tcPr>
            <w:tcW w:w="750" w:type="pct"/>
            <w:shd w:val="clear" w:color="auto" w:fill="auto"/>
          </w:tcPr>
          <w:p w14:paraId="76DF0801" w14:textId="1D135C09" w:rsidR="008512C4"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sz w:val="44"/>
                <w:szCs w:val="44"/>
              </w:rPr>
            </w:pPr>
            <w:r w:rsidRPr="008216ED">
              <w:rPr>
                <w:color w:val="135E83" w:themeColor="accent1" w:themeShade="80"/>
                <w:sz w:val="44"/>
                <w:szCs w:val="44"/>
              </w:rPr>
              <w:t>●</w:t>
            </w:r>
          </w:p>
        </w:tc>
        <w:tc>
          <w:tcPr>
            <w:tcW w:w="800" w:type="pct"/>
            <w:shd w:val="clear" w:color="auto" w:fill="auto"/>
          </w:tcPr>
          <w:p w14:paraId="6542FAB5" w14:textId="77777777" w:rsidR="008512C4" w:rsidRPr="008216ED" w:rsidRDefault="008512C4"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p>
        </w:tc>
        <w:tc>
          <w:tcPr>
            <w:tcW w:w="748" w:type="pct"/>
            <w:shd w:val="clear" w:color="auto" w:fill="auto"/>
          </w:tcPr>
          <w:p w14:paraId="5598E4C5" w14:textId="77777777" w:rsidR="008512C4" w:rsidRPr="008216ED" w:rsidRDefault="008512C4"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p>
        </w:tc>
      </w:tr>
      <w:tr w:rsidR="005C460E" w14:paraId="45F25F5A" w14:textId="77777777" w:rsidTr="00474233">
        <w:tc>
          <w:tcPr>
            <w:cnfStyle w:val="001000000000" w:firstRow="0" w:lastRow="0" w:firstColumn="1" w:lastColumn="0" w:oddVBand="0" w:evenVBand="0" w:oddHBand="0" w:evenHBand="0" w:firstRowFirstColumn="0" w:firstRowLastColumn="0" w:lastRowFirstColumn="0" w:lastRowLastColumn="0"/>
            <w:tcW w:w="2702" w:type="pct"/>
          </w:tcPr>
          <w:p w14:paraId="5D11F538" w14:textId="5D117D18" w:rsidR="00FA6891" w:rsidRPr="00310BFD" w:rsidRDefault="00FA6891" w:rsidP="00FA6891">
            <w:pPr>
              <w:tabs>
                <w:tab w:val="left" w:pos="360"/>
              </w:tabs>
            </w:pPr>
            <w:r w:rsidRPr="00310BFD">
              <w:t xml:space="preserve">Energy management coaching to build awareness, facilitate long-term, ongoing engagement, build </w:t>
            </w:r>
            <w:proofErr w:type="gramStart"/>
            <w:r w:rsidRPr="00310BFD">
              <w:t>trust</w:t>
            </w:r>
            <w:proofErr w:type="gramEnd"/>
            <w:r w:rsidRPr="00310BFD">
              <w:t xml:space="preserve"> and influence and drive persistent savings</w:t>
            </w:r>
          </w:p>
        </w:tc>
        <w:tc>
          <w:tcPr>
            <w:tcW w:w="750" w:type="pct"/>
            <w:shd w:val="clear" w:color="auto" w:fill="auto"/>
            <w:vAlign w:val="top"/>
          </w:tcPr>
          <w:p w14:paraId="14F94AF3" w14:textId="142757FE"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800" w:type="pct"/>
            <w:shd w:val="clear" w:color="auto" w:fill="auto"/>
          </w:tcPr>
          <w:p w14:paraId="3ABD0B71" w14:textId="77777777"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p>
        </w:tc>
        <w:tc>
          <w:tcPr>
            <w:tcW w:w="748" w:type="pct"/>
            <w:shd w:val="clear" w:color="auto" w:fill="auto"/>
          </w:tcPr>
          <w:p w14:paraId="016CCC9D" w14:textId="77777777"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p>
        </w:tc>
      </w:tr>
      <w:tr w:rsidR="005C460E" w14:paraId="0F808584" w14:textId="77777777" w:rsidTr="00474233">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702" w:type="pct"/>
          </w:tcPr>
          <w:p w14:paraId="196C06B5" w14:textId="09C44EB1" w:rsidR="00FA6891" w:rsidRPr="00310BFD" w:rsidRDefault="00FA6891" w:rsidP="00FA6891">
            <w:pPr>
              <w:tabs>
                <w:tab w:val="left" w:pos="360"/>
              </w:tabs>
            </w:pPr>
            <w:r w:rsidRPr="00310BFD">
              <w:t>Multiple tracks to increase program accessibility</w:t>
            </w:r>
          </w:p>
        </w:tc>
        <w:tc>
          <w:tcPr>
            <w:tcW w:w="750" w:type="pct"/>
            <w:shd w:val="clear" w:color="auto" w:fill="auto"/>
            <w:vAlign w:val="top"/>
          </w:tcPr>
          <w:p w14:paraId="604A0593" w14:textId="4EF5230A"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800" w:type="pct"/>
            <w:shd w:val="clear" w:color="auto" w:fill="auto"/>
          </w:tcPr>
          <w:p w14:paraId="12C4BE9C" w14:textId="6D8852DE"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748" w:type="pct"/>
            <w:shd w:val="clear" w:color="auto" w:fill="auto"/>
          </w:tcPr>
          <w:p w14:paraId="20D110DC" w14:textId="77777777"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p>
        </w:tc>
      </w:tr>
      <w:tr w:rsidR="005C460E" w14:paraId="3A7CFA89" w14:textId="77777777" w:rsidTr="00474233">
        <w:tc>
          <w:tcPr>
            <w:cnfStyle w:val="001000000000" w:firstRow="0" w:lastRow="0" w:firstColumn="1" w:lastColumn="0" w:oddVBand="0" w:evenVBand="0" w:oddHBand="0" w:evenHBand="0" w:firstRowFirstColumn="0" w:firstRowLastColumn="0" w:lastRowFirstColumn="0" w:lastRowLastColumn="0"/>
            <w:tcW w:w="2702" w:type="pct"/>
          </w:tcPr>
          <w:p w14:paraId="60751116" w14:textId="39021CA6" w:rsidR="00FA6891" w:rsidRPr="00310BFD" w:rsidRDefault="00FA6891" w:rsidP="00FA6891">
            <w:pPr>
              <w:tabs>
                <w:tab w:val="left" w:pos="360"/>
              </w:tabs>
            </w:pPr>
            <w:r w:rsidRPr="00310BFD">
              <w:t>Actionable energy data and influence documentation through SENSEI®</w:t>
            </w:r>
          </w:p>
        </w:tc>
        <w:tc>
          <w:tcPr>
            <w:tcW w:w="750" w:type="pct"/>
            <w:shd w:val="clear" w:color="auto" w:fill="auto"/>
            <w:vAlign w:val="top"/>
          </w:tcPr>
          <w:p w14:paraId="061D67D1" w14:textId="2747FEB7"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800" w:type="pct"/>
            <w:shd w:val="clear" w:color="auto" w:fill="auto"/>
          </w:tcPr>
          <w:p w14:paraId="312462D7" w14:textId="77777777"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p>
        </w:tc>
        <w:tc>
          <w:tcPr>
            <w:tcW w:w="748" w:type="pct"/>
            <w:shd w:val="clear" w:color="auto" w:fill="auto"/>
          </w:tcPr>
          <w:p w14:paraId="5BF0A87F" w14:textId="27DAFEA8" w:rsidR="00FA6891" w:rsidRPr="008216ED" w:rsidRDefault="00FA6891" w:rsidP="00FA6891">
            <w:pPr>
              <w:tabs>
                <w:tab w:val="left" w:pos="360"/>
              </w:tabs>
              <w:jc w:val="center"/>
              <w:cnfStyle w:val="000000000000" w:firstRow="0" w:lastRow="0" w:firstColumn="0" w:lastColumn="0" w:oddVBand="0" w:evenVBand="0" w:oddHBand="0" w:evenHBand="0" w:firstRowFirstColumn="0" w:firstRowLastColumn="0" w:lastRowFirstColumn="0" w:lastRowLastColumn="0"/>
              <w:rPr>
                <w:color w:val="135E83" w:themeColor="accent1" w:themeShade="80"/>
              </w:rPr>
            </w:pPr>
            <w:r w:rsidRPr="008216ED">
              <w:rPr>
                <w:color w:val="135E83" w:themeColor="accent1" w:themeShade="80"/>
                <w:sz w:val="44"/>
                <w:szCs w:val="44"/>
              </w:rPr>
              <w:t>●</w:t>
            </w:r>
          </w:p>
        </w:tc>
      </w:tr>
      <w:tr w:rsidR="005C460E" w14:paraId="714E275E" w14:textId="77777777" w:rsidTr="004742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pct"/>
          </w:tcPr>
          <w:p w14:paraId="4A437774" w14:textId="53CCDC85" w:rsidR="00FA6891" w:rsidRPr="00310BFD" w:rsidRDefault="00FA6891" w:rsidP="00FA6891">
            <w:pPr>
              <w:tabs>
                <w:tab w:val="left" w:pos="360"/>
              </w:tabs>
            </w:pPr>
            <w:r w:rsidRPr="00310BFD">
              <w:t>Creative, multi-tiered incentive options to drive deeper energy savings</w:t>
            </w:r>
          </w:p>
        </w:tc>
        <w:tc>
          <w:tcPr>
            <w:tcW w:w="750" w:type="pct"/>
            <w:shd w:val="clear" w:color="auto" w:fill="auto"/>
            <w:vAlign w:val="top"/>
          </w:tcPr>
          <w:p w14:paraId="194A890A" w14:textId="72A0FDAA"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800" w:type="pct"/>
            <w:shd w:val="clear" w:color="auto" w:fill="auto"/>
          </w:tcPr>
          <w:p w14:paraId="5B780DB0" w14:textId="145A5B37"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r w:rsidRPr="008216ED">
              <w:rPr>
                <w:color w:val="135E83" w:themeColor="accent1" w:themeShade="80"/>
                <w:sz w:val="44"/>
                <w:szCs w:val="44"/>
              </w:rPr>
              <w:t>●</w:t>
            </w:r>
          </w:p>
        </w:tc>
        <w:tc>
          <w:tcPr>
            <w:tcW w:w="748" w:type="pct"/>
            <w:shd w:val="clear" w:color="auto" w:fill="auto"/>
          </w:tcPr>
          <w:p w14:paraId="27B1F69A" w14:textId="77777777" w:rsidR="00FA6891" w:rsidRPr="008216ED" w:rsidRDefault="00FA6891" w:rsidP="00FA6891">
            <w:pPr>
              <w:tabs>
                <w:tab w:val="left" w:pos="360"/>
              </w:tabs>
              <w:jc w:val="center"/>
              <w:cnfStyle w:val="000000010000" w:firstRow="0" w:lastRow="0" w:firstColumn="0" w:lastColumn="0" w:oddVBand="0" w:evenVBand="0" w:oddHBand="0" w:evenHBand="1" w:firstRowFirstColumn="0" w:firstRowLastColumn="0" w:lastRowFirstColumn="0" w:lastRowLastColumn="0"/>
              <w:rPr>
                <w:color w:val="135E83" w:themeColor="accent1" w:themeShade="80"/>
              </w:rPr>
            </w:pPr>
          </w:p>
        </w:tc>
      </w:tr>
    </w:tbl>
    <w:p w14:paraId="66ECA5A6" w14:textId="77777777" w:rsidR="00DE01D6" w:rsidRDefault="00DE01D6" w:rsidP="005D45C5">
      <w:pPr>
        <w:pStyle w:val="Body1"/>
        <w:tabs>
          <w:tab w:val="left" w:pos="360"/>
        </w:tabs>
      </w:pPr>
    </w:p>
    <w:p w14:paraId="7E64E9B9" w14:textId="157D7D27" w:rsidR="00EB16D2" w:rsidRDefault="00EB16D2" w:rsidP="005D45C5">
      <w:pPr>
        <w:pStyle w:val="Heading2"/>
        <w:tabs>
          <w:tab w:val="left" w:pos="360"/>
        </w:tabs>
      </w:pPr>
      <w:bookmarkStart w:id="20" w:name="_Toc54955112"/>
      <w:r w:rsidRPr="1E57BC6D">
        <w:t>Metrics</w:t>
      </w:r>
      <w:bookmarkEnd w:id="20"/>
      <w:r w:rsidR="00A16CAF">
        <w:t xml:space="preserve"> </w:t>
      </w:r>
    </w:p>
    <w:bookmarkStart w:id="21" w:name="_Ref54168267"/>
    <w:p w14:paraId="1FF55082" w14:textId="64FF79BB" w:rsidR="002838BC" w:rsidRDefault="00F64704" w:rsidP="00F64704">
      <w:pPr>
        <w:ind w:left="360"/>
      </w:pPr>
      <w:r>
        <w:fldChar w:fldCharType="begin"/>
      </w:r>
      <w:r>
        <w:instrText xml:space="preserve"> REF _Ref55386389 \h </w:instrText>
      </w:r>
      <w:r>
        <w:fldChar w:fldCharType="separate"/>
      </w:r>
      <w:r w:rsidR="00A020D4">
        <w:t xml:space="preserve">Table </w:t>
      </w:r>
      <w:r w:rsidR="00A020D4">
        <w:rPr>
          <w:noProof/>
        </w:rPr>
        <w:t>5</w:t>
      </w:r>
      <w:r>
        <w:fldChar w:fldCharType="end"/>
      </w:r>
      <w:r w:rsidR="000F57F0">
        <w:t xml:space="preserve"> summarizes the </w:t>
      </w:r>
      <w:r w:rsidR="001C44E4">
        <w:t>key performance indicators</w:t>
      </w:r>
      <w:r w:rsidR="0072514B">
        <w:t xml:space="preserve"> for assessing </w:t>
      </w:r>
      <w:r w:rsidR="0048676B">
        <w:t>program performance.</w:t>
      </w:r>
    </w:p>
    <w:p w14:paraId="3BD682B1" w14:textId="77777777" w:rsidR="0048676B" w:rsidRDefault="0048676B" w:rsidP="000F57F0"/>
    <w:p w14:paraId="5F1B35F1" w14:textId="515A6F3A" w:rsidR="00200AF2" w:rsidRDefault="00200AF2" w:rsidP="00A12B4B">
      <w:pPr>
        <w:pStyle w:val="Caption"/>
        <w:tabs>
          <w:tab w:val="left" w:pos="360"/>
        </w:tabs>
        <w:ind w:left="360"/>
      </w:pPr>
      <w:bookmarkStart w:id="22" w:name="_Ref55386389"/>
      <w:r>
        <w:t xml:space="preserve">Table </w:t>
      </w:r>
      <w:r>
        <w:fldChar w:fldCharType="begin"/>
      </w:r>
      <w:r>
        <w:instrText>SEQ Table \* ARABIC</w:instrText>
      </w:r>
      <w:r>
        <w:fldChar w:fldCharType="separate"/>
      </w:r>
      <w:r w:rsidR="00A020D4">
        <w:rPr>
          <w:noProof/>
        </w:rPr>
        <w:t>5</w:t>
      </w:r>
      <w:r>
        <w:fldChar w:fldCharType="end"/>
      </w:r>
      <w:bookmarkEnd w:id="21"/>
      <w:bookmarkEnd w:id="22"/>
      <w:r>
        <w:t xml:space="preserve">. </w:t>
      </w:r>
      <w:r w:rsidR="003B4D32">
        <w:t xml:space="preserve">Key Performance Indicators </w:t>
      </w:r>
    </w:p>
    <w:tbl>
      <w:tblPr>
        <w:tblStyle w:val="BlueGreyTable"/>
        <w:tblW w:w="4810" w:type="pct"/>
        <w:tblInd w:w="355" w:type="dxa"/>
        <w:tblLook w:val="06A0" w:firstRow="1" w:lastRow="0" w:firstColumn="1" w:lastColumn="0" w:noHBand="1" w:noVBand="1"/>
      </w:tblPr>
      <w:tblGrid>
        <w:gridCol w:w="2251"/>
        <w:gridCol w:w="6744"/>
      </w:tblGrid>
      <w:tr w:rsidR="00BE28E0" w:rsidRPr="00A4602B" w14:paraId="1D70605C" w14:textId="424F69C8" w:rsidTr="00821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shd w:val="clear" w:color="auto" w:fill="135E83" w:themeFill="accent1" w:themeFillShade="80"/>
          </w:tcPr>
          <w:p w14:paraId="7A5299F9" w14:textId="1A3122F1" w:rsidR="00BE28E0" w:rsidRPr="00A12B4B" w:rsidRDefault="004D5E5E" w:rsidP="00A12B4B">
            <w:pPr>
              <w:tabs>
                <w:tab w:val="left" w:pos="360"/>
              </w:tabs>
              <w:jc w:val="center"/>
              <w:rPr>
                <w:sz w:val="22"/>
              </w:rPr>
            </w:pPr>
            <w:r>
              <w:rPr>
                <w:sz w:val="22"/>
              </w:rPr>
              <w:t>Category</w:t>
            </w:r>
          </w:p>
        </w:tc>
        <w:tc>
          <w:tcPr>
            <w:tcW w:w="3749" w:type="pct"/>
            <w:shd w:val="clear" w:color="auto" w:fill="135E83" w:themeFill="accent1" w:themeFillShade="80"/>
          </w:tcPr>
          <w:p w14:paraId="4DE9CD28" w14:textId="337587FC" w:rsidR="00BE28E0" w:rsidRPr="00A12B4B" w:rsidRDefault="004D5E5E" w:rsidP="00A12B4B">
            <w:pPr>
              <w:tabs>
                <w:tab w:val="left" w:pos="360"/>
              </w:tabs>
              <w:jc w:val="center"/>
              <w:cnfStyle w:val="100000000000" w:firstRow="1" w:lastRow="0" w:firstColumn="0" w:lastColumn="0" w:oddVBand="0" w:evenVBand="0" w:oddHBand="0" w:evenHBand="0" w:firstRowFirstColumn="0" w:firstRowLastColumn="0" w:lastRowFirstColumn="0" w:lastRowLastColumn="0"/>
              <w:rPr>
                <w:sz w:val="22"/>
              </w:rPr>
            </w:pPr>
            <w:r>
              <w:rPr>
                <w:sz w:val="22"/>
              </w:rPr>
              <w:t>Key Performance Indicator</w:t>
            </w:r>
          </w:p>
        </w:tc>
      </w:tr>
      <w:tr w:rsidR="002C2D45" w:rsidRPr="00A4602B" w14:paraId="5F6CEDF4" w14:textId="77777777" w:rsidTr="00D24357">
        <w:tc>
          <w:tcPr>
            <w:cnfStyle w:val="001000000000" w:firstRow="0" w:lastRow="0" w:firstColumn="1" w:lastColumn="0" w:oddVBand="0" w:evenVBand="0" w:oddHBand="0" w:evenHBand="0" w:firstRowFirstColumn="0" w:firstRowLastColumn="0" w:lastRowFirstColumn="0" w:lastRowLastColumn="0"/>
            <w:tcW w:w="1251" w:type="pct"/>
          </w:tcPr>
          <w:p w14:paraId="490B2C31" w14:textId="01FEC051" w:rsidR="002C2D45" w:rsidRPr="00B21951" w:rsidRDefault="002C2D45" w:rsidP="00D24357">
            <w:pPr>
              <w:tabs>
                <w:tab w:val="left" w:pos="360"/>
              </w:tabs>
            </w:pPr>
            <w:r w:rsidRPr="00B21951">
              <w:t>Energy Savings</w:t>
            </w:r>
          </w:p>
        </w:tc>
        <w:tc>
          <w:tcPr>
            <w:tcW w:w="3749" w:type="pct"/>
            <w:vAlign w:val="top"/>
          </w:tcPr>
          <w:p w14:paraId="4CAB3715" w14:textId="5059C858" w:rsidR="002C2D45" w:rsidRPr="00B21951" w:rsidRDefault="008900ED" w:rsidP="005D45C5">
            <w:pPr>
              <w:tabs>
                <w:tab w:val="left" w:pos="360"/>
              </w:tabs>
              <w:cnfStyle w:val="000000000000" w:firstRow="0" w:lastRow="0" w:firstColumn="0" w:lastColumn="0" w:oddVBand="0" w:evenVBand="0" w:oddHBand="0" w:evenHBand="0" w:firstRowFirstColumn="0" w:firstRowLastColumn="0" w:lastRowFirstColumn="0" w:lastRowLastColumn="0"/>
            </w:pPr>
            <w:r w:rsidRPr="00B21951">
              <w:t>Annualized first-year net and gross energy savings</w:t>
            </w:r>
            <w:r w:rsidR="00210262" w:rsidRPr="00B21951">
              <w:t xml:space="preserve"> (kW, kWh, </w:t>
            </w:r>
            <w:proofErr w:type="spellStart"/>
            <w:r w:rsidR="00210262" w:rsidRPr="00B21951">
              <w:t>Therms</w:t>
            </w:r>
            <w:proofErr w:type="spellEnd"/>
            <w:r w:rsidR="00210262" w:rsidRPr="00B21951">
              <w:t>)</w:t>
            </w:r>
            <w:r w:rsidRPr="00B21951">
              <w:t xml:space="preserve"> for each calendar year, in addition to estimated net and gross lifecycle energy savings.</w:t>
            </w:r>
          </w:p>
        </w:tc>
      </w:tr>
      <w:tr w:rsidR="002C2D45" w:rsidRPr="00A4602B" w14:paraId="35EB04D4" w14:textId="77777777" w:rsidTr="00D24357">
        <w:tc>
          <w:tcPr>
            <w:cnfStyle w:val="001000000000" w:firstRow="0" w:lastRow="0" w:firstColumn="1" w:lastColumn="0" w:oddVBand="0" w:evenVBand="0" w:oddHBand="0" w:evenHBand="0" w:firstRowFirstColumn="0" w:firstRowLastColumn="0" w:lastRowFirstColumn="0" w:lastRowLastColumn="0"/>
            <w:tcW w:w="1251" w:type="pct"/>
          </w:tcPr>
          <w:p w14:paraId="65975541" w14:textId="6B0AD618" w:rsidR="002B2644" w:rsidRPr="00B21951" w:rsidRDefault="002C2D45" w:rsidP="00D24357">
            <w:pPr>
              <w:tabs>
                <w:tab w:val="left" w:pos="360"/>
              </w:tabs>
            </w:pPr>
            <w:r w:rsidRPr="00B21951">
              <w:t>Cost Effectiveness</w:t>
            </w:r>
          </w:p>
        </w:tc>
        <w:tc>
          <w:tcPr>
            <w:tcW w:w="3749" w:type="pct"/>
            <w:vAlign w:val="top"/>
          </w:tcPr>
          <w:p w14:paraId="79AE7C7F" w14:textId="6716A6AF" w:rsidR="002C2D45" w:rsidRPr="00B21951" w:rsidRDefault="007F62E8" w:rsidP="005D45C5">
            <w:pPr>
              <w:tabs>
                <w:tab w:val="left" w:pos="360"/>
              </w:tabs>
              <w:cnfStyle w:val="000000000000" w:firstRow="0" w:lastRow="0" w:firstColumn="0" w:lastColumn="0" w:oddVBand="0" w:evenVBand="0" w:oddHBand="0" w:evenHBand="0" w:firstRowFirstColumn="0" w:firstRowLastColumn="0" w:lastRowFirstColumn="0" w:lastRowLastColumn="0"/>
            </w:pPr>
            <w:r>
              <w:t>F</w:t>
            </w:r>
            <w:r w:rsidRPr="00B21951">
              <w:t>or gas and electric benefits</w:t>
            </w:r>
            <w:r>
              <w:t xml:space="preserve">: </w:t>
            </w:r>
            <w:proofErr w:type="spellStart"/>
            <w:r w:rsidR="00623E5A" w:rsidRPr="00B21951">
              <w:t>TRC</w:t>
            </w:r>
            <w:r w:rsidR="004C7B40">
              <w:t>Ratio</w:t>
            </w:r>
            <w:proofErr w:type="spellEnd"/>
            <w:r w:rsidR="00590812">
              <w:t xml:space="preserve">, </w:t>
            </w:r>
            <w:proofErr w:type="spellStart"/>
            <w:r w:rsidR="00570D45">
              <w:t>TRCRatioNoAdmin</w:t>
            </w:r>
            <w:proofErr w:type="spellEnd"/>
            <w:r w:rsidR="00570D45">
              <w:t xml:space="preserve">, </w:t>
            </w:r>
            <w:r w:rsidR="003A56B1" w:rsidRPr="00B21951">
              <w:t xml:space="preserve">PAC, </w:t>
            </w:r>
            <w:r w:rsidR="00E11C8E">
              <w:t xml:space="preserve">and </w:t>
            </w:r>
            <w:r w:rsidR="00B55B38">
              <w:t>Ratepayer Impact Measure (</w:t>
            </w:r>
            <w:r w:rsidR="003A56B1" w:rsidRPr="00B21951">
              <w:t>RIM</w:t>
            </w:r>
            <w:r w:rsidR="00945BC5">
              <w:t xml:space="preserve"> Test</w:t>
            </w:r>
            <w:r w:rsidR="00B55B38">
              <w:t>)</w:t>
            </w:r>
          </w:p>
        </w:tc>
      </w:tr>
      <w:tr w:rsidR="00D24357" w:rsidRPr="00A4602B" w14:paraId="64475AA2" w14:textId="77777777" w:rsidTr="00D24357">
        <w:tc>
          <w:tcPr>
            <w:cnfStyle w:val="001000000000" w:firstRow="0" w:lastRow="0" w:firstColumn="1" w:lastColumn="0" w:oddVBand="0" w:evenVBand="0" w:oddHBand="0" w:evenHBand="0" w:firstRowFirstColumn="0" w:firstRowLastColumn="0" w:lastRowFirstColumn="0" w:lastRowLastColumn="0"/>
            <w:tcW w:w="1251" w:type="pct"/>
          </w:tcPr>
          <w:p w14:paraId="124119B3" w14:textId="5690F940" w:rsidR="00D24357" w:rsidRPr="00B21951" w:rsidRDefault="00FD2B68" w:rsidP="00D24357">
            <w:pPr>
              <w:tabs>
                <w:tab w:val="left" w:pos="360"/>
              </w:tabs>
            </w:pPr>
            <w:r w:rsidRPr="00B21951">
              <w:t>Quality</w:t>
            </w:r>
          </w:p>
        </w:tc>
        <w:tc>
          <w:tcPr>
            <w:tcW w:w="3749" w:type="pct"/>
            <w:vAlign w:val="top"/>
          </w:tcPr>
          <w:p w14:paraId="6683AB16" w14:textId="032A8085" w:rsidR="00D24357" w:rsidRPr="00B21951" w:rsidRDefault="00FB4BE9" w:rsidP="00F64704">
            <w:pPr>
              <w:tabs>
                <w:tab w:val="left" w:pos="360"/>
              </w:tabs>
              <w:cnfStyle w:val="000000000000" w:firstRow="0" w:lastRow="0" w:firstColumn="0" w:lastColumn="0" w:oddVBand="0" w:evenVBand="0" w:oddHBand="0" w:evenHBand="0" w:firstRowFirstColumn="0" w:firstRowLastColumn="0" w:lastRowFirstColumn="0" w:lastRowLastColumn="0"/>
            </w:pPr>
            <w:r w:rsidRPr="00B21951">
              <w:t xml:space="preserve">Accuracy of </w:t>
            </w:r>
            <w:r w:rsidR="00FD2B68" w:rsidRPr="00B21951">
              <w:t>savings estimate</w:t>
            </w:r>
            <w:r w:rsidR="00984F7C" w:rsidRPr="00B21951">
              <w:t>s</w:t>
            </w:r>
            <w:r w:rsidR="00F64704">
              <w:t>, d</w:t>
            </w:r>
            <w:r w:rsidR="00134303" w:rsidRPr="00B21951">
              <w:t>eemed measure pass rate</w:t>
            </w:r>
          </w:p>
        </w:tc>
      </w:tr>
      <w:tr w:rsidR="00BE28E0" w:rsidRPr="00A4602B" w14:paraId="41DCB316" w14:textId="2F8A2CF4" w:rsidTr="00D24357">
        <w:tc>
          <w:tcPr>
            <w:cnfStyle w:val="001000000000" w:firstRow="0" w:lastRow="0" w:firstColumn="1" w:lastColumn="0" w:oddVBand="0" w:evenVBand="0" w:oddHBand="0" w:evenHBand="0" w:firstRowFirstColumn="0" w:firstRowLastColumn="0" w:lastRowFirstColumn="0" w:lastRowLastColumn="0"/>
            <w:tcW w:w="1251" w:type="pct"/>
          </w:tcPr>
          <w:p w14:paraId="7B2D6151" w14:textId="5B1626C3" w:rsidR="002C1FF0" w:rsidRPr="00B21951" w:rsidRDefault="002B2644" w:rsidP="00D24357">
            <w:pPr>
              <w:tabs>
                <w:tab w:val="left" w:pos="360"/>
              </w:tabs>
            </w:pPr>
            <w:r w:rsidRPr="00B21951">
              <w:t>Safety</w:t>
            </w:r>
          </w:p>
        </w:tc>
        <w:tc>
          <w:tcPr>
            <w:tcW w:w="3749" w:type="pct"/>
            <w:vAlign w:val="top"/>
          </w:tcPr>
          <w:p w14:paraId="16FB4D99" w14:textId="6B4D604D" w:rsidR="00BE28E0" w:rsidRPr="00B21951" w:rsidRDefault="002C5295" w:rsidP="005D45C5">
            <w:pPr>
              <w:tabs>
                <w:tab w:val="left" w:pos="360"/>
              </w:tabs>
              <w:cnfStyle w:val="000000000000" w:firstRow="0" w:lastRow="0" w:firstColumn="0" w:lastColumn="0" w:oddVBand="0" w:evenVBand="0" w:oddHBand="0" w:evenHBand="0" w:firstRowFirstColumn="0" w:firstRowLastColumn="0" w:lastRowFirstColumn="0" w:lastRowLastColumn="0"/>
            </w:pPr>
            <w:r w:rsidRPr="00B21951">
              <w:t xml:space="preserve">Number of </w:t>
            </w:r>
            <w:r w:rsidR="002C1FF0" w:rsidRPr="00B21951">
              <w:t>work-related injuries</w:t>
            </w:r>
          </w:p>
        </w:tc>
      </w:tr>
      <w:tr w:rsidR="004B1094" w:rsidRPr="00A4602B" w14:paraId="0A19F5CB" w14:textId="77777777" w:rsidTr="00D24357">
        <w:tc>
          <w:tcPr>
            <w:cnfStyle w:val="001000000000" w:firstRow="0" w:lastRow="0" w:firstColumn="1" w:lastColumn="0" w:oddVBand="0" w:evenVBand="0" w:oddHBand="0" w:evenHBand="0" w:firstRowFirstColumn="0" w:firstRowLastColumn="0" w:lastRowFirstColumn="0" w:lastRowLastColumn="0"/>
            <w:tcW w:w="1251" w:type="pct"/>
          </w:tcPr>
          <w:p w14:paraId="273BF68A" w14:textId="6AF439A5" w:rsidR="004B1094" w:rsidRPr="00B21951" w:rsidRDefault="004B1094" w:rsidP="00D24357">
            <w:pPr>
              <w:tabs>
                <w:tab w:val="left" w:pos="360"/>
              </w:tabs>
            </w:pPr>
            <w:r w:rsidRPr="00B21951">
              <w:t>Customer Outreach</w:t>
            </w:r>
          </w:p>
        </w:tc>
        <w:tc>
          <w:tcPr>
            <w:tcW w:w="3749" w:type="pct"/>
            <w:vAlign w:val="top"/>
          </w:tcPr>
          <w:p w14:paraId="426DD1E4" w14:textId="4B0DBA3E" w:rsidR="004B1094" w:rsidRPr="00B21951" w:rsidRDefault="004B1094" w:rsidP="005D45C5">
            <w:pPr>
              <w:tabs>
                <w:tab w:val="left" w:pos="360"/>
              </w:tabs>
              <w:cnfStyle w:val="000000000000" w:firstRow="0" w:lastRow="0" w:firstColumn="0" w:lastColumn="0" w:oddVBand="0" w:evenVBand="0" w:oddHBand="0" w:evenHBand="0" w:firstRowFirstColumn="0" w:firstRowLastColumn="0" w:lastRowFirstColumn="0" w:lastRowLastColumn="0"/>
            </w:pPr>
            <w:r w:rsidRPr="00B21951">
              <w:t>Number of new customers contacted</w:t>
            </w:r>
          </w:p>
        </w:tc>
      </w:tr>
      <w:tr w:rsidR="00BE28E0" w:rsidRPr="00A4602B" w14:paraId="73C5999D" w14:textId="3F8E5A7E" w:rsidTr="00D24357">
        <w:tc>
          <w:tcPr>
            <w:cnfStyle w:val="001000000000" w:firstRow="0" w:lastRow="0" w:firstColumn="1" w:lastColumn="0" w:oddVBand="0" w:evenVBand="0" w:oddHBand="0" w:evenHBand="0" w:firstRowFirstColumn="0" w:firstRowLastColumn="0" w:lastRowFirstColumn="0" w:lastRowLastColumn="0"/>
            <w:tcW w:w="1251" w:type="pct"/>
          </w:tcPr>
          <w:p w14:paraId="4ACF17ED" w14:textId="60EE3A4B" w:rsidR="002C1FF0" w:rsidRPr="00B21951" w:rsidRDefault="00FD2B68" w:rsidP="00D24357">
            <w:pPr>
              <w:tabs>
                <w:tab w:val="left" w:pos="360"/>
              </w:tabs>
            </w:pPr>
            <w:r w:rsidRPr="00B21951">
              <w:t xml:space="preserve">Customer </w:t>
            </w:r>
            <w:r w:rsidR="002B2644" w:rsidRPr="00B21951">
              <w:t>Engagement</w:t>
            </w:r>
          </w:p>
        </w:tc>
        <w:tc>
          <w:tcPr>
            <w:tcW w:w="3749" w:type="pct"/>
            <w:vAlign w:val="top"/>
          </w:tcPr>
          <w:p w14:paraId="05D5BD23" w14:textId="6B057A5D" w:rsidR="00BE28E0" w:rsidRPr="00B21951" w:rsidRDefault="00FB4BE9" w:rsidP="005D45C5">
            <w:pPr>
              <w:tabs>
                <w:tab w:val="left" w:pos="360"/>
              </w:tabs>
              <w:cnfStyle w:val="000000000000" w:firstRow="0" w:lastRow="0" w:firstColumn="0" w:lastColumn="0" w:oddVBand="0" w:evenVBand="0" w:oddHBand="0" w:evenHBand="0" w:firstRowFirstColumn="0" w:firstRowLastColumn="0" w:lastRowFirstColumn="0" w:lastRowLastColumn="0"/>
            </w:pPr>
            <w:r w:rsidRPr="00B21951">
              <w:t>N</w:t>
            </w:r>
            <w:r w:rsidR="002C1FF0" w:rsidRPr="00B21951">
              <w:t xml:space="preserve">umber of new and existing customers participating in </w:t>
            </w:r>
            <w:r w:rsidR="00210262" w:rsidRPr="00B21951">
              <w:t>TIE workshops</w:t>
            </w:r>
            <w:r w:rsidR="002C1FF0" w:rsidRPr="00B21951">
              <w:t xml:space="preserve"> or </w:t>
            </w:r>
            <w:r w:rsidR="002D7B4D">
              <w:t xml:space="preserve">project </w:t>
            </w:r>
            <w:r w:rsidR="002C1FF0" w:rsidRPr="00B21951">
              <w:t>scoping</w:t>
            </w:r>
          </w:p>
        </w:tc>
      </w:tr>
      <w:tr w:rsidR="008D237C" w:rsidRPr="00A4602B" w14:paraId="3D6B381A" w14:textId="77777777" w:rsidTr="00D24357">
        <w:tc>
          <w:tcPr>
            <w:cnfStyle w:val="001000000000" w:firstRow="0" w:lastRow="0" w:firstColumn="1" w:lastColumn="0" w:oddVBand="0" w:evenVBand="0" w:oddHBand="0" w:evenHBand="0" w:firstRowFirstColumn="0" w:firstRowLastColumn="0" w:lastRowFirstColumn="0" w:lastRowLastColumn="0"/>
            <w:tcW w:w="1251" w:type="pct"/>
          </w:tcPr>
          <w:p w14:paraId="25AD1B97" w14:textId="3994FD36" w:rsidR="008D237C" w:rsidRPr="00B21951" w:rsidRDefault="008D237C" w:rsidP="00D24357">
            <w:pPr>
              <w:tabs>
                <w:tab w:val="left" w:pos="360"/>
              </w:tabs>
            </w:pPr>
            <w:r w:rsidRPr="00B21951">
              <w:t>Customer Satisfaction</w:t>
            </w:r>
          </w:p>
        </w:tc>
        <w:tc>
          <w:tcPr>
            <w:tcW w:w="3749" w:type="pct"/>
            <w:vAlign w:val="top"/>
          </w:tcPr>
          <w:p w14:paraId="7D082B1F" w14:textId="48F00E91" w:rsidR="008D237C" w:rsidRPr="00B21951" w:rsidRDefault="00FB4BE9" w:rsidP="005D45C5">
            <w:pPr>
              <w:tabs>
                <w:tab w:val="left" w:pos="360"/>
              </w:tabs>
              <w:cnfStyle w:val="000000000000" w:firstRow="0" w:lastRow="0" w:firstColumn="0" w:lastColumn="0" w:oddVBand="0" w:evenVBand="0" w:oddHBand="0" w:evenHBand="0" w:firstRowFirstColumn="0" w:firstRowLastColumn="0" w:lastRowFirstColumn="0" w:lastRowLastColumn="0"/>
            </w:pPr>
            <w:r w:rsidRPr="00B21951">
              <w:t>P</w:t>
            </w:r>
            <w:r w:rsidR="0055580E" w:rsidRPr="00B21951">
              <w:t xml:space="preserve">ercent of positive </w:t>
            </w:r>
            <w:r w:rsidR="00210262" w:rsidRPr="00B21951">
              <w:t xml:space="preserve">customer </w:t>
            </w:r>
            <w:r w:rsidR="008D237C" w:rsidRPr="00B21951">
              <w:t>surveys</w:t>
            </w:r>
            <w:r w:rsidR="0055580E" w:rsidRPr="00B21951">
              <w:t>/ratings</w:t>
            </w:r>
          </w:p>
        </w:tc>
      </w:tr>
    </w:tbl>
    <w:p w14:paraId="6476215B" w14:textId="12BBAD55" w:rsidR="00950561" w:rsidRDefault="00A06250" w:rsidP="005D45C5">
      <w:pPr>
        <w:pStyle w:val="Heading2"/>
        <w:tabs>
          <w:tab w:val="left" w:pos="360"/>
        </w:tabs>
      </w:pPr>
      <w:bookmarkStart w:id="23" w:name="_Toc54955113"/>
      <w:r w:rsidRPr="00232854">
        <w:lastRenderedPageBreak/>
        <w:t xml:space="preserve">To-Code Savings </w:t>
      </w:r>
      <w:r w:rsidR="00FF0A7F" w:rsidRPr="00232854">
        <w:t>Design</w:t>
      </w:r>
      <w:bookmarkEnd w:id="23"/>
      <w:r w:rsidR="00FF0A7F" w:rsidRPr="00232854">
        <w:t xml:space="preserve"> </w:t>
      </w:r>
    </w:p>
    <w:p w14:paraId="2EAE45C4" w14:textId="0E220C10" w:rsidR="00F0788F" w:rsidRDefault="64678043" w:rsidP="00A12B4B">
      <w:pPr>
        <w:tabs>
          <w:tab w:val="left" w:pos="360"/>
        </w:tabs>
        <w:ind w:left="360"/>
      </w:pPr>
      <w:r w:rsidRPr="307696F3">
        <w:t xml:space="preserve">To-code </w:t>
      </w:r>
      <w:r w:rsidR="00127E2D">
        <w:t>(and to-</w:t>
      </w:r>
      <w:r w:rsidR="00774F60">
        <w:t xml:space="preserve">industry standard </w:t>
      </w:r>
      <w:r w:rsidR="00537186">
        <w:t xml:space="preserve">practice, or </w:t>
      </w:r>
      <w:r w:rsidR="00F03757">
        <w:t>“</w:t>
      </w:r>
      <w:r w:rsidR="009730AA">
        <w:t>to-</w:t>
      </w:r>
      <w:r w:rsidR="00127E2D">
        <w:t>ISP</w:t>
      </w:r>
      <w:r w:rsidR="00F03757">
        <w:t>”</w:t>
      </w:r>
      <w:r w:rsidR="00127E2D">
        <w:t xml:space="preserve">) </w:t>
      </w:r>
      <w:r w:rsidRPr="307696F3">
        <w:t xml:space="preserve">savings potential is </w:t>
      </w:r>
      <w:r w:rsidR="00C261FF">
        <w:t xml:space="preserve">widely </w:t>
      </w:r>
      <w:r w:rsidR="00760F2B">
        <w:t>prevalent in the industrial sector, particularly in facilities</w:t>
      </w:r>
      <w:r w:rsidRPr="307696F3">
        <w:t xml:space="preserve"> </w:t>
      </w:r>
      <w:r w:rsidR="009B7539">
        <w:t xml:space="preserve">more than 20 years </w:t>
      </w:r>
      <w:r w:rsidR="001F0C36">
        <w:t xml:space="preserve">old </w:t>
      </w:r>
      <w:r w:rsidR="63988554" w:rsidRPr="307696F3">
        <w:t xml:space="preserve">where equipment is not past its useful life, but </w:t>
      </w:r>
      <w:r w:rsidR="00E24549">
        <w:t xml:space="preserve">the specifications or applicability of </w:t>
      </w:r>
      <w:r w:rsidR="63988554" w:rsidRPr="307696F3">
        <w:t xml:space="preserve">codes have </w:t>
      </w:r>
      <w:r w:rsidR="00E24549">
        <w:t>evolved</w:t>
      </w:r>
      <w:r w:rsidRPr="307696F3">
        <w:t xml:space="preserve">. </w:t>
      </w:r>
      <w:r w:rsidR="00E24549">
        <w:t>As a result, m</w:t>
      </w:r>
      <w:r w:rsidR="00F0788F">
        <w:t>any industrial sites have</w:t>
      </w:r>
      <w:r w:rsidR="00E24549">
        <w:t xml:space="preserve"> grandfathered</w:t>
      </w:r>
      <w:r w:rsidR="00F0788F">
        <w:t xml:space="preserve"> equipment </w:t>
      </w:r>
      <w:r w:rsidR="00E24549">
        <w:t>and</w:t>
      </w:r>
      <w:r w:rsidR="00F0788F">
        <w:t xml:space="preserve"> systems </w:t>
      </w:r>
      <w:r w:rsidR="00526AD0">
        <w:t>that</w:t>
      </w:r>
      <w:r w:rsidR="00E24549">
        <w:t xml:space="preserve"> </w:t>
      </w:r>
      <w:r w:rsidR="00D4192C">
        <w:t>continue</w:t>
      </w:r>
      <w:r w:rsidR="00277D9C">
        <w:t xml:space="preserve"> to</w:t>
      </w:r>
      <w:r w:rsidR="00D4192C">
        <w:t xml:space="preserve"> operat</w:t>
      </w:r>
      <w:r w:rsidR="00277D9C">
        <w:t>e</w:t>
      </w:r>
      <w:r w:rsidR="00F0788F">
        <w:t xml:space="preserve"> below code</w:t>
      </w:r>
      <w:r w:rsidR="00D4192C">
        <w:t xml:space="preserve"> </w:t>
      </w:r>
      <w:proofErr w:type="gramStart"/>
      <w:r w:rsidR="00D4192C">
        <w:t>as long as</w:t>
      </w:r>
      <w:proofErr w:type="gramEnd"/>
      <w:r w:rsidR="00D4192C">
        <w:t xml:space="preserve"> they remain operable. </w:t>
      </w:r>
      <w:r w:rsidR="00ED1107">
        <w:t xml:space="preserve">Perversely, </w:t>
      </w:r>
      <w:r w:rsidR="00F0788F">
        <w:t>changes to a</w:t>
      </w:r>
      <w:r w:rsidR="009A3AA3">
        <w:t>ny</w:t>
      </w:r>
      <w:r w:rsidR="00F0788F">
        <w:t xml:space="preserve"> portion of the</w:t>
      </w:r>
      <w:r w:rsidR="00BA7EFF">
        <w:t>se</w:t>
      </w:r>
      <w:r w:rsidR="00F0788F">
        <w:t xml:space="preserve"> system</w:t>
      </w:r>
      <w:r w:rsidR="002D7B4D">
        <w:t>s</w:t>
      </w:r>
      <w:r w:rsidR="00F0788F">
        <w:t xml:space="preserve"> or equipment </w:t>
      </w:r>
      <w:r w:rsidR="00BA7EFF">
        <w:t xml:space="preserve">can </w:t>
      </w:r>
      <w:r w:rsidR="00F0788F">
        <w:t xml:space="preserve">trigger additional upgrades </w:t>
      </w:r>
      <w:proofErr w:type="gramStart"/>
      <w:r w:rsidR="00E71B73">
        <w:t>in order to</w:t>
      </w:r>
      <w:proofErr w:type="gramEnd"/>
      <w:r w:rsidR="00F0788F">
        <w:t xml:space="preserve"> </w:t>
      </w:r>
      <w:r w:rsidR="00BA7EFF">
        <w:t>come up to compliance with</w:t>
      </w:r>
      <w:r w:rsidR="00F0788F">
        <w:t xml:space="preserve"> current code and standards. </w:t>
      </w:r>
      <w:r w:rsidR="00BA7EFF">
        <w:t>Hence it is common for c</w:t>
      </w:r>
      <w:r w:rsidR="00F0788F">
        <w:t>ustomers</w:t>
      </w:r>
      <w:r w:rsidR="00921049">
        <w:t xml:space="preserve"> in this situation</w:t>
      </w:r>
      <w:r w:rsidR="00F0788F">
        <w:t xml:space="preserve"> </w:t>
      </w:r>
      <w:r w:rsidR="00BA7EFF">
        <w:t xml:space="preserve">to </w:t>
      </w:r>
      <w:r w:rsidR="00F0788F">
        <w:t xml:space="preserve">avoid bringing equipment to code as the costs outweigh benefits, and the incentive for bringing a system to code is not </w:t>
      </w:r>
      <w:r w:rsidR="00EE7652">
        <w:t>sufficient</w:t>
      </w:r>
      <w:r w:rsidR="00F0788F">
        <w:t xml:space="preserve"> to accelerate turnover.</w:t>
      </w:r>
    </w:p>
    <w:p w14:paraId="76B9B5FF" w14:textId="77777777" w:rsidR="00AA6E64" w:rsidRDefault="00AA6E64" w:rsidP="00A12B4B">
      <w:pPr>
        <w:tabs>
          <w:tab w:val="left" w:pos="360"/>
        </w:tabs>
        <w:ind w:left="360"/>
      </w:pPr>
    </w:p>
    <w:p w14:paraId="22068FCF" w14:textId="79DDD1B8" w:rsidR="00F0788F" w:rsidRDefault="00761D91" w:rsidP="00A12B4B">
      <w:pPr>
        <w:tabs>
          <w:tab w:val="left" w:pos="360"/>
        </w:tabs>
        <w:ind w:left="360"/>
      </w:pPr>
      <w:r>
        <w:t xml:space="preserve">California Assembly Bill </w:t>
      </w:r>
      <w:r w:rsidR="002C573B">
        <w:t xml:space="preserve">802 and other </w:t>
      </w:r>
      <w:r w:rsidR="00B976BE">
        <w:t xml:space="preserve">policies have </w:t>
      </w:r>
      <w:r w:rsidR="00E82597">
        <w:t xml:space="preserve">explicitly recognized and sought to capture this stranded potential, but </w:t>
      </w:r>
      <w:r w:rsidR="00E9355B">
        <w:t>the industrial sector continues to face unique challenges to</w:t>
      </w:r>
      <w:r w:rsidR="00CA1303">
        <w:t xml:space="preserve"> cost-effective project scoping and implementation. </w:t>
      </w:r>
      <w:r w:rsidR="00080E28">
        <w:t xml:space="preserve">To </w:t>
      </w:r>
      <w:r w:rsidR="00BA7D23">
        <w:t>influence these potential projects, m</w:t>
      </w:r>
      <w:r w:rsidR="002E7EBC">
        <w:t>easures</w:t>
      </w:r>
      <w:r w:rsidR="002E7EBC" w:rsidRPr="002E7EBC">
        <w:t xml:space="preserve"> that capture </w:t>
      </w:r>
      <w:r w:rsidR="002E7EBC">
        <w:t>to-code</w:t>
      </w:r>
      <w:r w:rsidR="002E7EBC" w:rsidRPr="002E7EBC">
        <w:t xml:space="preserve"> savings will be a key focus of ISOP and </w:t>
      </w:r>
      <w:r w:rsidR="0076146E">
        <w:t xml:space="preserve">will be </w:t>
      </w:r>
      <w:r w:rsidR="002E7EBC" w:rsidRPr="002E7EBC">
        <w:t xml:space="preserve">eligible </w:t>
      </w:r>
      <w:r w:rsidR="002E7EBC">
        <w:t>for incentives and savings claims via NMEC, OBF</w:t>
      </w:r>
      <w:r w:rsidR="00AE4242">
        <w:t xml:space="preserve"> without incentives</w:t>
      </w:r>
      <w:r w:rsidR="002E7EBC">
        <w:t>, and custom methodologies:</w:t>
      </w:r>
      <w:r w:rsidR="002E7EBC" w:rsidRPr="002E7EBC">
        <w:t xml:space="preserve"> </w:t>
      </w:r>
      <w:r w:rsidR="00CA1303">
        <w:t xml:space="preserve"> </w:t>
      </w:r>
    </w:p>
    <w:p w14:paraId="060727F8" w14:textId="4AB3D4CE" w:rsidR="00060AF1" w:rsidRDefault="00060AF1" w:rsidP="00A82072">
      <w:pPr>
        <w:pStyle w:val="ListParagraph"/>
        <w:numPr>
          <w:ilvl w:val="0"/>
          <w:numId w:val="9"/>
        </w:numPr>
        <w:tabs>
          <w:tab w:val="left" w:pos="360"/>
        </w:tabs>
        <w:ind w:left="1080"/>
      </w:pPr>
      <w:r>
        <w:t xml:space="preserve">For sites </w:t>
      </w:r>
      <w:r w:rsidR="006F5D45">
        <w:t>using</w:t>
      </w:r>
      <w:r>
        <w:t xml:space="preserve"> Site-Level NMEC and </w:t>
      </w:r>
      <w:r w:rsidR="00AE4242">
        <w:t xml:space="preserve">OBF </w:t>
      </w:r>
      <w:r w:rsidR="000451B4">
        <w:t>(</w:t>
      </w:r>
      <w:r w:rsidR="00AE4242">
        <w:t>without incentive</w:t>
      </w:r>
      <w:r w:rsidR="000451B4">
        <w:t>)</w:t>
      </w:r>
      <w:r>
        <w:t xml:space="preserve"> </w:t>
      </w:r>
      <w:r w:rsidR="006F5D45">
        <w:t>methodologies to determine savings</w:t>
      </w:r>
      <w:r>
        <w:t xml:space="preserve">, </w:t>
      </w:r>
      <w:r w:rsidR="00DF2973">
        <w:t xml:space="preserve">to-code </w:t>
      </w:r>
      <w:r w:rsidR="006F5D45">
        <w:t xml:space="preserve">measures will </w:t>
      </w:r>
      <w:r w:rsidR="00101F5A">
        <w:t xml:space="preserve">be </w:t>
      </w:r>
      <w:r w:rsidR="008C03A4">
        <w:t xml:space="preserve">identified, listed in project-level </w:t>
      </w:r>
      <w:r w:rsidR="00C07994">
        <w:t>reporting</w:t>
      </w:r>
      <w:r w:rsidR="0086330B">
        <w:t xml:space="preserve">, and supported as </w:t>
      </w:r>
      <w:r w:rsidR="00C07994">
        <w:t>applicable</w:t>
      </w:r>
      <w:r w:rsidR="0086330B">
        <w:t xml:space="preserve"> with </w:t>
      </w:r>
      <w:r w:rsidR="0046118B">
        <w:t>documentation of existing equipment operability</w:t>
      </w:r>
      <w:r w:rsidR="00800CF3">
        <w:t xml:space="preserve"> and</w:t>
      </w:r>
      <w:r w:rsidR="00C07994">
        <w:t xml:space="preserve"> </w:t>
      </w:r>
      <w:r w:rsidR="001D2006">
        <w:t xml:space="preserve">program </w:t>
      </w:r>
      <w:r w:rsidR="00C07994">
        <w:t xml:space="preserve">influence </w:t>
      </w:r>
      <w:r w:rsidR="00194B9D">
        <w:t>in accordance with PG&amp;E and CPUC guidance and</w:t>
      </w:r>
      <w:r w:rsidR="001252A0">
        <w:t xml:space="preserve"> </w:t>
      </w:r>
      <w:r w:rsidR="0054070B">
        <w:t xml:space="preserve">the ISOP Program-Level NMEC </w:t>
      </w:r>
      <w:r w:rsidR="001252A0">
        <w:t>M&amp;V Plan (Supporting Document 8).</w:t>
      </w:r>
      <w:r w:rsidR="00C07994">
        <w:t xml:space="preserve"> </w:t>
      </w:r>
    </w:p>
    <w:p w14:paraId="34363571" w14:textId="119AB384" w:rsidR="00C32E84" w:rsidRDefault="001839B9" w:rsidP="00A82072">
      <w:pPr>
        <w:pStyle w:val="ListParagraph"/>
        <w:numPr>
          <w:ilvl w:val="0"/>
          <w:numId w:val="9"/>
        </w:numPr>
        <w:tabs>
          <w:tab w:val="left" w:pos="360"/>
        </w:tabs>
        <w:ind w:left="1080"/>
      </w:pPr>
      <w:r>
        <w:t>Similarly, w</w:t>
      </w:r>
      <w:r w:rsidR="00F75950">
        <w:t xml:space="preserve">here </w:t>
      </w:r>
      <w:r w:rsidR="00544DA4">
        <w:t>allowed by</w:t>
      </w:r>
      <w:r w:rsidR="00C32E84">
        <w:t xml:space="preserve"> CPUC and PG&amp;E policy guidance,</w:t>
      </w:r>
      <w:r w:rsidR="00F75950">
        <w:t xml:space="preserve"> </w:t>
      </w:r>
      <w:r w:rsidR="00BE0C0E">
        <w:t>ISOP</w:t>
      </w:r>
      <w:r w:rsidR="00CB60CE">
        <w:t xml:space="preserve"> </w:t>
      </w:r>
      <w:r w:rsidR="00C32E84">
        <w:t xml:space="preserve">may </w:t>
      </w:r>
      <w:r w:rsidR="00FC0D33">
        <w:t xml:space="preserve">also </w:t>
      </w:r>
      <w:r w:rsidR="00BF28A2">
        <w:t>implement</w:t>
      </w:r>
      <w:r w:rsidR="00C32E84">
        <w:t xml:space="preserve"> to-code or to-ISP projects </w:t>
      </w:r>
      <w:r w:rsidR="00FC0D33">
        <w:t>via</w:t>
      </w:r>
      <w:r w:rsidR="00C32E84">
        <w:t xml:space="preserve"> the </w:t>
      </w:r>
      <w:r w:rsidR="00827877">
        <w:t>standard</w:t>
      </w:r>
      <w:r w:rsidR="00FC0D33">
        <w:t xml:space="preserve"> </w:t>
      </w:r>
      <w:r w:rsidR="00C32E84">
        <w:t xml:space="preserve">custom project review </w:t>
      </w:r>
      <w:r w:rsidR="00FC0D33">
        <w:t xml:space="preserve">and approval </w:t>
      </w:r>
      <w:r w:rsidR="00C32E84">
        <w:t>process.</w:t>
      </w:r>
    </w:p>
    <w:p w14:paraId="6C6E8BB7" w14:textId="443AE9FE" w:rsidR="00593A83" w:rsidRPr="00593A83" w:rsidRDefault="00EB16D2" w:rsidP="005D45C5">
      <w:pPr>
        <w:pStyle w:val="Heading2"/>
        <w:tabs>
          <w:tab w:val="left" w:pos="360"/>
        </w:tabs>
      </w:pPr>
      <w:bookmarkStart w:id="24" w:name="_Toc54955114"/>
      <w:r w:rsidRPr="1E57BC6D">
        <w:t>Pilots</w:t>
      </w:r>
      <w:bookmarkEnd w:id="24"/>
    </w:p>
    <w:p w14:paraId="65794900" w14:textId="103F0751" w:rsidR="00EB16D2" w:rsidRDefault="00593A83" w:rsidP="00A12B4B">
      <w:pPr>
        <w:tabs>
          <w:tab w:val="left" w:pos="360"/>
        </w:tabs>
        <w:ind w:left="360"/>
      </w:pPr>
      <w:r>
        <w:t xml:space="preserve">Not </w:t>
      </w:r>
      <w:r w:rsidR="00C32E93">
        <w:t>a</w:t>
      </w:r>
      <w:r>
        <w:t>pplicable</w:t>
      </w:r>
      <w:r w:rsidR="00624F61">
        <w:t>.</w:t>
      </w:r>
      <w:r w:rsidR="00EB16D2">
        <w:t xml:space="preserve"> </w:t>
      </w:r>
    </w:p>
    <w:p w14:paraId="402208A0" w14:textId="1777E0D0" w:rsidR="003D1DD0" w:rsidRDefault="00EB16D2" w:rsidP="005D45C5">
      <w:pPr>
        <w:pStyle w:val="Heading2"/>
        <w:tabs>
          <w:tab w:val="left" w:pos="360"/>
        </w:tabs>
      </w:pPr>
      <w:bookmarkStart w:id="25" w:name="_Toc54955115"/>
      <w:r w:rsidRPr="000350FA">
        <w:t>Workforce Education and Training</w:t>
      </w:r>
      <w:bookmarkEnd w:id="25"/>
    </w:p>
    <w:p w14:paraId="7A95FAAF" w14:textId="283AA87D" w:rsidR="002F7D61" w:rsidRPr="002F7D61" w:rsidRDefault="007D4305" w:rsidP="00354101">
      <w:pPr>
        <w:ind w:left="360"/>
      </w:pPr>
      <w:r>
        <w:t xml:space="preserve">Not applicable. </w:t>
      </w:r>
    </w:p>
    <w:p w14:paraId="64B1B453" w14:textId="39F9AFD7" w:rsidR="00EB16D2" w:rsidRDefault="00EB16D2" w:rsidP="005D45C5">
      <w:pPr>
        <w:pStyle w:val="Heading2"/>
        <w:tabs>
          <w:tab w:val="left" w:pos="360"/>
        </w:tabs>
      </w:pPr>
      <w:bookmarkStart w:id="26" w:name="_Toc54955116"/>
      <w:r w:rsidRPr="000350FA">
        <w:t>Workforce</w:t>
      </w:r>
      <w:r w:rsidR="00677CA3" w:rsidRPr="000350FA">
        <w:t xml:space="preserve"> </w:t>
      </w:r>
      <w:r w:rsidRPr="000350FA">
        <w:t>Standards</w:t>
      </w:r>
      <w:bookmarkEnd w:id="26"/>
    </w:p>
    <w:p w14:paraId="4905FB7E" w14:textId="69D797D3" w:rsidR="009C3DA7" w:rsidRPr="006F0789" w:rsidRDefault="00EB16D2" w:rsidP="005D45C5">
      <w:pPr>
        <w:pStyle w:val="Heading3"/>
        <w:tabs>
          <w:tab w:val="left" w:pos="360"/>
        </w:tabs>
      </w:pPr>
      <w:r w:rsidRPr="006F0789">
        <w:t>HVAC</w:t>
      </w:r>
      <w:r w:rsidR="009C3DA7" w:rsidRPr="006F0789">
        <w:t xml:space="preserve"> </w:t>
      </w:r>
      <w:r w:rsidRPr="006F0789">
        <w:t>Measures</w:t>
      </w:r>
    </w:p>
    <w:p w14:paraId="4EEA0998" w14:textId="7BE28B8C" w:rsidR="00FE3342" w:rsidRDefault="00F41318" w:rsidP="00BB3E6C">
      <w:pPr>
        <w:tabs>
          <w:tab w:val="left" w:pos="360"/>
        </w:tabs>
        <w:ind w:left="360"/>
      </w:pPr>
      <w:r>
        <w:t xml:space="preserve">Dedicated HVAC </w:t>
      </w:r>
      <w:r w:rsidR="00E46EDC">
        <w:t>measures</w:t>
      </w:r>
      <w:r>
        <w:t xml:space="preserve"> will </w:t>
      </w:r>
      <w:r w:rsidR="006C673A">
        <w:t xml:space="preserve">be </w:t>
      </w:r>
      <w:r w:rsidR="00726290">
        <w:t>relatively limited, as ISOP focuses on industrial systems and process loads.</w:t>
      </w:r>
      <w:r w:rsidR="00525341">
        <w:t xml:space="preserve"> </w:t>
      </w:r>
      <w:r w:rsidR="00911988">
        <w:t xml:space="preserve">However, </w:t>
      </w:r>
      <w:r w:rsidR="00274157">
        <w:t xml:space="preserve">for all projects and </w:t>
      </w:r>
      <w:r w:rsidR="00926432">
        <w:t xml:space="preserve">for each </w:t>
      </w:r>
      <w:r w:rsidR="00274157">
        <w:t>m</w:t>
      </w:r>
      <w:r w:rsidR="00926432">
        <w:t>easure, installed, modified, or maint</w:t>
      </w:r>
      <w:r w:rsidR="00442373">
        <w:t>ai</w:t>
      </w:r>
      <w:r w:rsidR="00926432">
        <w:t>ned in a nonresidential setting where the project is seeking an energy efficiency incentive of $3,000 or more,</w:t>
      </w:r>
      <w:r w:rsidR="004F5E28">
        <w:t xml:space="preserve"> </w:t>
      </w:r>
      <w:r w:rsidR="0066693D">
        <w:t xml:space="preserve">contractors </w:t>
      </w:r>
      <w:r w:rsidR="00233385">
        <w:t>must be</w:t>
      </w:r>
      <w:r w:rsidR="0066693D">
        <w:t xml:space="preserve"> licensed </w:t>
      </w:r>
      <w:r w:rsidR="00682838">
        <w:t>and certify</w:t>
      </w:r>
      <w:r w:rsidR="00233385">
        <w:t xml:space="preserve"> that</w:t>
      </w:r>
      <w:r w:rsidR="0066693D">
        <w:t xml:space="preserve"> appropriate permits have been obtained.</w:t>
      </w:r>
    </w:p>
    <w:p w14:paraId="03288A84" w14:textId="77CAD8E4" w:rsidR="00061B5F" w:rsidRDefault="00EB16D2" w:rsidP="00B21951">
      <w:pPr>
        <w:pStyle w:val="Heading3"/>
        <w:keepNext/>
        <w:tabs>
          <w:tab w:val="left" w:pos="360"/>
        </w:tabs>
      </w:pPr>
      <w:r w:rsidRPr="1E57BC6D">
        <w:t>Advanced</w:t>
      </w:r>
      <w:r w:rsidR="009C3DA7" w:rsidRPr="1E57BC6D">
        <w:t xml:space="preserve"> </w:t>
      </w:r>
      <w:r w:rsidRPr="1E57BC6D">
        <w:t>Lighting</w:t>
      </w:r>
      <w:r w:rsidR="009C3DA7" w:rsidRPr="1E57BC6D">
        <w:t xml:space="preserve"> </w:t>
      </w:r>
      <w:r w:rsidRPr="1E57BC6D">
        <w:t>Control</w:t>
      </w:r>
      <w:r w:rsidR="009C3DA7" w:rsidRPr="1E57BC6D">
        <w:t xml:space="preserve"> </w:t>
      </w:r>
      <w:r w:rsidRPr="1E57BC6D">
        <w:t>Measures</w:t>
      </w:r>
    </w:p>
    <w:p w14:paraId="50E49E59" w14:textId="75802BCC" w:rsidR="00E20D1B" w:rsidRDefault="00E46EDC" w:rsidP="005D45C5">
      <w:pPr>
        <w:tabs>
          <w:tab w:val="left" w:pos="360"/>
        </w:tabs>
        <w:ind w:left="360"/>
      </w:pPr>
      <w:r>
        <w:t>L</w:t>
      </w:r>
      <w:r w:rsidR="00904058" w:rsidRPr="00061B5F">
        <w:t>ighting and lighting control system installation measures are expected to be a very small portion of the measure types in the program</w:t>
      </w:r>
      <w:r>
        <w:t>.</w:t>
      </w:r>
      <w:r w:rsidR="00A2370B">
        <w:t xml:space="preserve"> </w:t>
      </w:r>
      <w:r w:rsidR="003705A0">
        <w:t xml:space="preserve">For all </w:t>
      </w:r>
      <w:r w:rsidR="00274157">
        <w:t>p</w:t>
      </w:r>
      <w:r w:rsidR="003705A0">
        <w:t xml:space="preserve">rojects and for each </w:t>
      </w:r>
      <w:r w:rsidR="00274157">
        <w:t>m</w:t>
      </w:r>
      <w:r w:rsidR="003705A0">
        <w:t xml:space="preserve">easure installed in a non-residential setting where the project is seeking an energy efficiency incentive of $2,000 or more, workers </w:t>
      </w:r>
      <w:r w:rsidR="00562D5E">
        <w:t>and</w:t>
      </w:r>
      <w:r w:rsidR="003705A0">
        <w:t xml:space="preserve"> technicians involved in the project </w:t>
      </w:r>
      <w:r w:rsidR="00964DEB">
        <w:t xml:space="preserve">must certify </w:t>
      </w:r>
      <w:r w:rsidR="006624CF">
        <w:t>complet</w:t>
      </w:r>
      <w:r w:rsidR="00964DEB">
        <w:t>ion of</w:t>
      </w:r>
      <w:r w:rsidR="006624CF">
        <w:t xml:space="preserve"> the California Advanced Lighting Controls Training Program. </w:t>
      </w:r>
    </w:p>
    <w:p w14:paraId="6EF2F500" w14:textId="291DB4A7" w:rsidR="000350FA" w:rsidRPr="00A84170" w:rsidRDefault="00EB16D2" w:rsidP="005D45C5">
      <w:pPr>
        <w:pStyle w:val="Heading2"/>
        <w:tabs>
          <w:tab w:val="left" w:pos="360"/>
        </w:tabs>
      </w:pPr>
      <w:bookmarkStart w:id="27" w:name="_Toc54955117"/>
      <w:r w:rsidRPr="00A84170">
        <w:lastRenderedPageBreak/>
        <w:t>Disadvantaged</w:t>
      </w:r>
      <w:r w:rsidR="009C3DA7" w:rsidRPr="00A84170">
        <w:t xml:space="preserve"> </w:t>
      </w:r>
      <w:r w:rsidRPr="00A84170">
        <w:t>Worker</w:t>
      </w:r>
      <w:r w:rsidR="009C3DA7" w:rsidRPr="00A84170">
        <w:t xml:space="preserve"> </w:t>
      </w:r>
      <w:r w:rsidRPr="00A84170">
        <w:t>Plan</w:t>
      </w:r>
      <w:bookmarkEnd w:id="27"/>
    </w:p>
    <w:p w14:paraId="3943E5F0" w14:textId="5E59406E" w:rsidR="00442FCC" w:rsidRDefault="009B2593" w:rsidP="005D45C5">
      <w:pPr>
        <w:tabs>
          <w:tab w:val="left" w:pos="360"/>
        </w:tabs>
        <w:ind w:left="360"/>
      </w:pPr>
      <w:r w:rsidRPr="00A84170">
        <w:t xml:space="preserve">ISOP </w:t>
      </w:r>
      <w:r w:rsidR="009934DE" w:rsidRPr="00A84170">
        <w:t>is</w:t>
      </w:r>
      <w:r w:rsidRPr="00A84170">
        <w:t xml:space="preserve"> implemented by Cascade Energy</w:t>
      </w:r>
      <w:r w:rsidR="00E27736" w:rsidRPr="00A84170">
        <w:t xml:space="preserve"> as prime contractor; subcontractors may </w:t>
      </w:r>
      <w:r w:rsidR="008649E8" w:rsidRPr="00A84170">
        <w:t xml:space="preserve">be </w:t>
      </w:r>
      <w:r w:rsidR="007B70ED" w:rsidRPr="00A84170">
        <w:t xml:space="preserve">recruited to assist with </w:t>
      </w:r>
      <w:r w:rsidR="00803013" w:rsidRPr="00A84170">
        <w:t xml:space="preserve">elements of program delivery. </w:t>
      </w:r>
      <w:r w:rsidR="004E25D3" w:rsidRPr="00A84170">
        <w:t xml:space="preserve">When working with subcontractors, Cascade will abide by PG&amp;E’s </w:t>
      </w:r>
      <w:r w:rsidR="00B61A63" w:rsidRPr="00A84170">
        <w:t>Supply Chain Respo</w:t>
      </w:r>
      <w:r w:rsidR="00B61A63">
        <w:t xml:space="preserve">nsibility policy, including monthly reporting of expenditures to qualified </w:t>
      </w:r>
      <w:r w:rsidR="007D045A">
        <w:t>Small Businesses Enterprises and</w:t>
      </w:r>
      <w:r w:rsidR="00803013">
        <w:t xml:space="preserve"> </w:t>
      </w:r>
      <w:r w:rsidR="00C21F93" w:rsidRPr="00C21F93">
        <w:t>Women, Minority, Disabled Veteran and Lesbian, Gay, Bisexual, and Transgender Business Enterprises.</w:t>
      </w:r>
    </w:p>
    <w:p w14:paraId="251DA4A6" w14:textId="77777777" w:rsidR="00D91DE2" w:rsidRDefault="00D91DE2" w:rsidP="005D45C5">
      <w:pPr>
        <w:tabs>
          <w:tab w:val="left" w:pos="360"/>
        </w:tabs>
        <w:ind w:left="360"/>
      </w:pPr>
    </w:p>
    <w:p w14:paraId="4FFBD6B2" w14:textId="34388C58" w:rsidR="00D91DE2" w:rsidRDefault="002D3A98" w:rsidP="005D45C5">
      <w:pPr>
        <w:tabs>
          <w:tab w:val="left" w:pos="360"/>
        </w:tabs>
        <w:ind w:left="360"/>
      </w:pPr>
      <w:r w:rsidRPr="00633179">
        <w:rPr>
          <w:rFonts w:asciiTheme="minorHAnsi" w:eastAsia="Arial" w:hAnsiTheme="minorHAnsi" w:cstheme="minorHAnsi"/>
        </w:rPr>
        <w:t xml:space="preserve">Cascade recognizes that a diverse workforce and diverse supplier pool is a powerful tool for good business. </w:t>
      </w:r>
      <w:r w:rsidR="006F604B" w:rsidRPr="006F604B">
        <w:rPr>
          <w:rFonts w:asciiTheme="minorHAnsi" w:eastAsia="Arial" w:hAnsiTheme="minorHAnsi" w:cstheme="minorHAnsi"/>
        </w:rPr>
        <w:t>While Cascade does not directly install, modify, repair, or maintain energy efficiency equipment, it is prepared to remain intentional and mindful in supporting strategies that are meant to provide Disadvantaged Workers improved access to career opportunities in the energy efficiency industry.</w:t>
      </w:r>
      <w:r w:rsidR="001F7AFE">
        <w:rPr>
          <w:rFonts w:asciiTheme="minorHAnsi" w:eastAsia="Arial" w:hAnsiTheme="minorHAnsi" w:cstheme="minorHAnsi"/>
        </w:rPr>
        <w:t xml:space="preserve"> </w:t>
      </w:r>
      <w:r w:rsidR="00D91DE2">
        <w:t xml:space="preserve">Cascade has increased its efforts to proactively identify, build relationships with, and purchase goods and services from small and diverse businesses. Cascade’s activities include: </w:t>
      </w:r>
    </w:p>
    <w:p w14:paraId="0B684CAC" w14:textId="100B2014" w:rsidR="00D91DE2" w:rsidRPr="00846B0F" w:rsidRDefault="00D91DE2" w:rsidP="00846B0F">
      <w:pPr>
        <w:pStyle w:val="BulletList-2"/>
      </w:pPr>
      <w:r w:rsidRPr="00846B0F">
        <w:t xml:space="preserve">Analyzing </w:t>
      </w:r>
      <w:r w:rsidR="00FF651E" w:rsidRPr="00846B0F">
        <w:t>company-wide</w:t>
      </w:r>
      <w:r w:rsidRPr="00846B0F">
        <w:t xml:space="preserve"> spend-data comprehensively and in-detail to define and track Disadvantaged Business Enterprise (DBE) spend</w:t>
      </w:r>
    </w:p>
    <w:p w14:paraId="3B522C70" w14:textId="4A5B4F27" w:rsidR="00D91DE2" w:rsidRPr="00846B0F" w:rsidRDefault="00D91DE2" w:rsidP="00846B0F">
      <w:pPr>
        <w:pStyle w:val="BulletList-2"/>
      </w:pPr>
      <w:r w:rsidRPr="00846B0F">
        <w:t>Making a focused effort to increase the number of new DBE vendors</w:t>
      </w:r>
    </w:p>
    <w:p w14:paraId="6E8C8038" w14:textId="0A064933" w:rsidR="00D91DE2" w:rsidRPr="00846B0F" w:rsidRDefault="00D91DE2" w:rsidP="00846B0F">
      <w:pPr>
        <w:pStyle w:val="BulletList-2"/>
      </w:pPr>
      <w:r w:rsidRPr="00846B0F">
        <w:t>Delivering diversity, equity, and inclusion training specifically designed for Cascade leadership and human resources professionals</w:t>
      </w:r>
      <w:r w:rsidR="002E2D8C" w:rsidRPr="00846B0F">
        <w:t>, and employees at all levels in the organization</w:t>
      </w:r>
    </w:p>
    <w:p w14:paraId="4B8559AE" w14:textId="4232266E" w:rsidR="00D91DE2" w:rsidRPr="00846B0F" w:rsidRDefault="00D91DE2" w:rsidP="00846B0F">
      <w:pPr>
        <w:pStyle w:val="BulletList-2"/>
      </w:pPr>
      <w:r w:rsidRPr="00846B0F">
        <w:t>Develop</w:t>
      </w:r>
      <w:r w:rsidR="0041383B" w:rsidRPr="00846B0F">
        <w:t>ing</w:t>
      </w:r>
      <w:r w:rsidRPr="00846B0F">
        <w:t xml:space="preserve"> a diverse applicant pool by reaching out to organizations that support, promote, and include women, people of color, veterans, and individuals with disabilities</w:t>
      </w:r>
    </w:p>
    <w:p w14:paraId="55CE3B9B" w14:textId="386AA599" w:rsidR="00D91DE2" w:rsidRPr="00846B0F" w:rsidRDefault="00D91DE2" w:rsidP="00846B0F">
      <w:pPr>
        <w:pStyle w:val="BulletList-2"/>
      </w:pPr>
      <w:r w:rsidRPr="00846B0F">
        <w:t>Provid</w:t>
      </w:r>
      <w:r w:rsidR="00BA5744" w:rsidRPr="00846B0F">
        <w:t>ing</w:t>
      </w:r>
      <w:r w:rsidRPr="00846B0F">
        <w:t xml:space="preserve"> learning and development opportunities for employees to maximize their potential</w:t>
      </w:r>
    </w:p>
    <w:p w14:paraId="2826238A" w14:textId="033A47C2" w:rsidR="00D00C55" w:rsidRPr="00846B0F" w:rsidRDefault="00D91DE2" w:rsidP="00846B0F">
      <w:pPr>
        <w:pStyle w:val="BulletList-2"/>
      </w:pPr>
      <w:r w:rsidRPr="00846B0F">
        <w:t>Provid</w:t>
      </w:r>
      <w:r w:rsidR="00B159B5" w:rsidRPr="00846B0F">
        <w:t>ing</w:t>
      </w:r>
      <w:r w:rsidRPr="00846B0F">
        <w:t xml:space="preserve"> paid internship opportunities for diverse and/or disadvantaged high school students and college students</w:t>
      </w:r>
    </w:p>
    <w:p w14:paraId="18BA87DE" w14:textId="5EF2961D" w:rsidR="00EB16D2" w:rsidRDefault="00EB16D2" w:rsidP="005D45C5">
      <w:pPr>
        <w:pStyle w:val="Heading2"/>
        <w:tabs>
          <w:tab w:val="left" w:pos="360"/>
        </w:tabs>
      </w:pPr>
      <w:bookmarkStart w:id="28" w:name="_Toc54955118"/>
      <w:r w:rsidRPr="1E57BC6D">
        <w:t xml:space="preserve">Additional </w:t>
      </w:r>
      <w:r w:rsidR="00531827">
        <w:t>I</w:t>
      </w:r>
      <w:r w:rsidRPr="1E57BC6D">
        <w:t>nformation</w:t>
      </w:r>
      <w:bookmarkEnd w:id="28"/>
      <w:r>
        <w:t xml:space="preserve"> </w:t>
      </w:r>
    </w:p>
    <w:p w14:paraId="29ECBAAF" w14:textId="10E0DB56" w:rsidR="00B31A17" w:rsidRDefault="00FE2432" w:rsidP="005D45C5">
      <w:pPr>
        <w:tabs>
          <w:tab w:val="left" w:pos="360"/>
        </w:tabs>
        <w:ind w:left="360"/>
      </w:pPr>
      <w:r>
        <w:t>None.</w:t>
      </w:r>
    </w:p>
    <w:p w14:paraId="6B398EAC" w14:textId="77777777" w:rsidR="00B21951" w:rsidRDefault="00B21951">
      <w:pPr>
        <w:spacing w:line="240" w:lineRule="auto"/>
        <w:rPr>
          <w:color w:val="0070C0"/>
          <w:sz w:val="28"/>
          <w:szCs w:val="40"/>
        </w:rPr>
      </w:pPr>
      <w:bookmarkStart w:id="29" w:name="_Toc54955119"/>
      <w:r>
        <w:br w:type="page"/>
      </w:r>
    </w:p>
    <w:p w14:paraId="38AD2392" w14:textId="77777777" w:rsidR="00EB16D2" w:rsidRDefault="00EB16D2" w:rsidP="005D45C5">
      <w:pPr>
        <w:pStyle w:val="Heading1"/>
        <w:tabs>
          <w:tab w:val="left" w:pos="360"/>
        </w:tabs>
      </w:pPr>
      <w:r>
        <w:lastRenderedPageBreak/>
        <w:t>Supporting Documents</w:t>
      </w:r>
      <w:bookmarkEnd w:id="29"/>
    </w:p>
    <w:p w14:paraId="617BF106" w14:textId="6B3F0139" w:rsidR="00EB16D2" w:rsidRDefault="00EB16D2" w:rsidP="00A82072">
      <w:pPr>
        <w:pStyle w:val="Heading2"/>
        <w:numPr>
          <w:ilvl w:val="0"/>
          <w:numId w:val="14"/>
        </w:numPr>
        <w:tabs>
          <w:tab w:val="left" w:pos="360"/>
        </w:tabs>
      </w:pPr>
      <w:bookmarkStart w:id="30" w:name="_Toc54955120"/>
      <w:r w:rsidRPr="0003369B">
        <w:t>Program Manuals and Program Rules</w:t>
      </w:r>
      <w:bookmarkEnd w:id="30"/>
    </w:p>
    <w:p w14:paraId="4D81E55C" w14:textId="02BCEF17" w:rsidR="006E10B8" w:rsidRDefault="005B460E" w:rsidP="00B070F1">
      <w:r>
        <w:t xml:space="preserve">See </w:t>
      </w:r>
      <w:r w:rsidR="00754F05">
        <w:t xml:space="preserve">the </w:t>
      </w:r>
      <w:r w:rsidR="009B6C60" w:rsidRPr="002D3A98">
        <w:t xml:space="preserve">ISOP </w:t>
      </w:r>
      <w:r w:rsidR="00295D7C">
        <w:t>Program Manual</w:t>
      </w:r>
      <w:r w:rsidR="0082381C">
        <w:t xml:space="preserve"> for more information</w:t>
      </w:r>
      <w:r w:rsidR="006B570C">
        <w:t>.</w:t>
      </w:r>
    </w:p>
    <w:p w14:paraId="669B88B8" w14:textId="77777777" w:rsidR="00D7260C" w:rsidRDefault="00D7260C" w:rsidP="005D45C5">
      <w:pPr>
        <w:pStyle w:val="Heading2"/>
        <w:tabs>
          <w:tab w:val="left" w:pos="360"/>
        </w:tabs>
        <w:sectPr w:rsidR="00D7260C" w:rsidSect="00B61804">
          <w:headerReference w:type="default" r:id="rId17"/>
          <w:footerReference w:type="default" r:id="rId18"/>
          <w:headerReference w:type="first" r:id="rId19"/>
          <w:pgSz w:w="12240" w:h="15840"/>
          <w:pgMar w:top="1440" w:right="1440" w:bottom="1440" w:left="1440" w:header="720" w:footer="720" w:gutter="0"/>
          <w:pgNumType w:start="1"/>
          <w:cols w:space="720"/>
          <w:titlePg/>
          <w:docGrid w:linePitch="360"/>
        </w:sectPr>
      </w:pPr>
    </w:p>
    <w:p w14:paraId="5561B81F" w14:textId="2B2286D6" w:rsidR="00EB16D2" w:rsidRDefault="00EB16D2" w:rsidP="005D45C5">
      <w:pPr>
        <w:pStyle w:val="Heading2"/>
        <w:tabs>
          <w:tab w:val="left" w:pos="360"/>
        </w:tabs>
      </w:pPr>
      <w:bookmarkStart w:id="31" w:name="_Toc54955121"/>
      <w:r w:rsidRPr="0003369B">
        <w:lastRenderedPageBreak/>
        <w:t>Program Theory</w:t>
      </w:r>
      <w:r w:rsidR="009C3DA7" w:rsidRPr="0003369B">
        <w:t xml:space="preserve"> </w:t>
      </w:r>
      <w:r w:rsidRPr="0003369B">
        <w:t>and Program Logic Model</w:t>
      </w:r>
      <w:bookmarkEnd w:id="31"/>
    </w:p>
    <w:p w14:paraId="1512FABE" w14:textId="7CD3EB2D" w:rsidR="00536F30" w:rsidRDefault="00244722" w:rsidP="005D45C5">
      <w:pPr>
        <w:tabs>
          <w:tab w:val="left" w:pos="360"/>
        </w:tabs>
        <w:spacing w:line="240" w:lineRule="auto"/>
        <w:ind w:left="-540"/>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68F21408" wp14:editId="4B4FAB6C">
            <wp:extent cx="8229600" cy="55344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0" cy="5534492"/>
                    </a:xfrm>
                    <a:prstGeom prst="rect">
                      <a:avLst/>
                    </a:prstGeom>
                    <a:noFill/>
                  </pic:spPr>
                </pic:pic>
              </a:graphicData>
            </a:graphic>
          </wp:inline>
        </w:drawing>
      </w:r>
    </w:p>
    <w:p w14:paraId="3E439DB6" w14:textId="37F9855E" w:rsidR="00012264" w:rsidRDefault="00012264" w:rsidP="005D45C5">
      <w:pPr>
        <w:tabs>
          <w:tab w:val="left" w:pos="360"/>
        </w:tabs>
        <w:spacing w:line="240" w:lineRule="auto"/>
        <w:ind w:left="-540"/>
        <w:rPr>
          <w:rFonts w:ascii="Times New Roman" w:eastAsia="Times New Roman" w:hAnsi="Times New Roman" w:cs="Times New Roman"/>
          <w:color w:val="auto"/>
          <w:sz w:val="24"/>
          <w:szCs w:val="24"/>
        </w:rPr>
        <w:sectPr w:rsidR="00012264" w:rsidSect="005D4BC8">
          <w:footerReference w:type="first" r:id="rId21"/>
          <w:pgSz w:w="15840" w:h="12240" w:orient="landscape"/>
          <w:pgMar w:top="1440" w:right="1440" w:bottom="1440" w:left="1440" w:header="720" w:footer="720" w:gutter="0"/>
          <w:cols w:space="720"/>
          <w:titlePg/>
          <w:docGrid w:linePitch="360"/>
        </w:sectPr>
      </w:pPr>
    </w:p>
    <w:p w14:paraId="0BAC9F2E" w14:textId="4B2B1EB3" w:rsidR="00536F30" w:rsidRPr="00E146A9" w:rsidRDefault="00EB16D2" w:rsidP="005D45C5">
      <w:pPr>
        <w:pStyle w:val="Heading2"/>
        <w:tabs>
          <w:tab w:val="left" w:pos="360"/>
        </w:tabs>
      </w:pPr>
      <w:bookmarkStart w:id="32" w:name="_Toc54955122"/>
      <w:r w:rsidRPr="00E146A9">
        <w:lastRenderedPageBreak/>
        <w:t>Process Flow Chart</w:t>
      </w:r>
      <w:bookmarkEnd w:id="32"/>
    </w:p>
    <w:p w14:paraId="0410217F" w14:textId="0D121F7D" w:rsidR="00EB16D2" w:rsidRPr="00536F30" w:rsidRDefault="002079CA" w:rsidP="002079CA">
      <w:pPr>
        <w:pStyle w:val="Heading3"/>
      </w:pPr>
      <w:r>
        <w:t>Program Engagement</w:t>
      </w:r>
    </w:p>
    <w:p w14:paraId="43733458" w14:textId="5AE32AEE" w:rsidR="006E10B8" w:rsidRDefault="006E10B8" w:rsidP="00546440">
      <w:pPr>
        <w:tabs>
          <w:tab w:val="left" w:pos="360"/>
        </w:tabs>
        <w:spacing w:line="240" w:lineRule="auto"/>
        <w:jc w:val="center"/>
        <w:rPr>
          <w:b/>
          <w:bCs/>
        </w:rPr>
      </w:pPr>
    </w:p>
    <w:p w14:paraId="09C47A0C" w14:textId="77033E09" w:rsidR="00C35028" w:rsidRDefault="00D32545" w:rsidP="00C35028">
      <w:pPr>
        <w:tabs>
          <w:tab w:val="left" w:pos="360"/>
        </w:tabs>
        <w:spacing w:line="240" w:lineRule="auto"/>
        <w:rPr>
          <w:b/>
          <w:bCs/>
        </w:rPr>
      </w:pPr>
      <w:r>
        <w:rPr>
          <w:noProof/>
        </w:rPr>
        <w:drawing>
          <wp:anchor distT="0" distB="0" distL="114300" distR="114300" simplePos="0" relativeHeight="251658240" behindDoc="0" locked="0" layoutInCell="1" allowOverlap="1" wp14:anchorId="6F4DA01A" wp14:editId="526FE6BD">
            <wp:simplePos x="0" y="0"/>
            <wp:positionH relativeFrom="margin">
              <wp:align>center</wp:align>
            </wp:positionH>
            <wp:positionV relativeFrom="paragraph">
              <wp:posOffset>7620</wp:posOffset>
            </wp:positionV>
            <wp:extent cx="4450715" cy="6858635"/>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0715" cy="6858635"/>
                    </a:xfrm>
                    <a:prstGeom prst="rect">
                      <a:avLst/>
                    </a:prstGeom>
                    <a:noFill/>
                  </pic:spPr>
                </pic:pic>
              </a:graphicData>
            </a:graphic>
          </wp:anchor>
        </w:drawing>
      </w:r>
    </w:p>
    <w:p w14:paraId="0417FD68" w14:textId="1CE0CC1D" w:rsidR="000A196E" w:rsidRDefault="000A196E">
      <w:pPr>
        <w:spacing w:line="240" w:lineRule="auto"/>
        <w:rPr>
          <w:b/>
          <w:bCs/>
        </w:rPr>
      </w:pPr>
      <w:r>
        <w:br w:type="page"/>
      </w:r>
    </w:p>
    <w:p w14:paraId="1EC90030" w14:textId="1E493D2A" w:rsidR="00C35028" w:rsidRDefault="00C35028" w:rsidP="000A196E">
      <w:pPr>
        <w:pStyle w:val="Heading3"/>
      </w:pPr>
      <w:r>
        <w:lastRenderedPageBreak/>
        <w:t>Project Implementation</w:t>
      </w:r>
    </w:p>
    <w:p w14:paraId="26D910A0" w14:textId="0B5D91AE" w:rsidR="00C35028" w:rsidRDefault="00C35028" w:rsidP="00C35028">
      <w:pPr>
        <w:keepNext/>
        <w:tabs>
          <w:tab w:val="left" w:pos="360"/>
        </w:tabs>
        <w:spacing w:line="240" w:lineRule="auto"/>
        <w:rPr>
          <w:b/>
          <w:bCs/>
        </w:rPr>
      </w:pPr>
    </w:p>
    <w:p w14:paraId="1F7B26E7" w14:textId="1474D214" w:rsidR="00C35028" w:rsidRDefault="00C35028" w:rsidP="00C35028">
      <w:pPr>
        <w:tabs>
          <w:tab w:val="left" w:pos="360"/>
        </w:tabs>
        <w:spacing w:line="240" w:lineRule="auto"/>
        <w:jc w:val="center"/>
        <w:rPr>
          <w:b/>
          <w:bCs/>
        </w:rPr>
      </w:pPr>
    </w:p>
    <w:p w14:paraId="1FA39218" w14:textId="7797DA6F" w:rsidR="00C35028" w:rsidRDefault="007177AE">
      <w:pPr>
        <w:spacing w:line="240" w:lineRule="auto"/>
        <w:rPr>
          <w:b/>
          <w:color w:val="284B7B" w:themeColor="accent3" w:themeShade="80"/>
        </w:rPr>
      </w:pPr>
      <w:bookmarkStart w:id="33" w:name="_Toc54955123"/>
      <w:r>
        <w:rPr>
          <w:noProof/>
        </w:rPr>
        <w:drawing>
          <wp:inline distT="0" distB="0" distL="0" distR="0" wp14:anchorId="01DDCE21" wp14:editId="353974B9">
            <wp:extent cx="5943600" cy="60469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943600" cy="6046982"/>
                    </a:xfrm>
                    <a:prstGeom prst="rect">
                      <a:avLst/>
                    </a:prstGeom>
                  </pic:spPr>
                </pic:pic>
              </a:graphicData>
            </a:graphic>
          </wp:inline>
        </w:drawing>
      </w:r>
      <w:r w:rsidR="00C35028">
        <w:br w:type="page"/>
      </w:r>
    </w:p>
    <w:p w14:paraId="61240B59" w14:textId="705FA0AA" w:rsidR="00EB16D2" w:rsidRDefault="00EB16D2" w:rsidP="005D45C5">
      <w:pPr>
        <w:pStyle w:val="Heading2"/>
        <w:tabs>
          <w:tab w:val="left" w:pos="360"/>
        </w:tabs>
      </w:pPr>
      <w:r w:rsidRPr="0003369B">
        <w:lastRenderedPageBreak/>
        <w:t>Incentive Tables, Workpapers, Software Tools</w:t>
      </w:r>
      <w:bookmarkEnd w:id="33"/>
    </w:p>
    <w:p w14:paraId="57E26D70" w14:textId="2EFD53FD" w:rsidR="0003369B" w:rsidRDefault="004F31C2" w:rsidP="00D026A1">
      <w:pPr>
        <w:ind w:left="360"/>
      </w:pPr>
      <w:r>
        <w:t>For Custom and NMEC projects, ISOP incentives are calculated as a function of electric and natural gas savings claims</w:t>
      </w:r>
      <w:r w:rsidR="00921EA6">
        <w:t xml:space="preserve"> and </w:t>
      </w:r>
      <w:r w:rsidR="003C10A3">
        <w:t>align with</w:t>
      </w:r>
      <w:r w:rsidR="009A7E8D">
        <w:t xml:space="preserve"> CPUC guidance</w:t>
      </w:r>
      <w:r w:rsidR="004630CF">
        <w:rPr>
          <w:rStyle w:val="FootnoteReference"/>
        </w:rPr>
        <w:footnoteReference w:id="2"/>
      </w:r>
      <w:r w:rsidR="001D5301">
        <w:t xml:space="preserve"> to align with net lifecycle savings</w:t>
      </w:r>
      <w:r w:rsidR="007E04CE">
        <w:t xml:space="preserve">, tailored to specific market barriers, </w:t>
      </w:r>
      <w:r w:rsidR="00F24DD0">
        <w:t xml:space="preserve">and tied to performance to the extent practical. </w:t>
      </w:r>
    </w:p>
    <w:p w14:paraId="456CFF73" w14:textId="77777777" w:rsidR="00B070F1" w:rsidRPr="00ED6658" w:rsidRDefault="00B070F1" w:rsidP="00D026A1">
      <w:pPr>
        <w:ind w:left="360"/>
      </w:pPr>
    </w:p>
    <w:p w14:paraId="2F291AE6" w14:textId="61AE24A7" w:rsidR="00F24DD0" w:rsidRDefault="00F24DD0" w:rsidP="00D026A1">
      <w:pPr>
        <w:pStyle w:val="Caption"/>
        <w:keepNext/>
        <w:tabs>
          <w:tab w:val="left" w:pos="360"/>
        </w:tabs>
        <w:ind w:left="360"/>
      </w:pPr>
      <w:bookmarkStart w:id="34" w:name="_Ref54273749"/>
      <w:r>
        <w:t xml:space="preserve">Table </w:t>
      </w:r>
      <w:r>
        <w:fldChar w:fldCharType="begin"/>
      </w:r>
      <w:r>
        <w:instrText>SEQ Table \* ARABIC</w:instrText>
      </w:r>
      <w:r>
        <w:fldChar w:fldCharType="separate"/>
      </w:r>
      <w:r w:rsidR="00A020D4">
        <w:rPr>
          <w:noProof/>
        </w:rPr>
        <w:t>6</w:t>
      </w:r>
      <w:r>
        <w:fldChar w:fldCharType="end"/>
      </w:r>
      <w:bookmarkEnd w:id="34"/>
      <w:r>
        <w:t>. ISOP Base Incentive Levels</w:t>
      </w:r>
    </w:p>
    <w:tbl>
      <w:tblPr>
        <w:tblW w:w="4812" w:type="pct"/>
        <w:tblInd w:w="352" w:type="dxa"/>
        <w:tblBorders>
          <w:top w:val="outset" w:sz="6" w:space="0" w:color="auto"/>
          <w:left w:val="outset" w:sz="6" w:space="0" w:color="auto"/>
          <w:bottom w:val="outset" w:sz="6" w:space="0" w:color="auto"/>
          <w:right w:val="outset" w:sz="6" w:space="0" w:color="auto"/>
        </w:tblBorders>
        <w:tblLayout w:type="fixed"/>
        <w:tblCellMar>
          <w:top w:w="43" w:type="dxa"/>
          <w:left w:w="43" w:type="dxa"/>
          <w:bottom w:w="43" w:type="dxa"/>
          <w:right w:w="43" w:type="dxa"/>
        </w:tblCellMar>
        <w:tblLook w:val="04A0" w:firstRow="1" w:lastRow="0" w:firstColumn="1" w:lastColumn="0" w:noHBand="0" w:noVBand="1"/>
      </w:tblPr>
      <w:tblGrid>
        <w:gridCol w:w="933"/>
        <w:gridCol w:w="2577"/>
        <w:gridCol w:w="1441"/>
        <w:gridCol w:w="1300"/>
        <w:gridCol w:w="1371"/>
        <w:gridCol w:w="1371"/>
      </w:tblGrid>
      <w:tr w:rsidR="00800F39" w:rsidRPr="00621154" w14:paraId="0A8D5A95" w14:textId="77777777" w:rsidTr="008216ED">
        <w:trPr>
          <w:trHeight w:val="560"/>
        </w:trPr>
        <w:tc>
          <w:tcPr>
            <w:tcW w:w="519" w:type="pct"/>
            <w:tcBorders>
              <w:top w:val="single" w:sz="6" w:space="0" w:color="92CFEE"/>
              <w:left w:val="single" w:sz="6" w:space="0" w:color="92CFEE"/>
              <w:bottom w:val="single" w:sz="6" w:space="0" w:color="92CFEE"/>
              <w:right w:val="single" w:sz="6" w:space="0" w:color="92CFEE"/>
            </w:tcBorders>
            <w:shd w:val="clear" w:color="auto" w:fill="135E83" w:themeFill="accent1" w:themeFillShade="80"/>
            <w:vAlign w:val="center"/>
          </w:tcPr>
          <w:p w14:paraId="78CCA0BF" w14:textId="17E8C440" w:rsidR="00800F39" w:rsidRPr="00621154" w:rsidRDefault="00800F39" w:rsidP="00CD741C">
            <w:pPr>
              <w:keepNext/>
              <w:tabs>
                <w:tab w:val="left" w:pos="360"/>
              </w:tabs>
              <w:spacing w:line="240" w:lineRule="auto"/>
              <w:jc w:val="center"/>
              <w:rPr>
                <w:b/>
                <w:bCs/>
                <w:color w:val="FFFFFF"/>
              </w:rPr>
            </w:pPr>
            <w:r>
              <w:rPr>
                <w:b/>
                <w:bCs/>
                <w:color w:val="FFFFFF"/>
              </w:rPr>
              <w:t>Incentive Tier</w:t>
            </w:r>
          </w:p>
        </w:tc>
        <w:tc>
          <w:tcPr>
            <w:tcW w:w="1433" w:type="pct"/>
            <w:tcBorders>
              <w:top w:val="single" w:sz="6" w:space="0" w:color="92CFEE"/>
              <w:left w:val="single" w:sz="6" w:space="0" w:color="92CFEE"/>
              <w:bottom w:val="single" w:sz="6" w:space="0" w:color="92CFEE"/>
              <w:right w:val="single" w:sz="6" w:space="0" w:color="92CFEE"/>
            </w:tcBorders>
            <w:shd w:val="clear" w:color="auto" w:fill="135E83" w:themeFill="accent1" w:themeFillShade="80"/>
            <w:vAlign w:val="center"/>
            <w:hideMark/>
          </w:tcPr>
          <w:p w14:paraId="248D4D96" w14:textId="5171756F" w:rsidR="00800F39" w:rsidRPr="00621154" w:rsidRDefault="00800F39" w:rsidP="00CD741C">
            <w:pPr>
              <w:keepNext/>
              <w:tabs>
                <w:tab w:val="left" w:pos="360"/>
              </w:tabs>
              <w:spacing w:line="240" w:lineRule="auto"/>
              <w:jc w:val="center"/>
              <w:rPr>
                <w:rFonts w:ascii="Times New Roman" w:hAnsi="Times New Roman"/>
                <w:b/>
                <w:bCs/>
                <w:color w:val="FFFFFF"/>
                <w:sz w:val="24"/>
              </w:rPr>
            </w:pPr>
            <w:r w:rsidRPr="00621154">
              <w:rPr>
                <w:b/>
                <w:bCs/>
                <w:color w:val="FFFFFF"/>
              </w:rPr>
              <w:t>Project Type</w:t>
            </w:r>
          </w:p>
        </w:tc>
        <w:tc>
          <w:tcPr>
            <w:tcW w:w="801" w:type="pct"/>
            <w:tcBorders>
              <w:top w:val="single" w:sz="6" w:space="0" w:color="92CFEE"/>
              <w:left w:val="nil"/>
              <w:bottom w:val="single" w:sz="6" w:space="0" w:color="92CFEE"/>
              <w:right w:val="single" w:sz="6" w:space="0" w:color="92CFEE"/>
            </w:tcBorders>
            <w:shd w:val="clear" w:color="auto" w:fill="135E83" w:themeFill="accent1" w:themeFillShade="80"/>
            <w:vAlign w:val="center"/>
            <w:hideMark/>
          </w:tcPr>
          <w:p w14:paraId="5BE64803" w14:textId="414A04E3" w:rsidR="00800F39" w:rsidRPr="00621154" w:rsidRDefault="00800F39" w:rsidP="00CD741C">
            <w:pPr>
              <w:keepNext/>
              <w:tabs>
                <w:tab w:val="left" w:pos="360"/>
              </w:tabs>
              <w:spacing w:line="240" w:lineRule="auto"/>
              <w:jc w:val="center"/>
              <w:rPr>
                <w:rFonts w:ascii="Times New Roman" w:hAnsi="Times New Roman"/>
                <w:b/>
                <w:bCs/>
                <w:color w:val="FFFFFF"/>
                <w:sz w:val="24"/>
              </w:rPr>
            </w:pPr>
            <w:r w:rsidRPr="00621154">
              <w:rPr>
                <w:b/>
                <w:bCs/>
                <w:color w:val="FFFFFF"/>
              </w:rPr>
              <w:t>Measurement Type</w:t>
            </w:r>
          </w:p>
        </w:tc>
        <w:tc>
          <w:tcPr>
            <w:tcW w:w="723" w:type="pct"/>
            <w:tcBorders>
              <w:top w:val="single" w:sz="6" w:space="0" w:color="92CFEE"/>
              <w:left w:val="nil"/>
              <w:bottom w:val="single" w:sz="6" w:space="0" w:color="92CFEE"/>
              <w:right w:val="single" w:sz="6" w:space="0" w:color="92CFEE"/>
            </w:tcBorders>
            <w:shd w:val="clear" w:color="auto" w:fill="135E83" w:themeFill="accent1" w:themeFillShade="80"/>
            <w:vAlign w:val="center"/>
            <w:hideMark/>
          </w:tcPr>
          <w:p w14:paraId="2C6570BC" w14:textId="56802BBF" w:rsidR="00800F39" w:rsidRPr="00621154" w:rsidRDefault="00800F39" w:rsidP="00CD741C">
            <w:pPr>
              <w:keepNext/>
              <w:tabs>
                <w:tab w:val="left" w:pos="360"/>
              </w:tabs>
              <w:spacing w:line="240" w:lineRule="auto"/>
              <w:jc w:val="center"/>
              <w:rPr>
                <w:rFonts w:ascii="Times New Roman" w:hAnsi="Times New Roman"/>
                <w:b/>
                <w:bCs/>
                <w:color w:val="FFFFFF"/>
                <w:sz w:val="24"/>
              </w:rPr>
            </w:pPr>
            <w:r w:rsidRPr="00621154">
              <w:rPr>
                <w:b/>
                <w:bCs/>
                <w:color w:val="FFFFFF"/>
              </w:rPr>
              <w:t>Measure Life</w:t>
            </w:r>
            <w:r>
              <w:rPr>
                <w:b/>
                <w:bCs/>
                <w:color w:val="FFFFFF"/>
              </w:rPr>
              <w:t xml:space="preserve"> (</w:t>
            </w:r>
            <w:proofErr w:type="spellStart"/>
            <w:r>
              <w:rPr>
                <w:b/>
                <w:bCs/>
                <w:color w:val="FFFFFF"/>
              </w:rPr>
              <w:t>yrs</w:t>
            </w:r>
            <w:proofErr w:type="spellEnd"/>
            <w:r>
              <w:rPr>
                <w:b/>
                <w:bCs/>
                <w:color w:val="FFFFFF"/>
              </w:rPr>
              <w:t>)</w:t>
            </w:r>
          </w:p>
        </w:tc>
        <w:tc>
          <w:tcPr>
            <w:tcW w:w="762" w:type="pct"/>
            <w:tcBorders>
              <w:top w:val="single" w:sz="6" w:space="0" w:color="92CFEE"/>
              <w:left w:val="nil"/>
              <w:bottom w:val="single" w:sz="6" w:space="0" w:color="92CFEE"/>
              <w:right w:val="single" w:sz="6" w:space="0" w:color="92CFEE"/>
            </w:tcBorders>
            <w:shd w:val="clear" w:color="auto" w:fill="135E83" w:themeFill="accent1" w:themeFillShade="80"/>
            <w:vAlign w:val="center"/>
            <w:hideMark/>
          </w:tcPr>
          <w:p w14:paraId="46FAE8E5" w14:textId="4DFBE7FE" w:rsidR="00800F39" w:rsidRPr="00621154" w:rsidRDefault="00800F39" w:rsidP="00CD741C">
            <w:pPr>
              <w:keepNext/>
              <w:tabs>
                <w:tab w:val="left" w:pos="360"/>
              </w:tabs>
              <w:spacing w:line="240" w:lineRule="auto"/>
              <w:jc w:val="center"/>
              <w:rPr>
                <w:rFonts w:ascii="Times New Roman" w:hAnsi="Times New Roman"/>
                <w:b/>
                <w:bCs/>
                <w:color w:val="FFFFFF"/>
                <w:sz w:val="24"/>
              </w:rPr>
            </w:pPr>
            <w:r w:rsidRPr="00621154">
              <w:rPr>
                <w:b/>
                <w:bCs/>
                <w:color w:val="FFFFFF"/>
              </w:rPr>
              <w:t>Electric ($/</w:t>
            </w:r>
            <w:proofErr w:type="gramStart"/>
            <w:r w:rsidRPr="00621154">
              <w:rPr>
                <w:b/>
                <w:bCs/>
                <w:color w:val="FFFFFF"/>
              </w:rPr>
              <w:t>kWh)</w:t>
            </w:r>
            <w:r w:rsidR="00DE04A1">
              <w:rPr>
                <w:b/>
                <w:bCs/>
                <w:color w:val="FFFFFF"/>
              </w:rPr>
              <w:t>*</w:t>
            </w:r>
            <w:proofErr w:type="gramEnd"/>
          </w:p>
        </w:tc>
        <w:tc>
          <w:tcPr>
            <w:tcW w:w="762" w:type="pct"/>
            <w:tcBorders>
              <w:top w:val="single" w:sz="6" w:space="0" w:color="92CFEE"/>
              <w:left w:val="nil"/>
              <w:bottom w:val="single" w:sz="6" w:space="0" w:color="92CFEE"/>
              <w:right w:val="single" w:sz="6" w:space="0" w:color="92CFEE"/>
            </w:tcBorders>
            <w:shd w:val="clear" w:color="auto" w:fill="135E83" w:themeFill="accent1" w:themeFillShade="80"/>
            <w:vAlign w:val="center"/>
            <w:hideMark/>
          </w:tcPr>
          <w:p w14:paraId="22C56A57" w14:textId="53FFDE07" w:rsidR="00800F39" w:rsidRPr="00621154" w:rsidRDefault="00800F39" w:rsidP="00CD741C">
            <w:pPr>
              <w:keepNext/>
              <w:tabs>
                <w:tab w:val="left" w:pos="360"/>
              </w:tabs>
              <w:spacing w:line="240" w:lineRule="auto"/>
              <w:jc w:val="center"/>
              <w:rPr>
                <w:rFonts w:ascii="Times New Roman" w:hAnsi="Times New Roman"/>
                <w:b/>
                <w:bCs/>
                <w:color w:val="FFFFFF"/>
                <w:sz w:val="24"/>
              </w:rPr>
            </w:pPr>
            <w:r w:rsidRPr="00621154">
              <w:rPr>
                <w:b/>
                <w:bCs/>
                <w:color w:val="FFFFFF"/>
              </w:rPr>
              <w:t>Gas ($/</w:t>
            </w:r>
            <w:proofErr w:type="spellStart"/>
            <w:proofErr w:type="gramStart"/>
            <w:r w:rsidRPr="00621154">
              <w:rPr>
                <w:b/>
                <w:bCs/>
                <w:color w:val="FFFFFF"/>
              </w:rPr>
              <w:t>therm</w:t>
            </w:r>
            <w:proofErr w:type="spellEnd"/>
            <w:r w:rsidRPr="00621154">
              <w:rPr>
                <w:b/>
                <w:bCs/>
                <w:color w:val="FFFFFF"/>
              </w:rPr>
              <w:t>)</w:t>
            </w:r>
            <w:r w:rsidR="00DE04A1">
              <w:rPr>
                <w:b/>
                <w:bCs/>
                <w:color w:val="FFFFFF"/>
              </w:rPr>
              <w:t>*</w:t>
            </w:r>
            <w:proofErr w:type="gramEnd"/>
          </w:p>
        </w:tc>
      </w:tr>
      <w:tr w:rsidR="008B387E" w:rsidRPr="00651C76" w14:paraId="07C14397" w14:textId="77777777" w:rsidTr="00B33D1C">
        <w:trPr>
          <w:trHeight w:val="353"/>
        </w:trPr>
        <w:tc>
          <w:tcPr>
            <w:tcW w:w="519" w:type="pct"/>
            <w:tcBorders>
              <w:top w:val="nil"/>
              <w:left w:val="single" w:sz="6" w:space="0" w:color="92CFEE"/>
              <w:bottom w:val="single" w:sz="6" w:space="0" w:color="92CFEE"/>
              <w:right w:val="single" w:sz="6" w:space="0" w:color="92CFEE"/>
            </w:tcBorders>
            <w:vAlign w:val="center"/>
          </w:tcPr>
          <w:p w14:paraId="44ED8F9E" w14:textId="763D46B7" w:rsidR="00800F39" w:rsidRPr="00651C76" w:rsidRDefault="00800F39" w:rsidP="00B33D1C">
            <w:pPr>
              <w:keepNext/>
              <w:tabs>
                <w:tab w:val="left" w:pos="360"/>
              </w:tabs>
              <w:spacing w:line="240" w:lineRule="auto"/>
              <w:jc w:val="center"/>
            </w:pPr>
            <w:r>
              <w:t>1</w:t>
            </w:r>
          </w:p>
        </w:tc>
        <w:tc>
          <w:tcPr>
            <w:tcW w:w="1433" w:type="pct"/>
            <w:tcBorders>
              <w:top w:val="nil"/>
              <w:left w:val="single" w:sz="6" w:space="0" w:color="92CFEE"/>
              <w:bottom w:val="single" w:sz="6" w:space="0" w:color="92CFEE"/>
              <w:right w:val="single" w:sz="6" w:space="0" w:color="92CFEE"/>
            </w:tcBorders>
            <w:shd w:val="clear" w:color="auto" w:fill="auto"/>
            <w:vAlign w:val="center"/>
            <w:hideMark/>
          </w:tcPr>
          <w:p w14:paraId="6BD8CAD6" w14:textId="1C0D4A71" w:rsidR="00800F39" w:rsidRPr="00651C76" w:rsidRDefault="00800F39" w:rsidP="008B387E">
            <w:pPr>
              <w:keepNext/>
              <w:tabs>
                <w:tab w:val="left" w:pos="360"/>
              </w:tabs>
              <w:spacing w:line="240" w:lineRule="auto"/>
              <w:rPr>
                <w:rFonts w:ascii="Times New Roman" w:hAnsi="Times New Roman"/>
                <w:sz w:val="24"/>
              </w:rPr>
            </w:pPr>
            <w:r w:rsidRPr="00651C76">
              <w:t>BRO (Operational, RCx) </w:t>
            </w:r>
          </w:p>
        </w:tc>
        <w:tc>
          <w:tcPr>
            <w:tcW w:w="801" w:type="pct"/>
            <w:tcBorders>
              <w:top w:val="nil"/>
              <w:left w:val="nil"/>
              <w:bottom w:val="single" w:sz="6" w:space="0" w:color="92CFEE"/>
              <w:right w:val="single" w:sz="6" w:space="0" w:color="92CFEE"/>
            </w:tcBorders>
            <w:shd w:val="clear" w:color="auto" w:fill="auto"/>
            <w:vAlign w:val="center"/>
            <w:hideMark/>
          </w:tcPr>
          <w:p w14:paraId="76EA633C" w14:textId="77777777" w:rsidR="00800F39" w:rsidRPr="00651C76" w:rsidRDefault="00800F39" w:rsidP="008B387E">
            <w:pPr>
              <w:keepNext/>
              <w:tabs>
                <w:tab w:val="left" w:pos="360"/>
              </w:tabs>
              <w:spacing w:line="240" w:lineRule="auto"/>
              <w:rPr>
                <w:rFonts w:ascii="Times New Roman" w:hAnsi="Times New Roman"/>
                <w:sz w:val="24"/>
              </w:rPr>
            </w:pPr>
            <w:r w:rsidRPr="00651C76">
              <w:t>Custom </w:t>
            </w:r>
          </w:p>
        </w:tc>
        <w:tc>
          <w:tcPr>
            <w:tcW w:w="723" w:type="pct"/>
            <w:tcBorders>
              <w:top w:val="nil"/>
              <w:left w:val="nil"/>
              <w:bottom w:val="single" w:sz="6" w:space="0" w:color="92CFEE"/>
              <w:right w:val="single" w:sz="6" w:space="0" w:color="92CFEE"/>
            </w:tcBorders>
            <w:shd w:val="clear" w:color="auto" w:fill="auto"/>
            <w:vAlign w:val="center"/>
            <w:hideMark/>
          </w:tcPr>
          <w:p w14:paraId="18EDD96E" w14:textId="1EBA9DFC" w:rsidR="00800F39" w:rsidRPr="00651C76" w:rsidRDefault="00800F39" w:rsidP="008B387E">
            <w:pPr>
              <w:keepNext/>
              <w:tabs>
                <w:tab w:val="left" w:pos="360"/>
              </w:tabs>
              <w:spacing w:line="240" w:lineRule="auto"/>
              <w:jc w:val="center"/>
              <w:rPr>
                <w:rFonts w:ascii="Times New Roman" w:hAnsi="Times New Roman"/>
                <w:sz w:val="24"/>
              </w:rPr>
            </w:pPr>
            <w:r w:rsidRPr="00651C76">
              <w:t>2-3</w:t>
            </w:r>
          </w:p>
        </w:tc>
        <w:tc>
          <w:tcPr>
            <w:tcW w:w="762" w:type="pct"/>
            <w:tcBorders>
              <w:top w:val="nil"/>
              <w:left w:val="nil"/>
              <w:bottom w:val="single" w:sz="6" w:space="0" w:color="92CFEE"/>
              <w:right w:val="single" w:sz="6" w:space="0" w:color="92CFEE"/>
            </w:tcBorders>
            <w:shd w:val="clear" w:color="auto" w:fill="auto"/>
            <w:vAlign w:val="center"/>
            <w:hideMark/>
          </w:tcPr>
          <w:p w14:paraId="59CE2405" w14:textId="77777777" w:rsidR="00800F39" w:rsidRPr="00651C76" w:rsidRDefault="00800F39" w:rsidP="008B387E">
            <w:pPr>
              <w:keepNext/>
              <w:tabs>
                <w:tab w:val="left" w:pos="360"/>
              </w:tabs>
              <w:spacing w:line="240" w:lineRule="auto"/>
              <w:jc w:val="right"/>
              <w:rPr>
                <w:rFonts w:ascii="Times New Roman" w:hAnsi="Times New Roman"/>
                <w:sz w:val="24"/>
              </w:rPr>
            </w:pPr>
            <w:r w:rsidRPr="00651C76">
              <w:t> $0.06 </w:t>
            </w:r>
          </w:p>
        </w:tc>
        <w:tc>
          <w:tcPr>
            <w:tcW w:w="762" w:type="pct"/>
            <w:tcBorders>
              <w:top w:val="nil"/>
              <w:left w:val="nil"/>
              <w:bottom w:val="single" w:sz="6" w:space="0" w:color="92CFEE"/>
              <w:right w:val="single" w:sz="6" w:space="0" w:color="92CFEE"/>
            </w:tcBorders>
            <w:shd w:val="clear" w:color="auto" w:fill="auto"/>
            <w:vAlign w:val="center"/>
            <w:hideMark/>
          </w:tcPr>
          <w:p w14:paraId="5448CBDA" w14:textId="77777777" w:rsidR="00800F39" w:rsidRPr="00651C76" w:rsidRDefault="00800F39" w:rsidP="008B387E">
            <w:pPr>
              <w:keepNext/>
              <w:tabs>
                <w:tab w:val="left" w:pos="360"/>
              </w:tabs>
              <w:spacing w:line="240" w:lineRule="auto"/>
              <w:jc w:val="right"/>
              <w:rPr>
                <w:rFonts w:ascii="Times New Roman" w:hAnsi="Times New Roman"/>
                <w:sz w:val="24"/>
              </w:rPr>
            </w:pPr>
            <w:r w:rsidRPr="00651C76">
              <w:t> $0.75 </w:t>
            </w:r>
          </w:p>
        </w:tc>
      </w:tr>
      <w:tr w:rsidR="008B387E" w:rsidRPr="00651C76" w14:paraId="75C045F7" w14:textId="77777777" w:rsidTr="00B33D1C">
        <w:trPr>
          <w:trHeight w:val="353"/>
        </w:trPr>
        <w:tc>
          <w:tcPr>
            <w:tcW w:w="519" w:type="pct"/>
            <w:vMerge w:val="restart"/>
            <w:tcBorders>
              <w:top w:val="nil"/>
              <w:left w:val="single" w:sz="6" w:space="0" w:color="92CFEE"/>
              <w:right w:val="single" w:sz="6" w:space="0" w:color="92CFEE"/>
            </w:tcBorders>
            <w:shd w:val="clear" w:color="auto" w:fill="DAEFF9"/>
            <w:vAlign w:val="center"/>
          </w:tcPr>
          <w:p w14:paraId="32CAF9AD" w14:textId="27CECE19" w:rsidR="008B387E" w:rsidRPr="00651C76" w:rsidRDefault="008B387E" w:rsidP="00B33D1C">
            <w:pPr>
              <w:keepNext/>
              <w:tabs>
                <w:tab w:val="left" w:pos="360"/>
              </w:tabs>
              <w:spacing w:line="240" w:lineRule="auto"/>
              <w:jc w:val="center"/>
            </w:pPr>
            <w:r>
              <w:t>2</w:t>
            </w:r>
          </w:p>
        </w:tc>
        <w:tc>
          <w:tcPr>
            <w:tcW w:w="1433" w:type="pct"/>
            <w:tcBorders>
              <w:top w:val="nil"/>
              <w:left w:val="single" w:sz="6" w:space="0" w:color="92CFEE"/>
              <w:bottom w:val="single" w:sz="6" w:space="0" w:color="92CFEE"/>
              <w:right w:val="single" w:sz="6" w:space="0" w:color="92CFEE"/>
            </w:tcBorders>
            <w:shd w:val="clear" w:color="auto" w:fill="DAEFF9"/>
            <w:vAlign w:val="center"/>
            <w:hideMark/>
          </w:tcPr>
          <w:p w14:paraId="1C4A9FB8" w14:textId="46CC9DB5" w:rsidR="008B387E" w:rsidRPr="00651C76" w:rsidRDefault="008B387E" w:rsidP="008B387E">
            <w:pPr>
              <w:keepNext/>
              <w:tabs>
                <w:tab w:val="left" w:pos="360"/>
              </w:tabs>
              <w:spacing w:line="240" w:lineRule="auto"/>
              <w:rPr>
                <w:rFonts w:ascii="Times New Roman" w:hAnsi="Times New Roman"/>
                <w:sz w:val="24"/>
              </w:rPr>
            </w:pPr>
            <w:r w:rsidRPr="00651C76">
              <w:t>BRO (Operational, RCx) </w:t>
            </w:r>
          </w:p>
        </w:tc>
        <w:tc>
          <w:tcPr>
            <w:tcW w:w="801" w:type="pct"/>
            <w:tcBorders>
              <w:top w:val="nil"/>
              <w:left w:val="nil"/>
              <w:bottom w:val="single" w:sz="6" w:space="0" w:color="92CFEE"/>
              <w:right w:val="single" w:sz="6" w:space="0" w:color="92CFEE"/>
            </w:tcBorders>
            <w:shd w:val="clear" w:color="auto" w:fill="DAEFF9"/>
            <w:vAlign w:val="center"/>
            <w:hideMark/>
          </w:tcPr>
          <w:p w14:paraId="75DE2198" w14:textId="77777777" w:rsidR="008B387E" w:rsidRPr="00651C76" w:rsidRDefault="008B387E" w:rsidP="008B387E">
            <w:pPr>
              <w:keepNext/>
              <w:tabs>
                <w:tab w:val="left" w:pos="360"/>
              </w:tabs>
              <w:spacing w:line="240" w:lineRule="auto"/>
              <w:rPr>
                <w:rFonts w:ascii="Times New Roman" w:hAnsi="Times New Roman"/>
                <w:sz w:val="24"/>
              </w:rPr>
            </w:pPr>
            <w:r w:rsidRPr="00651C76">
              <w:t>NMEC </w:t>
            </w:r>
          </w:p>
        </w:tc>
        <w:tc>
          <w:tcPr>
            <w:tcW w:w="723" w:type="pct"/>
            <w:tcBorders>
              <w:top w:val="nil"/>
              <w:left w:val="nil"/>
              <w:bottom w:val="single" w:sz="6" w:space="0" w:color="92CFEE"/>
              <w:right w:val="single" w:sz="6" w:space="0" w:color="92CFEE"/>
            </w:tcBorders>
            <w:shd w:val="clear" w:color="auto" w:fill="DAEFF9"/>
            <w:vAlign w:val="center"/>
            <w:hideMark/>
          </w:tcPr>
          <w:p w14:paraId="65BBB68F" w14:textId="5FA714C4" w:rsidR="008B387E" w:rsidRPr="00651C76" w:rsidRDefault="008B387E" w:rsidP="008B387E">
            <w:pPr>
              <w:keepNext/>
              <w:tabs>
                <w:tab w:val="left" w:pos="360"/>
              </w:tabs>
              <w:spacing w:line="240" w:lineRule="auto"/>
              <w:jc w:val="center"/>
              <w:rPr>
                <w:rFonts w:ascii="Times New Roman" w:hAnsi="Times New Roman"/>
                <w:sz w:val="24"/>
              </w:rPr>
            </w:pPr>
            <w:r w:rsidRPr="00651C76">
              <w:t>3+</w:t>
            </w:r>
          </w:p>
        </w:tc>
        <w:tc>
          <w:tcPr>
            <w:tcW w:w="762" w:type="pct"/>
            <w:vMerge w:val="restart"/>
            <w:tcBorders>
              <w:top w:val="nil"/>
              <w:left w:val="nil"/>
              <w:right w:val="single" w:sz="6" w:space="0" w:color="92CFEE"/>
            </w:tcBorders>
            <w:shd w:val="clear" w:color="auto" w:fill="DAEFF9"/>
            <w:vAlign w:val="center"/>
            <w:hideMark/>
          </w:tcPr>
          <w:p w14:paraId="798EE920" w14:textId="3E040296" w:rsidR="008B387E" w:rsidRPr="00651C76" w:rsidRDefault="008B387E" w:rsidP="008B387E">
            <w:pPr>
              <w:keepNext/>
              <w:tabs>
                <w:tab w:val="left" w:pos="360"/>
              </w:tabs>
              <w:spacing w:line="240" w:lineRule="auto"/>
              <w:jc w:val="right"/>
              <w:rPr>
                <w:rFonts w:ascii="Times New Roman" w:hAnsi="Times New Roman"/>
                <w:sz w:val="24"/>
              </w:rPr>
            </w:pPr>
            <w:r w:rsidRPr="00651C76">
              <w:t> $0.12 </w:t>
            </w:r>
          </w:p>
          <w:p w14:paraId="73B75020" w14:textId="0C97A9CB" w:rsidR="008B387E" w:rsidRPr="00651C76" w:rsidRDefault="008B387E" w:rsidP="008B387E">
            <w:pPr>
              <w:keepNext/>
              <w:tabs>
                <w:tab w:val="left" w:pos="360"/>
              </w:tabs>
              <w:spacing w:line="240" w:lineRule="auto"/>
              <w:jc w:val="right"/>
              <w:rPr>
                <w:rFonts w:ascii="Times New Roman" w:hAnsi="Times New Roman"/>
                <w:sz w:val="24"/>
              </w:rPr>
            </w:pPr>
          </w:p>
        </w:tc>
        <w:tc>
          <w:tcPr>
            <w:tcW w:w="762" w:type="pct"/>
            <w:vMerge w:val="restart"/>
            <w:tcBorders>
              <w:top w:val="nil"/>
              <w:left w:val="nil"/>
              <w:right w:val="single" w:sz="6" w:space="0" w:color="92CFEE"/>
            </w:tcBorders>
            <w:shd w:val="clear" w:color="auto" w:fill="DAEFF9"/>
            <w:vAlign w:val="center"/>
            <w:hideMark/>
          </w:tcPr>
          <w:p w14:paraId="7BCF04AA" w14:textId="400A2C16" w:rsidR="008B387E" w:rsidRPr="00651C76" w:rsidRDefault="008B387E" w:rsidP="008B387E">
            <w:pPr>
              <w:keepNext/>
              <w:tabs>
                <w:tab w:val="left" w:pos="360"/>
              </w:tabs>
              <w:spacing w:line="240" w:lineRule="auto"/>
              <w:jc w:val="right"/>
              <w:rPr>
                <w:rFonts w:ascii="Times New Roman" w:hAnsi="Times New Roman"/>
                <w:sz w:val="24"/>
              </w:rPr>
            </w:pPr>
            <w:r w:rsidRPr="00651C76">
              <w:t> $1.50 </w:t>
            </w:r>
          </w:p>
          <w:p w14:paraId="5A89DBC0" w14:textId="2D3ACA42" w:rsidR="008B387E" w:rsidRPr="00651C76" w:rsidRDefault="008B387E" w:rsidP="008B387E">
            <w:pPr>
              <w:keepNext/>
              <w:tabs>
                <w:tab w:val="left" w:pos="360"/>
              </w:tabs>
              <w:spacing w:line="240" w:lineRule="auto"/>
              <w:jc w:val="right"/>
              <w:rPr>
                <w:rFonts w:ascii="Times New Roman" w:hAnsi="Times New Roman"/>
                <w:sz w:val="24"/>
              </w:rPr>
            </w:pPr>
          </w:p>
        </w:tc>
      </w:tr>
      <w:tr w:rsidR="008B387E" w:rsidRPr="00651C76" w14:paraId="0E7E4D9B" w14:textId="77777777" w:rsidTr="00B33D1C">
        <w:trPr>
          <w:trHeight w:val="353"/>
        </w:trPr>
        <w:tc>
          <w:tcPr>
            <w:tcW w:w="519" w:type="pct"/>
            <w:vMerge/>
            <w:tcBorders>
              <w:left w:val="single" w:sz="6" w:space="0" w:color="92CFEE"/>
              <w:right w:val="single" w:sz="6" w:space="0" w:color="92CFEE"/>
            </w:tcBorders>
            <w:shd w:val="clear" w:color="auto" w:fill="DAEFF9"/>
            <w:vAlign w:val="center"/>
          </w:tcPr>
          <w:p w14:paraId="105877E2" w14:textId="77777777" w:rsidR="008B387E" w:rsidRPr="00651C76" w:rsidRDefault="008B387E" w:rsidP="00B33D1C">
            <w:pPr>
              <w:keepNext/>
              <w:tabs>
                <w:tab w:val="left" w:pos="360"/>
              </w:tabs>
              <w:spacing w:line="240" w:lineRule="auto"/>
              <w:jc w:val="center"/>
            </w:pPr>
          </w:p>
        </w:tc>
        <w:tc>
          <w:tcPr>
            <w:tcW w:w="1433" w:type="pct"/>
            <w:tcBorders>
              <w:top w:val="nil"/>
              <w:left w:val="single" w:sz="6" w:space="0" w:color="92CFEE"/>
              <w:bottom w:val="single" w:sz="6" w:space="0" w:color="92CFEE"/>
              <w:right w:val="single" w:sz="6" w:space="0" w:color="92CFEE"/>
            </w:tcBorders>
            <w:shd w:val="clear" w:color="auto" w:fill="DAEFF9"/>
            <w:vAlign w:val="center"/>
            <w:hideMark/>
          </w:tcPr>
          <w:p w14:paraId="6C49002D" w14:textId="28F9C071" w:rsidR="008B387E" w:rsidRPr="00651C76" w:rsidRDefault="008B387E" w:rsidP="008B387E">
            <w:pPr>
              <w:keepNext/>
              <w:tabs>
                <w:tab w:val="left" w:pos="360"/>
              </w:tabs>
              <w:spacing w:line="240" w:lineRule="auto"/>
              <w:rPr>
                <w:rFonts w:ascii="Times New Roman" w:hAnsi="Times New Roman"/>
                <w:sz w:val="24"/>
              </w:rPr>
            </w:pPr>
            <w:r w:rsidRPr="00651C76">
              <w:t>Add-On Equipment </w:t>
            </w:r>
          </w:p>
        </w:tc>
        <w:tc>
          <w:tcPr>
            <w:tcW w:w="801" w:type="pct"/>
            <w:tcBorders>
              <w:top w:val="nil"/>
              <w:left w:val="nil"/>
              <w:bottom w:val="single" w:sz="6" w:space="0" w:color="92CFEE"/>
              <w:right w:val="single" w:sz="6" w:space="0" w:color="92CFEE"/>
            </w:tcBorders>
            <w:shd w:val="clear" w:color="auto" w:fill="DAEFF9"/>
            <w:vAlign w:val="center"/>
            <w:hideMark/>
          </w:tcPr>
          <w:p w14:paraId="4798AA78" w14:textId="77777777" w:rsidR="008B387E" w:rsidRPr="00651C76" w:rsidRDefault="008B387E" w:rsidP="008B387E">
            <w:pPr>
              <w:keepNext/>
              <w:tabs>
                <w:tab w:val="left" w:pos="360"/>
              </w:tabs>
              <w:spacing w:line="240" w:lineRule="auto"/>
              <w:rPr>
                <w:rFonts w:ascii="Times New Roman" w:hAnsi="Times New Roman"/>
                <w:sz w:val="24"/>
              </w:rPr>
            </w:pPr>
            <w:r w:rsidRPr="00651C76">
              <w:t>Custom </w:t>
            </w:r>
          </w:p>
        </w:tc>
        <w:tc>
          <w:tcPr>
            <w:tcW w:w="723" w:type="pct"/>
            <w:tcBorders>
              <w:top w:val="nil"/>
              <w:left w:val="nil"/>
              <w:bottom w:val="single" w:sz="6" w:space="0" w:color="92CFEE"/>
              <w:right w:val="single" w:sz="6" w:space="0" w:color="92CFEE"/>
            </w:tcBorders>
            <w:shd w:val="clear" w:color="auto" w:fill="DAEFF9"/>
            <w:vAlign w:val="center"/>
            <w:hideMark/>
          </w:tcPr>
          <w:p w14:paraId="46D09BA1" w14:textId="784B9D04" w:rsidR="008B387E" w:rsidRPr="00651C76" w:rsidRDefault="008B387E" w:rsidP="008B387E">
            <w:pPr>
              <w:keepNext/>
              <w:tabs>
                <w:tab w:val="left" w:pos="360"/>
              </w:tabs>
              <w:spacing w:line="240" w:lineRule="auto"/>
              <w:jc w:val="center"/>
              <w:rPr>
                <w:rFonts w:ascii="Times New Roman" w:hAnsi="Times New Roman"/>
                <w:sz w:val="24"/>
              </w:rPr>
            </w:pPr>
            <w:r w:rsidRPr="00651C76">
              <w:t>4-10</w:t>
            </w:r>
          </w:p>
        </w:tc>
        <w:tc>
          <w:tcPr>
            <w:tcW w:w="762" w:type="pct"/>
            <w:vMerge/>
            <w:tcBorders>
              <w:left w:val="nil"/>
              <w:right w:val="single" w:sz="6" w:space="0" w:color="92CFEE"/>
            </w:tcBorders>
            <w:shd w:val="clear" w:color="auto" w:fill="DAEFF9"/>
            <w:vAlign w:val="center"/>
            <w:hideMark/>
          </w:tcPr>
          <w:p w14:paraId="6BBD741F" w14:textId="05E3EF4D" w:rsidR="008B387E" w:rsidRPr="00651C76" w:rsidRDefault="008B387E" w:rsidP="008B387E">
            <w:pPr>
              <w:keepNext/>
              <w:tabs>
                <w:tab w:val="left" w:pos="360"/>
              </w:tabs>
              <w:spacing w:line="240" w:lineRule="auto"/>
              <w:jc w:val="right"/>
              <w:rPr>
                <w:rFonts w:ascii="Times New Roman" w:hAnsi="Times New Roman"/>
                <w:sz w:val="24"/>
              </w:rPr>
            </w:pPr>
          </w:p>
        </w:tc>
        <w:tc>
          <w:tcPr>
            <w:tcW w:w="762" w:type="pct"/>
            <w:vMerge/>
            <w:tcBorders>
              <w:left w:val="nil"/>
              <w:right w:val="single" w:sz="6" w:space="0" w:color="92CFEE"/>
            </w:tcBorders>
            <w:shd w:val="clear" w:color="auto" w:fill="DAEFF9"/>
            <w:vAlign w:val="center"/>
            <w:hideMark/>
          </w:tcPr>
          <w:p w14:paraId="5E1CB5FB" w14:textId="11EA1E08" w:rsidR="008B387E" w:rsidRPr="00651C76" w:rsidRDefault="008B387E" w:rsidP="008B387E">
            <w:pPr>
              <w:keepNext/>
              <w:tabs>
                <w:tab w:val="left" w:pos="360"/>
              </w:tabs>
              <w:spacing w:line="240" w:lineRule="auto"/>
              <w:jc w:val="right"/>
              <w:rPr>
                <w:rFonts w:ascii="Times New Roman" w:hAnsi="Times New Roman"/>
                <w:sz w:val="24"/>
              </w:rPr>
            </w:pPr>
          </w:p>
        </w:tc>
      </w:tr>
      <w:tr w:rsidR="008B387E" w:rsidRPr="00651C76" w14:paraId="274995F9" w14:textId="77777777" w:rsidTr="00B33D1C">
        <w:trPr>
          <w:trHeight w:val="280"/>
        </w:trPr>
        <w:tc>
          <w:tcPr>
            <w:tcW w:w="519" w:type="pct"/>
            <w:vMerge/>
            <w:tcBorders>
              <w:left w:val="single" w:sz="6" w:space="0" w:color="92CFEE"/>
              <w:bottom w:val="single" w:sz="6" w:space="0" w:color="92CFEE"/>
              <w:right w:val="single" w:sz="6" w:space="0" w:color="92CFEE"/>
            </w:tcBorders>
            <w:shd w:val="clear" w:color="auto" w:fill="DAEFF9"/>
            <w:vAlign w:val="center"/>
          </w:tcPr>
          <w:p w14:paraId="2590D414" w14:textId="77777777" w:rsidR="008B387E" w:rsidRPr="00651C76" w:rsidRDefault="008B387E" w:rsidP="00B33D1C">
            <w:pPr>
              <w:keepNext/>
              <w:tabs>
                <w:tab w:val="left" w:pos="360"/>
              </w:tabs>
              <w:spacing w:line="240" w:lineRule="auto"/>
              <w:jc w:val="center"/>
            </w:pPr>
          </w:p>
        </w:tc>
        <w:tc>
          <w:tcPr>
            <w:tcW w:w="1433" w:type="pct"/>
            <w:tcBorders>
              <w:top w:val="nil"/>
              <w:left w:val="single" w:sz="6" w:space="0" w:color="92CFEE"/>
              <w:bottom w:val="single" w:sz="6" w:space="0" w:color="92CFEE"/>
              <w:right w:val="single" w:sz="6" w:space="0" w:color="92CFEE"/>
            </w:tcBorders>
            <w:shd w:val="clear" w:color="auto" w:fill="DAEFF9"/>
            <w:vAlign w:val="center"/>
            <w:hideMark/>
          </w:tcPr>
          <w:p w14:paraId="1E73EA9C" w14:textId="6A1AEA06" w:rsidR="008B387E" w:rsidRPr="00651C76" w:rsidRDefault="008B387E" w:rsidP="008B387E">
            <w:pPr>
              <w:keepNext/>
              <w:tabs>
                <w:tab w:val="left" w:pos="360"/>
              </w:tabs>
              <w:spacing w:line="240" w:lineRule="auto"/>
              <w:rPr>
                <w:rFonts w:ascii="Times New Roman" w:hAnsi="Times New Roman"/>
                <w:sz w:val="24"/>
              </w:rPr>
            </w:pPr>
            <w:r w:rsidRPr="00651C76">
              <w:t>Accelerated Replacement</w:t>
            </w:r>
          </w:p>
        </w:tc>
        <w:tc>
          <w:tcPr>
            <w:tcW w:w="801" w:type="pct"/>
            <w:tcBorders>
              <w:top w:val="nil"/>
              <w:left w:val="nil"/>
              <w:bottom w:val="single" w:sz="6" w:space="0" w:color="92CFEE"/>
              <w:right w:val="single" w:sz="6" w:space="0" w:color="92CFEE"/>
            </w:tcBorders>
            <w:shd w:val="clear" w:color="auto" w:fill="DAEFF9"/>
            <w:vAlign w:val="center"/>
            <w:hideMark/>
          </w:tcPr>
          <w:p w14:paraId="5FFC1818" w14:textId="77777777" w:rsidR="008B387E" w:rsidRPr="00651C76" w:rsidRDefault="008B387E" w:rsidP="008B387E">
            <w:pPr>
              <w:keepNext/>
              <w:tabs>
                <w:tab w:val="left" w:pos="360"/>
              </w:tabs>
              <w:spacing w:line="240" w:lineRule="auto"/>
              <w:rPr>
                <w:rFonts w:ascii="Times New Roman" w:hAnsi="Times New Roman"/>
                <w:sz w:val="24"/>
              </w:rPr>
            </w:pPr>
            <w:r w:rsidRPr="00651C76">
              <w:t>Custom </w:t>
            </w:r>
          </w:p>
        </w:tc>
        <w:tc>
          <w:tcPr>
            <w:tcW w:w="723" w:type="pct"/>
            <w:tcBorders>
              <w:top w:val="nil"/>
              <w:left w:val="nil"/>
              <w:bottom w:val="single" w:sz="6" w:space="0" w:color="92CFEE"/>
              <w:right w:val="single" w:sz="6" w:space="0" w:color="92CFEE"/>
            </w:tcBorders>
            <w:shd w:val="clear" w:color="auto" w:fill="DAEFF9"/>
            <w:vAlign w:val="center"/>
            <w:hideMark/>
          </w:tcPr>
          <w:p w14:paraId="65353E1D" w14:textId="5D8C9358" w:rsidR="008B387E" w:rsidRPr="00651C76" w:rsidRDefault="008B387E" w:rsidP="008B387E">
            <w:pPr>
              <w:keepNext/>
              <w:tabs>
                <w:tab w:val="left" w:pos="360"/>
              </w:tabs>
              <w:spacing w:line="240" w:lineRule="auto"/>
              <w:jc w:val="center"/>
              <w:rPr>
                <w:rFonts w:ascii="Times New Roman" w:hAnsi="Times New Roman"/>
                <w:sz w:val="24"/>
              </w:rPr>
            </w:pPr>
            <w:r w:rsidRPr="00651C76">
              <w:t>4-10</w:t>
            </w:r>
          </w:p>
        </w:tc>
        <w:tc>
          <w:tcPr>
            <w:tcW w:w="762" w:type="pct"/>
            <w:vMerge/>
            <w:tcBorders>
              <w:left w:val="nil"/>
              <w:bottom w:val="single" w:sz="6" w:space="0" w:color="92CFEE"/>
              <w:right w:val="single" w:sz="6" w:space="0" w:color="92CFEE"/>
            </w:tcBorders>
            <w:shd w:val="clear" w:color="auto" w:fill="DAEFF9"/>
            <w:vAlign w:val="center"/>
            <w:hideMark/>
          </w:tcPr>
          <w:p w14:paraId="7E218D50" w14:textId="2D28F66F" w:rsidR="008B387E" w:rsidRPr="00651C76" w:rsidRDefault="008B387E" w:rsidP="008B387E">
            <w:pPr>
              <w:keepNext/>
              <w:tabs>
                <w:tab w:val="left" w:pos="360"/>
              </w:tabs>
              <w:spacing w:line="240" w:lineRule="auto"/>
              <w:jc w:val="right"/>
              <w:rPr>
                <w:rFonts w:ascii="Times New Roman" w:hAnsi="Times New Roman"/>
                <w:sz w:val="24"/>
              </w:rPr>
            </w:pPr>
          </w:p>
        </w:tc>
        <w:tc>
          <w:tcPr>
            <w:tcW w:w="762" w:type="pct"/>
            <w:vMerge/>
            <w:tcBorders>
              <w:left w:val="nil"/>
              <w:bottom w:val="single" w:sz="6" w:space="0" w:color="92CFEE"/>
              <w:right w:val="single" w:sz="6" w:space="0" w:color="92CFEE"/>
            </w:tcBorders>
            <w:shd w:val="clear" w:color="auto" w:fill="DAEFF9"/>
            <w:vAlign w:val="center"/>
            <w:hideMark/>
          </w:tcPr>
          <w:p w14:paraId="683729C0" w14:textId="671BA077" w:rsidR="008B387E" w:rsidRPr="00651C76" w:rsidRDefault="008B387E" w:rsidP="008B387E">
            <w:pPr>
              <w:keepNext/>
              <w:tabs>
                <w:tab w:val="left" w:pos="360"/>
              </w:tabs>
              <w:spacing w:line="240" w:lineRule="auto"/>
              <w:jc w:val="right"/>
              <w:rPr>
                <w:rFonts w:ascii="Times New Roman" w:hAnsi="Times New Roman"/>
                <w:sz w:val="24"/>
              </w:rPr>
            </w:pPr>
          </w:p>
        </w:tc>
      </w:tr>
      <w:tr w:rsidR="008B387E" w:rsidRPr="00651C76" w14:paraId="20D5D07D" w14:textId="77777777" w:rsidTr="00B33D1C">
        <w:trPr>
          <w:trHeight w:val="560"/>
        </w:trPr>
        <w:tc>
          <w:tcPr>
            <w:tcW w:w="519" w:type="pct"/>
            <w:tcBorders>
              <w:top w:val="nil"/>
              <w:left w:val="single" w:sz="6" w:space="0" w:color="92CFEE"/>
              <w:bottom w:val="single" w:sz="6" w:space="0" w:color="92CFEE"/>
              <w:right w:val="single" w:sz="6" w:space="0" w:color="92CFEE"/>
            </w:tcBorders>
            <w:shd w:val="clear" w:color="auto" w:fill="B6DFF4"/>
            <w:vAlign w:val="center"/>
          </w:tcPr>
          <w:p w14:paraId="021D77B6" w14:textId="43C5530C" w:rsidR="00800F39" w:rsidRPr="00651C76" w:rsidRDefault="00800F39" w:rsidP="00B33D1C">
            <w:pPr>
              <w:keepNext/>
              <w:tabs>
                <w:tab w:val="left" w:pos="360"/>
              </w:tabs>
              <w:spacing w:line="240" w:lineRule="auto"/>
              <w:jc w:val="center"/>
            </w:pPr>
            <w:r>
              <w:t>3</w:t>
            </w:r>
          </w:p>
        </w:tc>
        <w:tc>
          <w:tcPr>
            <w:tcW w:w="1433" w:type="pct"/>
            <w:tcBorders>
              <w:top w:val="nil"/>
              <w:left w:val="single" w:sz="6" w:space="0" w:color="92CFEE"/>
              <w:bottom w:val="single" w:sz="6" w:space="0" w:color="92CFEE"/>
              <w:right w:val="single" w:sz="6" w:space="0" w:color="92CFEE"/>
            </w:tcBorders>
            <w:shd w:val="clear" w:color="auto" w:fill="B6DFF4"/>
            <w:vAlign w:val="center"/>
            <w:hideMark/>
          </w:tcPr>
          <w:p w14:paraId="4D0B4886" w14:textId="2B97970C" w:rsidR="00800F39" w:rsidRPr="00651C76" w:rsidRDefault="00800F39" w:rsidP="008B387E">
            <w:pPr>
              <w:keepNext/>
              <w:tabs>
                <w:tab w:val="left" w:pos="360"/>
              </w:tabs>
              <w:spacing w:line="240" w:lineRule="auto"/>
              <w:rPr>
                <w:rFonts w:ascii="Times New Roman" w:hAnsi="Times New Roman"/>
                <w:sz w:val="24"/>
              </w:rPr>
            </w:pPr>
            <w:r w:rsidRPr="00651C76">
              <w:t>Normal Replacement</w:t>
            </w:r>
            <w:r w:rsidR="001F28E0">
              <w:t>/</w:t>
            </w:r>
            <w:r w:rsidR="00EF4D5F">
              <w:t xml:space="preserve"> Capacity Expansion</w:t>
            </w:r>
          </w:p>
        </w:tc>
        <w:tc>
          <w:tcPr>
            <w:tcW w:w="801" w:type="pct"/>
            <w:tcBorders>
              <w:top w:val="nil"/>
              <w:left w:val="nil"/>
              <w:bottom w:val="single" w:sz="6" w:space="0" w:color="92CFEE"/>
              <w:right w:val="single" w:sz="6" w:space="0" w:color="92CFEE"/>
            </w:tcBorders>
            <w:shd w:val="clear" w:color="auto" w:fill="B6DFF4"/>
            <w:vAlign w:val="center"/>
            <w:hideMark/>
          </w:tcPr>
          <w:p w14:paraId="44EA1911" w14:textId="77777777" w:rsidR="00800F39" w:rsidRPr="00651C76" w:rsidRDefault="00800F39" w:rsidP="008B387E">
            <w:pPr>
              <w:keepNext/>
              <w:tabs>
                <w:tab w:val="left" w:pos="360"/>
              </w:tabs>
              <w:spacing w:line="240" w:lineRule="auto"/>
              <w:rPr>
                <w:rFonts w:ascii="Times New Roman" w:hAnsi="Times New Roman"/>
                <w:sz w:val="24"/>
              </w:rPr>
            </w:pPr>
            <w:r w:rsidRPr="00651C76">
              <w:t>Custom </w:t>
            </w:r>
          </w:p>
        </w:tc>
        <w:tc>
          <w:tcPr>
            <w:tcW w:w="723" w:type="pct"/>
            <w:tcBorders>
              <w:top w:val="nil"/>
              <w:left w:val="nil"/>
              <w:bottom w:val="single" w:sz="6" w:space="0" w:color="92CFEE"/>
              <w:right w:val="single" w:sz="6" w:space="0" w:color="92CFEE"/>
            </w:tcBorders>
            <w:shd w:val="clear" w:color="auto" w:fill="B6DFF4"/>
            <w:vAlign w:val="center"/>
            <w:hideMark/>
          </w:tcPr>
          <w:p w14:paraId="63D07997" w14:textId="3DA63B4A" w:rsidR="00800F39" w:rsidRPr="00651C76" w:rsidRDefault="00800F39" w:rsidP="008B387E">
            <w:pPr>
              <w:keepNext/>
              <w:tabs>
                <w:tab w:val="left" w:pos="360"/>
              </w:tabs>
              <w:spacing w:line="240" w:lineRule="auto"/>
              <w:jc w:val="center"/>
              <w:rPr>
                <w:rFonts w:ascii="Times New Roman" w:hAnsi="Times New Roman"/>
                <w:sz w:val="24"/>
              </w:rPr>
            </w:pPr>
            <w:r w:rsidRPr="00651C76">
              <w:t>11-20</w:t>
            </w:r>
          </w:p>
        </w:tc>
        <w:tc>
          <w:tcPr>
            <w:tcW w:w="762" w:type="pct"/>
            <w:tcBorders>
              <w:top w:val="nil"/>
              <w:left w:val="nil"/>
              <w:bottom w:val="single" w:sz="6" w:space="0" w:color="92CFEE"/>
              <w:right w:val="single" w:sz="6" w:space="0" w:color="92CFEE"/>
            </w:tcBorders>
            <w:shd w:val="clear" w:color="auto" w:fill="B6DFF4"/>
            <w:vAlign w:val="center"/>
            <w:hideMark/>
          </w:tcPr>
          <w:p w14:paraId="7EFCCED2" w14:textId="77777777" w:rsidR="00800F39" w:rsidRPr="00651C76" w:rsidRDefault="00800F39" w:rsidP="008B387E">
            <w:pPr>
              <w:keepNext/>
              <w:tabs>
                <w:tab w:val="left" w:pos="360"/>
              </w:tabs>
              <w:spacing w:line="240" w:lineRule="auto"/>
              <w:jc w:val="right"/>
              <w:rPr>
                <w:rFonts w:ascii="Times New Roman" w:hAnsi="Times New Roman"/>
                <w:sz w:val="24"/>
              </w:rPr>
            </w:pPr>
            <w:r w:rsidRPr="00651C76">
              <w:t> $0.20 </w:t>
            </w:r>
          </w:p>
        </w:tc>
        <w:tc>
          <w:tcPr>
            <w:tcW w:w="762" w:type="pct"/>
            <w:tcBorders>
              <w:top w:val="nil"/>
              <w:left w:val="nil"/>
              <w:bottom w:val="single" w:sz="6" w:space="0" w:color="92CFEE"/>
              <w:right w:val="single" w:sz="6" w:space="0" w:color="92CFEE"/>
            </w:tcBorders>
            <w:shd w:val="clear" w:color="auto" w:fill="B6DFF4"/>
            <w:vAlign w:val="center"/>
            <w:hideMark/>
          </w:tcPr>
          <w:p w14:paraId="43975CF4" w14:textId="77777777" w:rsidR="00800F39" w:rsidRPr="00651C76" w:rsidRDefault="00800F39" w:rsidP="008B387E">
            <w:pPr>
              <w:keepNext/>
              <w:tabs>
                <w:tab w:val="left" w:pos="360"/>
              </w:tabs>
              <w:spacing w:line="240" w:lineRule="auto"/>
              <w:jc w:val="right"/>
              <w:rPr>
                <w:rFonts w:ascii="Times New Roman" w:hAnsi="Times New Roman"/>
                <w:sz w:val="24"/>
              </w:rPr>
            </w:pPr>
            <w:r w:rsidRPr="00651C76">
              <w:t> $2.50 </w:t>
            </w:r>
          </w:p>
        </w:tc>
      </w:tr>
    </w:tbl>
    <w:p w14:paraId="561CDF0A" w14:textId="5C855DEA" w:rsidR="00970BF8" w:rsidRPr="002C4542" w:rsidRDefault="002C4542" w:rsidP="00846B0F">
      <w:pPr>
        <w:tabs>
          <w:tab w:val="left" w:pos="360"/>
        </w:tabs>
        <w:ind w:left="360"/>
        <w:rPr>
          <w:i/>
          <w:iCs/>
          <w:sz w:val="20"/>
          <w:szCs w:val="20"/>
        </w:rPr>
      </w:pPr>
      <w:r w:rsidRPr="002C4542">
        <w:rPr>
          <w:i/>
          <w:iCs/>
          <w:sz w:val="20"/>
          <w:szCs w:val="20"/>
        </w:rPr>
        <w:t>* Base incentives for to-code custom projects are capped at 50% of those listed in Table 6.</w:t>
      </w:r>
    </w:p>
    <w:p w14:paraId="720537D9" w14:textId="77777777" w:rsidR="002C4542" w:rsidRDefault="002C4542" w:rsidP="00846B0F">
      <w:pPr>
        <w:tabs>
          <w:tab w:val="left" w:pos="360"/>
        </w:tabs>
        <w:ind w:left="360"/>
      </w:pPr>
    </w:p>
    <w:p w14:paraId="7092C9D5" w14:textId="5302CCFC" w:rsidR="0042593D" w:rsidRDefault="002D7B4D" w:rsidP="00970BF8">
      <w:pPr>
        <w:tabs>
          <w:tab w:val="left" w:pos="360"/>
        </w:tabs>
        <w:ind w:left="360"/>
      </w:pPr>
      <w:r>
        <w:t>I</w:t>
      </w:r>
      <w:r w:rsidR="0003369B" w:rsidRPr="00651C76">
        <w:t xml:space="preserve">ncentive adders </w:t>
      </w:r>
      <w:r w:rsidR="003916D2">
        <w:t xml:space="preserve">may </w:t>
      </w:r>
      <w:r>
        <w:t xml:space="preserve">also </w:t>
      </w:r>
      <w:r w:rsidR="003916D2">
        <w:t>be available for</w:t>
      </w:r>
      <w:r w:rsidR="00C04270">
        <w:t xml:space="preserve"> </w:t>
      </w:r>
      <w:r w:rsidR="00AB6015">
        <w:t>deep and persistent energy savings</w:t>
      </w:r>
      <w:r w:rsidR="006C10B4">
        <w:t xml:space="preserve"> and </w:t>
      </w:r>
      <w:r w:rsidR="007E498C">
        <w:t xml:space="preserve">strong program participation including, but not limited to the </w:t>
      </w:r>
      <w:r w:rsidR="0042593D">
        <w:t>following:</w:t>
      </w:r>
    </w:p>
    <w:p w14:paraId="0E6893CE" w14:textId="3A0EA3A5" w:rsidR="00E8783A" w:rsidRPr="00846B0F" w:rsidRDefault="00E8783A" w:rsidP="00846B0F">
      <w:pPr>
        <w:pStyle w:val="BulletList-2"/>
      </w:pPr>
      <w:r w:rsidRPr="00846B0F">
        <w:t>Comprehensive project</w:t>
      </w:r>
      <w:r w:rsidR="00F52CA0" w:rsidRPr="00846B0F">
        <w:t xml:space="preserve">s with bundled </w:t>
      </w:r>
      <w:r w:rsidR="00751E19" w:rsidRPr="00846B0F">
        <w:t>measures</w:t>
      </w:r>
    </w:p>
    <w:p w14:paraId="3A067EDB" w14:textId="6D500DD0" w:rsidR="0030438F" w:rsidRPr="00846B0F" w:rsidRDefault="0030438F" w:rsidP="00846B0F">
      <w:pPr>
        <w:pStyle w:val="BulletList-2"/>
      </w:pPr>
      <w:r w:rsidRPr="00846B0F">
        <w:t>Prompt project completion</w:t>
      </w:r>
    </w:p>
    <w:p w14:paraId="268721EC" w14:textId="2EC53473" w:rsidR="0030438F" w:rsidRPr="00846B0F" w:rsidRDefault="0030438F" w:rsidP="00846B0F">
      <w:pPr>
        <w:pStyle w:val="BulletList-2"/>
      </w:pPr>
      <w:r w:rsidRPr="00846B0F">
        <w:t>Adoption of emerging technologies</w:t>
      </w:r>
    </w:p>
    <w:p w14:paraId="11118482" w14:textId="5145CE7F" w:rsidR="0016609B" w:rsidRPr="00846B0F" w:rsidRDefault="007F6597" w:rsidP="00846B0F">
      <w:pPr>
        <w:pStyle w:val="BulletList-2"/>
      </w:pPr>
      <w:r w:rsidRPr="00846B0F">
        <w:t>Enrollment of an Energy Program Manager</w:t>
      </w:r>
    </w:p>
    <w:p w14:paraId="2C635315" w14:textId="77777777" w:rsidR="008A3ADA" w:rsidRDefault="008A3ADA" w:rsidP="00846B0F">
      <w:pPr>
        <w:pStyle w:val="BulletList-1"/>
        <w:tabs>
          <w:tab w:val="clear" w:pos="720"/>
          <w:tab w:val="left" w:pos="360"/>
        </w:tabs>
        <w:ind w:left="1080" w:firstLine="0"/>
      </w:pPr>
    </w:p>
    <w:p w14:paraId="2B588BAF" w14:textId="2183DA89" w:rsidR="00B070F1" w:rsidRDefault="00842410" w:rsidP="00846B0F">
      <w:pPr>
        <w:tabs>
          <w:tab w:val="left" w:pos="360"/>
        </w:tabs>
        <w:ind w:left="360"/>
      </w:pPr>
      <w:r w:rsidRPr="00842410">
        <w:t>T</w:t>
      </w:r>
      <w:r w:rsidR="00DF5730">
        <w:t>he t</w:t>
      </w:r>
      <w:r w:rsidRPr="00842410">
        <w:t xml:space="preserve">otal incentive </w:t>
      </w:r>
      <w:r w:rsidR="00ED10F7">
        <w:t xml:space="preserve">with </w:t>
      </w:r>
      <w:r w:rsidRPr="00842410">
        <w:t xml:space="preserve">adders for a project </w:t>
      </w:r>
      <w:r w:rsidR="002D7B4D">
        <w:t xml:space="preserve">is </w:t>
      </w:r>
      <w:r w:rsidR="006352FB">
        <w:t>limited to</w:t>
      </w:r>
      <w:r w:rsidRPr="00842410">
        <w:t xml:space="preserve"> </w:t>
      </w:r>
      <w:r w:rsidR="00CD70A5">
        <w:t>1</w:t>
      </w:r>
      <w:r w:rsidRPr="00842410">
        <w:t>50% of the base incentive (</w:t>
      </w:r>
      <w:r w:rsidR="00F9789B">
        <w:fldChar w:fldCharType="begin"/>
      </w:r>
      <w:r w:rsidR="00F9789B">
        <w:instrText xml:space="preserve"> REF _Ref54273749 \h </w:instrText>
      </w:r>
      <w:r w:rsidR="008A3ADA">
        <w:instrText xml:space="preserve"> \* MERGEFORMAT </w:instrText>
      </w:r>
      <w:r w:rsidR="00F9789B">
        <w:fldChar w:fldCharType="separate"/>
      </w:r>
      <w:r w:rsidR="00A020D4">
        <w:t xml:space="preserve">Table </w:t>
      </w:r>
      <w:r w:rsidR="00A020D4">
        <w:rPr>
          <w:noProof/>
        </w:rPr>
        <w:t>6</w:t>
      </w:r>
      <w:r w:rsidR="00F9789B">
        <w:fldChar w:fldCharType="end"/>
      </w:r>
      <w:r w:rsidR="00DD5030">
        <w:t>)</w:t>
      </w:r>
      <w:r w:rsidR="00F9789B">
        <w:t xml:space="preserve">. </w:t>
      </w:r>
      <w:r w:rsidR="00DD5030">
        <w:t xml:space="preserve">Rebates for deemed measures are aligned with PG&amp;E rebate catalogs. </w:t>
      </w:r>
      <w:r w:rsidR="002A0FE6">
        <w:t>For more information</w:t>
      </w:r>
      <w:r w:rsidR="00780334">
        <w:t>,</w:t>
      </w:r>
      <w:r w:rsidR="002A0FE6">
        <w:t xml:space="preserve"> see</w:t>
      </w:r>
      <w:r w:rsidR="009F156F">
        <w:t xml:space="preserve"> </w:t>
      </w:r>
      <w:r w:rsidR="000B0B7E">
        <w:t xml:space="preserve">the </w:t>
      </w:r>
      <w:r w:rsidR="002A0FE6">
        <w:t>ISOP</w:t>
      </w:r>
      <w:r w:rsidR="00B40301">
        <w:t xml:space="preserve"> </w:t>
      </w:r>
      <w:r w:rsidR="009F156F">
        <w:t>Program M</w:t>
      </w:r>
      <w:r w:rsidR="00B40301">
        <w:t>anual</w:t>
      </w:r>
      <w:r w:rsidR="009B5391">
        <w:t>.</w:t>
      </w:r>
      <w:r w:rsidR="009409E1">
        <w:t xml:space="preserve"> </w:t>
      </w:r>
    </w:p>
    <w:p w14:paraId="5E875DBC" w14:textId="77777777" w:rsidR="00B070F1" w:rsidRDefault="00B070F1" w:rsidP="00846B0F">
      <w:pPr>
        <w:tabs>
          <w:tab w:val="left" w:pos="360"/>
        </w:tabs>
        <w:ind w:left="360"/>
      </w:pPr>
    </w:p>
    <w:p w14:paraId="59612C60" w14:textId="0850EB01" w:rsidR="0003369B" w:rsidRPr="00651C76" w:rsidRDefault="00B070F1" w:rsidP="00846B0F">
      <w:pPr>
        <w:tabs>
          <w:tab w:val="left" w:pos="360"/>
        </w:tabs>
        <w:ind w:left="360"/>
      </w:pPr>
      <w:r>
        <w:t xml:space="preserve">In addition to cash incentives, ISOP </w:t>
      </w:r>
      <w:r w:rsidR="00E32607">
        <w:t>offers</w:t>
      </w:r>
      <w:r w:rsidR="0003369B" w:rsidRPr="00651C76">
        <w:t xml:space="preserve"> </w:t>
      </w:r>
      <w:r w:rsidR="00456AE3">
        <w:t>OBF, both with and without incentives</w:t>
      </w:r>
      <w:r w:rsidR="0003369B" w:rsidRPr="00651C76">
        <w:t>. On-Bill Financing can drive energy-efficiency projects that do not meet a customer’s rate of return threshold with incentives or rebates alone, and the combination of OBF with incentives and rebates has the potential to accelerate projects with faster payback periods. OBF</w:t>
      </w:r>
      <w:r w:rsidR="00456AE3">
        <w:t xml:space="preserve"> without in</w:t>
      </w:r>
      <w:r w:rsidR="00B04D6A">
        <w:t>c</w:t>
      </w:r>
      <w:r w:rsidR="00456AE3">
        <w:t>entives</w:t>
      </w:r>
      <w:r w:rsidR="0003369B" w:rsidRPr="00651C76">
        <w:t> </w:t>
      </w:r>
      <w:r w:rsidR="00D026A1">
        <w:t>can</w:t>
      </w:r>
      <w:r w:rsidR="0003369B" w:rsidRPr="00651C76">
        <w:t xml:space="preserve"> encourage action on an array of measures where incentives are either not available, not compelling, or contingent upon a lengthy and uncertain review path that is disproportionate to the incentive dollars at stake. </w:t>
      </w:r>
    </w:p>
    <w:p w14:paraId="19C35F35" w14:textId="77777777" w:rsidR="0041545A" w:rsidRDefault="0041545A" w:rsidP="00846B0F">
      <w:pPr>
        <w:tabs>
          <w:tab w:val="left" w:pos="360"/>
        </w:tabs>
        <w:ind w:left="360"/>
      </w:pPr>
    </w:p>
    <w:p w14:paraId="68292E58" w14:textId="77777777" w:rsidR="0041545A" w:rsidRPr="00651C76" w:rsidRDefault="0041545A" w:rsidP="00846B0F">
      <w:pPr>
        <w:tabs>
          <w:tab w:val="left" w:pos="360"/>
        </w:tabs>
        <w:ind w:left="360"/>
      </w:pPr>
    </w:p>
    <w:p w14:paraId="1FC66440" w14:textId="5F6470DA" w:rsidR="00EB16D2" w:rsidRDefault="00EB16D2" w:rsidP="00241C1A">
      <w:pPr>
        <w:pStyle w:val="Heading2"/>
      </w:pPr>
      <w:bookmarkStart w:id="35" w:name="_Toc54955124"/>
      <w:r w:rsidRPr="006E10B8">
        <w:lastRenderedPageBreak/>
        <w:t>Quantitative Program Targets</w:t>
      </w:r>
      <w:bookmarkEnd w:id="35"/>
    </w:p>
    <w:p w14:paraId="2B4A4692" w14:textId="62259FA4" w:rsidR="0074514A" w:rsidRPr="006E10B8" w:rsidRDefault="0019706B" w:rsidP="00D026A1">
      <w:pPr>
        <w:ind w:left="360"/>
      </w:pPr>
      <w:r>
        <w:t xml:space="preserve">See </w:t>
      </w:r>
      <w:r w:rsidR="00F37D40">
        <w:t xml:space="preserve">Tables </w:t>
      </w:r>
      <w:r w:rsidR="00F040BE">
        <w:t>1 and 2 above.</w:t>
      </w:r>
    </w:p>
    <w:p w14:paraId="2B553B76" w14:textId="6163F471" w:rsidR="00683031" w:rsidRPr="000E642B" w:rsidRDefault="00EB16D2" w:rsidP="00241C1A">
      <w:pPr>
        <w:pStyle w:val="Heading2"/>
      </w:pPr>
      <w:bookmarkStart w:id="36" w:name="_Toc54955125"/>
      <w:r w:rsidRPr="000E642B">
        <w:t>Diagram of Program</w:t>
      </w:r>
      <w:bookmarkEnd w:id="36"/>
    </w:p>
    <w:p w14:paraId="3E01D186" w14:textId="6E16F0FF" w:rsidR="00994AB1" w:rsidRDefault="00052863" w:rsidP="00D026A1">
      <w:pPr>
        <w:ind w:left="360"/>
      </w:pPr>
      <w:r>
        <w:t xml:space="preserve">The following diagram </w:t>
      </w:r>
      <w:r w:rsidR="007E2A71">
        <w:t>summarizes</w:t>
      </w:r>
      <w:r>
        <w:t xml:space="preserve"> how ISOP fits into </w:t>
      </w:r>
      <w:r w:rsidR="007E2A71">
        <w:t xml:space="preserve">PG&amp;E’s </w:t>
      </w:r>
      <w:r w:rsidR="001C7FE1">
        <w:t>customer programs</w:t>
      </w:r>
      <w:r w:rsidR="007E2A71">
        <w:t xml:space="preserve"> portfolio</w:t>
      </w:r>
      <w:r w:rsidR="001C7FE1">
        <w:t xml:space="preserve"> and the broader statewide landscape, including </w:t>
      </w:r>
      <w:r w:rsidR="00994AB1">
        <w:t xml:space="preserve">connections with marketing and outreach, workforce training, emerging technologies, and </w:t>
      </w:r>
      <w:r w:rsidR="003358DE">
        <w:t>Integrated Demand Side Management (</w:t>
      </w:r>
      <w:r w:rsidR="00994AB1">
        <w:t>IDSM</w:t>
      </w:r>
      <w:r w:rsidR="003358DE">
        <w:t>)</w:t>
      </w:r>
      <w:r w:rsidR="00994AB1">
        <w:t xml:space="preserve"> programs</w:t>
      </w:r>
      <w:r w:rsidR="007E2A71">
        <w:t>.</w:t>
      </w:r>
    </w:p>
    <w:p w14:paraId="016515C8" w14:textId="77777777" w:rsidR="00D026A1" w:rsidRDefault="00D026A1" w:rsidP="00D026A1"/>
    <w:p w14:paraId="54F69B2E" w14:textId="568BB584" w:rsidR="00994AB1" w:rsidRDefault="00994AB1" w:rsidP="00D026A1">
      <w:pPr>
        <w:pStyle w:val="Caption"/>
        <w:tabs>
          <w:tab w:val="left" w:pos="360"/>
        </w:tabs>
        <w:ind w:left="360"/>
      </w:pPr>
      <w:r>
        <w:t xml:space="preserve">Figure </w:t>
      </w:r>
      <w:r>
        <w:fldChar w:fldCharType="begin"/>
      </w:r>
      <w:r>
        <w:instrText>SEQ Figure \* ARABIC</w:instrText>
      </w:r>
      <w:r>
        <w:fldChar w:fldCharType="separate"/>
      </w:r>
      <w:r w:rsidR="00A020D4">
        <w:rPr>
          <w:noProof/>
        </w:rPr>
        <w:t>1</w:t>
      </w:r>
      <w:r>
        <w:fldChar w:fldCharType="end"/>
      </w:r>
      <w:r>
        <w:t>. ISOP Program Diagram</w:t>
      </w:r>
    </w:p>
    <w:p w14:paraId="6E29A60C" w14:textId="4F5B2CE8" w:rsidR="006E10B8" w:rsidRDefault="000E642B" w:rsidP="00E112C2">
      <w:pPr>
        <w:pStyle w:val="Body1"/>
        <w:tabs>
          <w:tab w:val="left" w:pos="360"/>
        </w:tabs>
        <w:ind w:left="360"/>
      </w:pPr>
      <w:r>
        <w:rPr>
          <w:noProof/>
        </w:rPr>
        <w:drawing>
          <wp:inline distT="0" distB="0" distL="0" distR="0" wp14:anchorId="6D46F1DD" wp14:editId="3073EF9F">
            <wp:extent cx="5943600" cy="4063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24">
                      <a:extLst>
                        <a:ext uri="{28A0092B-C50C-407E-A947-70E740481C1C}">
                          <a14:useLocalDpi xmlns:a14="http://schemas.microsoft.com/office/drawing/2010/main" val="0"/>
                        </a:ext>
                      </a:extLst>
                    </a:blip>
                    <a:stretch>
                      <a:fillRect/>
                    </a:stretch>
                  </pic:blipFill>
                  <pic:spPr>
                    <a:xfrm>
                      <a:off x="0" y="0"/>
                      <a:ext cx="5943600" cy="4063696"/>
                    </a:xfrm>
                    <a:prstGeom prst="rect">
                      <a:avLst/>
                    </a:prstGeom>
                  </pic:spPr>
                </pic:pic>
              </a:graphicData>
            </a:graphic>
          </wp:inline>
        </w:drawing>
      </w:r>
      <w:r w:rsidR="006E10B8">
        <w:br w:type="page"/>
      </w:r>
    </w:p>
    <w:p w14:paraId="17EE75D8" w14:textId="77777777" w:rsidR="00401B9D" w:rsidRPr="00F26B03" w:rsidRDefault="00EB16D2" w:rsidP="00C1354E">
      <w:pPr>
        <w:pStyle w:val="Heading2"/>
      </w:pPr>
      <w:bookmarkStart w:id="37" w:name="_Toc54955126"/>
      <w:r w:rsidRPr="00F26B03">
        <w:lastRenderedPageBreak/>
        <w:t>Evaluation, Measurement &amp; Verification (EM&amp;V)</w:t>
      </w:r>
      <w:bookmarkEnd w:id="37"/>
    </w:p>
    <w:p w14:paraId="2515DF3A" w14:textId="2B75BE3E" w:rsidR="0067410D" w:rsidRPr="009A6180" w:rsidRDefault="009A6180" w:rsidP="00934E5B">
      <w:pPr>
        <w:pStyle w:val="Heading3"/>
      </w:pPr>
      <w:r>
        <w:t>Deemed</w:t>
      </w:r>
      <w:r w:rsidRPr="00DF5F84">
        <w:t xml:space="preserve"> Projects</w:t>
      </w:r>
    </w:p>
    <w:p w14:paraId="4DF5DF53" w14:textId="18C6D498" w:rsidR="0067410D" w:rsidRDefault="0067410D" w:rsidP="00934E5B">
      <w:pPr>
        <w:ind w:left="360"/>
      </w:pPr>
      <w:r w:rsidRPr="00000CC2">
        <w:t xml:space="preserve">ISOP </w:t>
      </w:r>
      <w:r w:rsidR="002930A8">
        <w:t xml:space="preserve">supports </w:t>
      </w:r>
      <w:r>
        <w:t>all deemed measures for which</w:t>
      </w:r>
      <w:r w:rsidRPr="00000CC2">
        <w:t xml:space="preserve"> the </w:t>
      </w:r>
      <w:r>
        <w:t xml:space="preserve">manufacturing and food processing customers served by the program are eligible. </w:t>
      </w:r>
      <w:r w:rsidR="009A6180">
        <w:t>As</w:t>
      </w:r>
      <w:r w:rsidRPr="00000CC2">
        <w:t xml:space="preserve"> new, applicable, and useful deemed measures become available, </w:t>
      </w:r>
      <w:r w:rsidR="007D4C04">
        <w:t xml:space="preserve">they will be incorporated </w:t>
      </w:r>
      <w:r w:rsidRPr="00000CC2">
        <w:t>into the program.</w:t>
      </w:r>
      <w:r>
        <w:t xml:space="preserve"> </w:t>
      </w:r>
    </w:p>
    <w:p w14:paraId="2841E0C1" w14:textId="77777777" w:rsidR="00934E5B" w:rsidRPr="00DF5F84" w:rsidRDefault="00934E5B" w:rsidP="00934E5B">
      <w:pPr>
        <w:ind w:left="360"/>
      </w:pPr>
    </w:p>
    <w:p w14:paraId="7B646885" w14:textId="2F1B8050" w:rsidR="0067410D" w:rsidRPr="009A6180" w:rsidRDefault="009A6180" w:rsidP="00934E5B">
      <w:pPr>
        <w:ind w:left="360"/>
        <w:rPr>
          <w:rFonts w:cs="Segoe UI"/>
        </w:rPr>
      </w:pPr>
      <w:r>
        <w:rPr>
          <w:rFonts w:cs="Segoe UI"/>
        </w:rPr>
        <w:t>A</w:t>
      </w:r>
      <w:r w:rsidR="0067410D" w:rsidRPr="00DF5F84">
        <w:rPr>
          <w:rFonts w:cs="Segoe UI"/>
        </w:rPr>
        <w:t xml:space="preserve"> </w:t>
      </w:r>
      <w:r>
        <w:rPr>
          <w:rFonts w:cs="Segoe UI"/>
        </w:rPr>
        <w:t xml:space="preserve">random </w:t>
      </w:r>
      <w:r w:rsidR="0067410D" w:rsidRPr="00DF5F84">
        <w:rPr>
          <w:rFonts w:cs="Segoe UI"/>
        </w:rPr>
        <w:t>sample of</w:t>
      </w:r>
      <w:r>
        <w:rPr>
          <w:rFonts w:cs="Segoe UI"/>
        </w:rPr>
        <w:t xml:space="preserve"> completed deemed projects will be inspected and verified</w:t>
      </w:r>
      <w:r w:rsidR="0067410D" w:rsidRPr="00DF5F84">
        <w:rPr>
          <w:rFonts w:cs="Segoe UI"/>
        </w:rPr>
        <w:t>. Verification include</w:t>
      </w:r>
      <w:r w:rsidR="00564D99">
        <w:rPr>
          <w:rFonts w:cs="Segoe UI"/>
        </w:rPr>
        <w:t>s</w:t>
      </w:r>
      <w:r w:rsidR="0067410D" w:rsidRPr="00DF5F84">
        <w:rPr>
          <w:rFonts w:cs="Segoe UI"/>
        </w:rPr>
        <w:t xml:space="preserve"> validating the equipment and installation, ensuring equipment is functioning as intended, documenting the installation with photos, and verifying that equipment specifications are consistent with the incentive application. </w:t>
      </w:r>
    </w:p>
    <w:p w14:paraId="560AAA61" w14:textId="77777777" w:rsidR="0067410D" w:rsidRPr="00DF5F84" w:rsidRDefault="0067410D" w:rsidP="00934E5B">
      <w:pPr>
        <w:pStyle w:val="Heading3"/>
      </w:pPr>
      <w:r w:rsidRPr="00DF5F84">
        <w:t>Custom Projects</w:t>
      </w:r>
    </w:p>
    <w:p w14:paraId="60095622" w14:textId="65CB1C2D" w:rsidR="009A6180" w:rsidRDefault="009A6180" w:rsidP="006B41AD">
      <w:pPr>
        <w:ind w:left="360"/>
        <w:rPr>
          <w:rStyle w:val="normaltextrun"/>
          <w:rFonts w:cs="Segoe UI"/>
        </w:rPr>
      </w:pPr>
      <w:r>
        <w:rPr>
          <w:rStyle w:val="normaltextrun"/>
          <w:rFonts w:cs="Segoe UI"/>
        </w:rPr>
        <w:t xml:space="preserve">ISOP </w:t>
      </w:r>
      <w:r w:rsidR="00B14908">
        <w:rPr>
          <w:rStyle w:val="normaltextrun"/>
          <w:rFonts w:cs="Segoe UI"/>
        </w:rPr>
        <w:t>e</w:t>
      </w:r>
      <w:r w:rsidR="00E24153">
        <w:rPr>
          <w:rStyle w:val="normaltextrun"/>
          <w:rFonts w:cs="Segoe UI"/>
        </w:rPr>
        <w:t>mbed</w:t>
      </w:r>
      <w:r w:rsidR="00B14908">
        <w:rPr>
          <w:rStyle w:val="normaltextrun"/>
          <w:rFonts w:cs="Segoe UI"/>
        </w:rPr>
        <w:t>s</w:t>
      </w:r>
      <w:r w:rsidR="00E24153">
        <w:rPr>
          <w:rStyle w:val="normaltextrun"/>
          <w:rFonts w:cs="Segoe UI"/>
        </w:rPr>
        <w:t xml:space="preserve"> activities throughout the custom project lifecycle to support EM&amp;V of attribution, </w:t>
      </w:r>
      <w:r w:rsidR="00832E0A">
        <w:rPr>
          <w:rStyle w:val="normaltextrun"/>
          <w:rFonts w:cs="Segoe UI"/>
        </w:rPr>
        <w:t>baseline</w:t>
      </w:r>
      <w:r w:rsidR="002564FE">
        <w:rPr>
          <w:rStyle w:val="normaltextrun"/>
          <w:rFonts w:cs="Segoe UI"/>
        </w:rPr>
        <w:t xml:space="preserve"> applicability</w:t>
      </w:r>
      <w:r w:rsidR="00832E0A">
        <w:rPr>
          <w:rStyle w:val="normaltextrun"/>
          <w:rFonts w:cs="Segoe UI"/>
        </w:rPr>
        <w:t>, calculation methodologies and assumptions, and quality control.</w:t>
      </w:r>
      <w:r w:rsidR="003F507B" w:rsidRPr="003F507B">
        <w:t xml:space="preserve"> </w:t>
      </w:r>
      <w:r w:rsidR="003F507B" w:rsidRPr="00DF5F84">
        <w:t xml:space="preserve">Pre-install and post-install activities will both be addressed by </w:t>
      </w:r>
      <w:r w:rsidR="003F507B">
        <w:t>project-specific</w:t>
      </w:r>
      <w:r w:rsidR="003F507B" w:rsidRPr="00DF5F84">
        <w:t xml:space="preserve"> M&amp;V plans.</w:t>
      </w:r>
    </w:p>
    <w:p w14:paraId="1BDE3409" w14:textId="77777777" w:rsidR="00C70462" w:rsidRDefault="00C70462" w:rsidP="006B41AD">
      <w:pPr>
        <w:ind w:left="360"/>
        <w:rPr>
          <w:rStyle w:val="normaltextrun"/>
          <w:rFonts w:cs="Segoe UI"/>
        </w:rPr>
      </w:pPr>
    </w:p>
    <w:p w14:paraId="4E30BC54" w14:textId="3C58CA37" w:rsidR="00E25D98" w:rsidRDefault="00E25D98" w:rsidP="006B41AD">
      <w:pPr>
        <w:ind w:left="360"/>
        <w:rPr>
          <w:rStyle w:val="normaltextrun"/>
          <w:rFonts w:cs="Segoe UI"/>
        </w:rPr>
      </w:pPr>
      <w:r>
        <w:rPr>
          <w:rStyle w:val="normaltextrun"/>
          <w:rFonts w:cs="Segoe UI"/>
        </w:rPr>
        <w:t xml:space="preserve">Program engineers assess </w:t>
      </w:r>
      <w:r w:rsidR="00F04B3D">
        <w:rPr>
          <w:rStyle w:val="normaltextrun"/>
          <w:rFonts w:cs="Segoe UI"/>
        </w:rPr>
        <w:t xml:space="preserve">the </w:t>
      </w:r>
      <w:r>
        <w:rPr>
          <w:rStyle w:val="normaltextrun"/>
          <w:rFonts w:cs="Segoe UI"/>
        </w:rPr>
        <w:t>applicability of requirements including Title 24 and documented Industry Standard Practices</w:t>
      </w:r>
      <w:r w:rsidR="00393D0B">
        <w:rPr>
          <w:rStyle w:val="normaltextrun"/>
          <w:rFonts w:cs="Segoe UI"/>
        </w:rPr>
        <w:t xml:space="preserve">, </w:t>
      </w:r>
      <w:r w:rsidR="00995F0A">
        <w:rPr>
          <w:rStyle w:val="normaltextrun"/>
          <w:rFonts w:cs="Segoe UI"/>
        </w:rPr>
        <w:t xml:space="preserve">as well </w:t>
      </w:r>
      <w:r w:rsidR="001A54B6">
        <w:rPr>
          <w:rStyle w:val="normaltextrun"/>
          <w:rFonts w:cs="Segoe UI"/>
        </w:rPr>
        <w:t xml:space="preserve">as </w:t>
      </w:r>
      <w:r w:rsidR="00EA20BF">
        <w:rPr>
          <w:rStyle w:val="normaltextrun"/>
          <w:rFonts w:cs="Segoe UI"/>
        </w:rPr>
        <w:t>record copies of</w:t>
      </w:r>
      <w:r w:rsidR="00B36FD8">
        <w:rPr>
          <w:rStyle w:val="normaltextrun"/>
          <w:rFonts w:cs="Segoe UI"/>
        </w:rPr>
        <w:t xml:space="preserve"> nameplates, </w:t>
      </w:r>
      <w:r w:rsidR="00100C71">
        <w:rPr>
          <w:rStyle w:val="normaltextrun"/>
          <w:rFonts w:cs="Segoe UI"/>
        </w:rPr>
        <w:t>dat</w:t>
      </w:r>
      <w:r w:rsidR="00EA20BF">
        <w:rPr>
          <w:rStyle w:val="normaltextrun"/>
          <w:rFonts w:cs="Segoe UI"/>
        </w:rPr>
        <w:t xml:space="preserve">es of manufacture, and </w:t>
      </w:r>
      <w:r w:rsidR="001A54B6">
        <w:rPr>
          <w:rStyle w:val="normaltextrun"/>
          <w:rFonts w:cs="Segoe UI"/>
        </w:rPr>
        <w:t>equipment age for all potential projects other than new construction.</w:t>
      </w:r>
      <w:r w:rsidR="000B4074">
        <w:rPr>
          <w:rStyle w:val="normaltextrun"/>
          <w:rFonts w:cs="Segoe UI"/>
        </w:rPr>
        <w:t xml:space="preserve"> </w:t>
      </w:r>
      <w:r w:rsidR="00DF2E7E" w:rsidRPr="00DF5F84">
        <w:t xml:space="preserve">All project opportunities </w:t>
      </w:r>
      <w:r w:rsidR="00CC5F57">
        <w:t>are</w:t>
      </w:r>
      <w:r w:rsidR="00DF2E7E" w:rsidRPr="00DF5F84">
        <w:t xml:space="preserve"> screened for eligibility, viability, program influence, accuracy, measure application type (MAT), and baseline application before submittal to PG&amp;E. </w:t>
      </w:r>
      <w:r w:rsidR="00CE0733" w:rsidRPr="00DF5F84">
        <w:rPr>
          <w:rStyle w:val="normaltextrun"/>
          <w:rFonts w:cs="Segoe UI"/>
        </w:rPr>
        <w:t>All information</w:t>
      </w:r>
      <w:r w:rsidR="00CE0733">
        <w:rPr>
          <w:rStyle w:val="normaltextrun"/>
          <w:rFonts w:cs="Segoe UI"/>
        </w:rPr>
        <w:t xml:space="preserve"> on </w:t>
      </w:r>
      <w:r w:rsidR="0072767E">
        <w:rPr>
          <w:rStyle w:val="normaltextrun"/>
          <w:rFonts w:cs="Segoe UI"/>
        </w:rPr>
        <w:t>expected</w:t>
      </w:r>
      <w:r w:rsidR="00C70462">
        <w:rPr>
          <w:rStyle w:val="normaltextrun"/>
          <w:rFonts w:cs="Segoe UI"/>
        </w:rPr>
        <w:t xml:space="preserve"> useful life (EUL)</w:t>
      </w:r>
      <w:r w:rsidR="00CE0733">
        <w:rPr>
          <w:rStyle w:val="normaltextrun"/>
          <w:rFonts w:cs="Segoe UI"/>
        </w:rPr>
        <w:t xml:space="preserve">, ISP and </w:t>
      </w:r>
      <w:r w:rsidR="00AF7571">
        <w:rPr>
          <w:rStyle w:val="normaltextrun"/>
          <w:rFonts w:cs="Segoe UI"/>
        </w:rPr>
        <w:t>MAT</w:t>
      </w:r>
      <w:r w:rsidR="00CE0733" w:rsidRPr="00DF5F84">
        <w:rPr>
          <w:rStyle w:val="normaltextrun"/>
          <w:rFonts w:cs="Segoe UI"/>
        </w:rPr>
        <w:t xml:space="preserve"> will be compiled and included as part of the project documentation submittal to PG&amp;E. </w:t>
      </w:r>
      <w:r w:rsidR="00033CA6">
        <w:rPr>
          <w:rStyle w:val="normaltextrun"/>
          <w:rFonts w:cs="Segoe UI"/>
        </w:rPr>
        <w:t>Where required, new ISPs will be developed in line with PG&amp;E guidance.</w:t>
      </w:r>
    </w:p>
    <w:p w14:paraId="58688143" w14:textId="77777777" w:rsidR="00A979F0" w:rsidRDefault="00A979F0" w:rsidP="006B41AD">
      <w:pPr>
        <w:ind w:left="360"/>
        <w:rPr>
          <w:rStyle w:val="normaltextrun"/>
          <w:rFonts w:cs="Segoe UI"/>
        </w:rPr>
      </w:pPr>
    </w:p>
    <w:p w14:paraId="1E9BD49A" w14:textId="0840C0CD" w:rsidR="00FC0F65" w:rsidRDefault="008D5E6B" w:rsidP="006B41AD">
      <w:pPr>
        <w:ind w:left="360"/>
      </w:pPr>
      <w:r>
        <w:t>After implementation, program engineers</w:t>
      </w:r>
      <w:r w:rsidR="0067410D" w:rsidRPr="00DF5F84">
        <w:t xml:space="preserve"> will perform M&amp;V to verify that the intended changes were made, and to measure and document the resulting energy and demand savings. The appropriate level of M&amp;V rigor must be applied to each project based on expected quantity of savings, available data, and certainty (or uncertainty) of savings. Project-level M&amp;V plans will adhere to International Performance Measurement and Verification Protocol (IPMVP), CPUC, and PG&amp;E guidelines. </w:t>
      </w:r>
    </w:p>
    <w:p w14:paraId="41768490" w14:textId="3343EBA0" w:rsidR="00EB16D2" w:rsidRPr="006D1455" w:rsidRDefault="00EB16D2" w:rsidP="00C1354E">
      <w:pPr>
        <w:pStyle w:val="Heading2"/>
      </w:pPr>
      <w:bookmarkStart w:id="38" w:name="_Toc54955127"/>
      <w:r w:rsidRPr="006D1455">
        <w:t>Normalized Metered Energy Consumption (NMEC)</w:t>
      </w:r>
      <w:bookmarkEnd w:id="38"/>
    </w:p>
    <w:p w14:paraId="5289364A" w14:textId="101B5F53" w:rsidR="001D1E96" w:rsidRDefault="001D1E96" w:rsidP="006D1455">
      <w:pPr>
        <w:ind w:left="360"/>
        <w:rPr>
          <w:rStyle w:val="normaltextrun"/>
        </w:rPr>
      </w:pPr>
      <w:r w:rsidRPr="005C020A">
        <w:rPr>
          <w:rStyle w:val="normaltextrun"/>
        </w:rPr>
        <w:t>CPUC NMEC Rulebook</w:t>
      </w:r>
      <w:r w:rsidRPr="005C020A" w:rsidDel="002742E3">
        <w:rPr>
          <w:rStyle w:val="normaltextrun"/>
        </w:rPr>
        <w:t xml:space="preserve"> </w:t>
      </w:r>
      <w:r w:rsidRPr="005C020A">
        <w:rPr>
          <w:rStyle w:val="normaltextrun"/>
        </w:rPr>
        <w:t>guidelines</w:t>
      </w:r>
      <w:r>
        <w:rPr>
          <w:rStyle w:val="normaltextrun"/>
        </w:rPr>
        <w:t xml:space="preserve"> provide the basis for all NMEC savings claim</w:t>
      </w:r>
      <w:r w:rsidRPr="005C020A">
        <w:rPr>
          <w:rStyle w:val="normaltextrun"/>
        </w:rPr>
        <w:t xml:space="preserve">s. </w:t>
      </w:r>
      <w:r w:rsidR="002A0BA1">
        <w:rPr>
          <w:rStyle w:val="normaltextrun"/>
        </w:rPr>
        <w:t xml:space="preserve">NMEC projects </w:t>
      </w:r>
      <w:r w:rsidR="00CA1C99">
        <w:rPr>
          <w:rStyle w:val="normaltextrun"/>
        </w:rPr>
        <w:t xml:space="preserve">shall </w:t>
      </w:r>
      <w:r w:rsidR="002A0BA1">
        <w:rPr>
          <w:rStyle w:val="normaltextrun"/>
        </w:rPr>
        <w:t xml:space="preserve">only be pursued </w:t>
      </w:r>
      <w:r w:rsidR="000961CD">
        <w:rPr>
          <w:rStyle w:val="normaltextrun"/>
        </w:rPr>
        <w:t>within sectors, load types, or other factors authorized by the Rulebook and related PG&amp;E and CPUC guidance</w:t>
      </w:r>
      <w:r w:rsidRPr="005C020A">
        <w:rPr>
          <w:rStyle w:val="normaltextrun"/>
        </w:rPr>
        <w:t>.</w:t>
      </w:r>
    </w:p>
    <w:p w14:paraId="0853F0FB" w14:textId="77777777" w:rsidR="006D1455" w:rsidRDefault="006D1455" w:rsidP="006D1455">
      <w:pPr>
        <w:ind w:left="360"/>
        <w:rPr>
          <w:rStyle w:val="normaltextrun"/>
        </w:rPr>
      </w:pPr>
    </w:p>
    <w:p w14:paraId="062B1508" w14:textId="2F317BEA" w:rsidR="001D1E96" w:rsidRDefault="006D1455" w:rsidP="006D1455">
      <w:pPr>
        <w:ind w:left="360"/>
      </w:pPr>
      <w:r>
        <w:rPr>
          <w:rStyle w:val="normaltextrun"/>
        </w:rPr>
        <w:t xml:space="preserve">See the </w:t>
      </w:r>
      <w:r w:rsidR="002651F1" w:rsidRPr="00045F7A">
        <w:rPr>
          <w:rStyle w:val="normaltextrun"/>
        </w:rPr>
        <w:t xml:space="preserve">ISOP </w:t>
      </w:r>
      <w:r w:rsidR="00D635AA" w:rsidRPr="00045F7A">
        <w:rPr>
          <w:rStyle w:val="normaltextrun"/>
        </w:rPr>
        <w:t xml:space="preserve">Program-Level </w:t>
      </w:r>
      <w:r w:rsidR="00060CB7">
        <w:rPr>
          <w:rStyle w:val="normaltextrun"/>
        </w:rPr>
        <w:t xml:space="preserve">NMEC </w:t>
      </w:r>
      <w:r w:rsidR="00D635AA" w:rsidRPr="00045F7A">
        <w:rPr>
          <w:rStyle w:val="normaltextrun"/>
        </w:rPr>
        <w:t xml:space="preserve">M&amp;V Plan </w:t>
      </w:r>
      <w:r>
        <w:rPr>
          <w:rStyle w:val="normaltextrun"/>
        </w:rPr>
        <w:t>for additional information.</w:t>
      </w:r>
    </w:p>
    <w:sectPr w:rsidR="001D1E96" w:rsidSect="007A6460">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ED2E" w14:textId="77777777" w:rsidR="00486A75" w:rsidRDefault="00486A75" w:rsidP="00BD0DB7">
      <w:r>
        <w:separator/>
      </w:r>
    </w:p>
  </w:endnote>
  <w:endnote w:type="continuationSeparator" w:id="0">
    <w:p w14:paraId="2BF3F82B" w14:textId="77777777" w:rsidR="00486A75" w:rsidRDefault="00486A75" w:rsidP="00BD0DB7">
      <w:r>
        <w:continuationSeparator/>
      </w:r>
    </w:p>
  </w:endnote>
  <w:endnote w:type="continuationNotice" w:id="1">
    <w:p w14:paraId="7697FB28" w14:textId="77777777" w:rsidR="00486A75" w:rsidRDefault="00486A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1439"/>
      <w:gridCol w:w="7419"/>
      <w:gridCol w:w="502"/>
    </w:tblGrid>
    <w:tr w:rsidR="00532163" w:rsidRPr="0000445E" w14:paraId="073109F5" w14:textId="77777777" w:rsidTr="00BF624A">
      <w:trPr>
        <w:cantSplit/>
        <w:trHeight w:hRule="exact" w:val="432"/>
        <w:jc w:val="center"/>
      </w:trPr>
      <w:tc>
        <w:tcPr>
          <w:tcW w:w="769" w:type="pct"/>
          <w:vAlign w:val="center"/>
        </w:tcPr>
        <w:p w14:paraId="616F4329" w14:textId="43B63F16" w:rsidR="00532163" w:rsidRPr="0000445E" w:rsidRDefault="00532163" w:rsidP="00532163"/>
      </w:tc>
      <w:tc>
        <w:tcPr>
          <w:tcW w:w="3963" w:type="pct"/>
          <w:vAlign w:val="center"/>
        </w:tcPr>
        <w:p w14:paraId="047077AE" w14:textId="2C292050" w:rsidR="00532163" w:rsidRPr="0000445E" w:rsidRDefault="00532163" w:rsidP="00532163">
          <w:pPr>
            <w:rPr>
              <w:b/>
            </w:rPr>
          </w:pPr>
        </w:p>
      </w:tc>
      <w:tc>
        <w:tcPr>
          <w:tcW w:w="268" w:type="pct"/>
          <w:shd w:val="clear" w:color="auto" w:fill="auto"/>
          <w:vAlign w:val="center"/>
        </w:tcPr>
        <w:p w14:paraId="69AC0462" w14:textId="312A7445" w:rsidR="00532163" w:rsidRPr="0000445E" w:rsidRDefault="00532163" w:rsidP="00532163">
          <w:pPr>
            <w:pStyle w:val="FooterText2"/>
          </w:pPr>
        </w:p>
      </w:tc>
    </w:tr>
  </w:tbl>
  <w:p w14:paraId="7F57B41F" w14:textId="77777777" w:rsidR="00532163" w:rsidRPr="00976ED0" w:rsidRDefault="00532163" w:rsidP="00532163">
    <w:pPr>
      <w:pStyle w:val="Footer"/>
    </w:pPr>
  </w:p>
  <w:p w14:paraId="4C85CDFA" w14:textId="4ACACEE0" w:rsidR="0041383B" w:rsidRDefault="0041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9354"/>
      <w:gridCol w:w="6"/>
    </w:tblGrid>
    <w:tr w:rsidR="00506059" w:rsidRPr="00B41827" w14:paraId="3776BDC4" w14:textId="77777777" w:rsidTr="009E148B">
      <w:trPr>
        <w:cantSplit/>
        <w:trHeight w:hRule="exact" w:val="360"/>
        <w:jc w:val="center"/>
      </w:trPr>
      <w:tc>
        <w:tcPr>
          <w:tcW w:w="4279" w:type="pct"/>
          <w:vAlign w:val="center"/>
        </w:tcPr>
        <w:tbl>
          <w:tblPr>
            <w:tblW w:w="9360" w:type="dxa"/>
            <w:jc w:val="center"/>
            <w:tblCellMar>
              <w:left w:w="0" w:type="dxa"/>
              <w:right w:w="0" w:type="dxa"/>
            </w:tblCellMar>
            <w:tblLook w:val="04A0" w:firstRow="1" w:lastRow="0" w:firstColumn="1" w:lastColumn="0" w:noHBand="0" w:noVBand="1"/>
          </w:tblPr>
          <w:tblGrid>
            <w:gridCol w:w="1590"/>
            <w:gridCol w:w="6169"/>
            <w:gridCol w:w="1601"/>
          </w:tblGrid>
          <w:tr w:rsidR="00506059" w:rsidRPr="00B41827" w14:paraId="7B024867" w14:textId="77777777" w:rsidTr="009E148B">
            <w:trPr>
              <w:cantSplit/>
              <w:trHeight w:hRule="exact" w:val="432"/>
              <w:jc w:val="center"/>
            </w:trPr>
            <w:tc>
              <w:tcPr>
                <w:tcW w:w="849" w:type="pct"/>
                <w:vAlign w:val="center"/>
              </w:tcPr>
              <w:p w14:paraId="5C1B7354" w14:textId="77777777" w:rsidR="00506059" w:rsidRPr="00B41827" w:rsidRDefault="00506059" w:rsidP="00506059">
                <w:pPr>
                  <w:rPr>
                    <w:bCs/>
                  </w:rPr>
                </w:pPr>
                <w:r w:rsidRPr="00B41827">
                  <w:rPr>
                    <w:bCs/>
                    <w:noProof/>
                  </w:rPr>
                  <w:drawing>
                    <wp:inline distT="0" distB="0" distL="0" distR="0" wp14:anchorId="781720B9" wp14:editId="2A4F5630">
                      <wp:extent cx="1005687" cy="229823"/>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96" w:type="pct"/>
                <w:vAlign w:val="center"/>
              </w:tcPr>
              <w:p w14:paraId="24243F86" w14:textId="0D4DB057" w:rsidR="00506059" w:rsidRPr="00B41827" w:rsidRDefault="00506059" w:rsidP="00506059">
                <w:pPr>
                  <w:rPr>
                    <w:bCs/>
                  </w:rPr>
                </w:pPr>
                <w:r w:rsidRPr="00B41827">
                  <w:rPr>
                    <w:bCs/>
                    <w:noProof/>
                    <w:position w:val="-6"/>
                  </w:rPr>
                  <w:drawing>
                    <wp:inline distT="0" distB="0" distL="0" distR="0" wp14:anchorId="40AA4861" wp14:editId="5FA77C04">
                      <wp:extent cx="325736" cy="24566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Cs/>
                      <w:position w:val="6"/>
                      <w:sz w:val="18"/>
                    </w:rPr>
                    <w:alias w:val="Company"/>
                    <w:tag w:val=""/>
                    <w:id w:val="483359259"/>
                    <w:placeholder>
                      <w:docPart w:val="E0233FFD1BE84027BD3F5CF0DFA7C4C7"/>
                    </w:placeholder>
                    <w:dataBinding w:prefixMappings="xmlns:ns0='http://schemas.openxmlformats.org/officeDocument/2006/extended-properties' " w:xpath="/ns0:Properties[1]/ns0:Company[1]" w:storeItemID="{6668398D-A668-4E3E-A5EB-62B293D839F1}"/>
                    <w:text/>
                  </w:sdtPr>
                  <w:sdtEndPr/>
                  <w:sdtContent>
                    <w:r w:rsidR="00C77280">
                      <w:rPr>
                        <w:bCs/>
                        <w:position w:val="6"/>
                        <w:sz w:val="18"/>
                      </w:rPr>
                      <w:t>ISOP Implementation Plan</w:t>
                    </w:r>
                  </w:sdtContent>
                </w:sdt>
              </w:p>
            </w:tc>
            <w:tc>
              <w:tcPr>
                <w:tcW w:w="855" w:type="pct"/>
                <w:shd w:val="clear" w:color="auto" w:fill="auto"/>
                <w:vAlign w:val="center"/>
              </w:tcPr>
              <w:p w14:paraId="1DA5C1A3" w14:textId="77777777" w:rsidR="00506059" w:rsidRPr="00B41827" w:rsidRDefault="00506059" w:rsidP="00506059">
                <w:pPr>
                  <w:pStyle w:val="FooterText2"/>
                  <w:rPr>
                    <w:b w:val="0"/>
                    <w:bCs/>
                  </w:rPr>
                </w:pPr>
                <w:r w:rsidRPr="00B41827">
                  <w:rPr>
                    <w:b w:val="0"/>
                    <w:bCs/>
                  </w:rPr>
                  <w:fldChar w:fldCharType="begin"/>
                </w:r>
                <w:r w:rsidRPr="00B41827">
                  <w:rPr>
                    <w:b w:val="0"/>
                    <w:bCs/>
                  </w:rPr>
                  <w:instrText xml:space="preserve"> PAGE </w:instrText>
                </w:r>
                <w:r w:rsidRPr="00B41827">
                  <w:rPr>
                    <w:b w:val="0"/>
                    <w:bCs/>
                  </w:rPr>
                  <w:fldChar w:fldCharType="separate"/>
                </w:r>
                <w:r>
                  <w:rPr>
                    <w:bCs/>
                  </w:rPr>
                  <w:t>1</w:t>
                </w:r>
                <w:r w:rsidRPr="00B41827">
                  <w:rPr>
                    <w:b w:val="0"/>
                    <w:bCs/>
                  </w:rPr>
                  <w:fldChar w:fldCharType="end"/>
                </w:r>
              </w:p>
            </w:tc>
          </w:tr>
        </w:tbl>
        <w:p w14:paraId="21A08E7B" w14:textId="77777777" w:rsidR="00506059" w:rsidRPr="00B41827" w:rsidRDefault="00506059" w:rsidP="00506059">
          <w:pPr>
            <w:pStyle w:val="Footer"/>
            <w:rPr>
              <w:bCs/>
            </w:rPr>
          </w:pPr>
        </w:p>
        <w:p w14:paraId="2786D04A" w14:textId="77777777" w:rsidR="00506059" w:rsidRPr="00B41827" w:rsidRDefault="00506059" w:rsidP="00506059">
          <w:pPr>
            <w:pStyle w:val="Footer"/>
            <w:rPr>
              <w:bCs/>
            </w:rPr>
          </w:pPr>
        </w:p>
        <w:p w14:paraId="79F164EC" w14:textId="77777777" w:rsidR="00506059" w:rsidRPr="00B41827" w:rsidRDefault="00506059" w:rsidP="00506059">
          <w:pPr>
            <w:rPr>
              <w:bCs/>
            </w:rPr>
          </w:pPr>
        </w:p>
      </w:tc>
      <w:tc>
        <w:tcPr>
          <w:tcW w:w="721" w:type="pct"/>
          <w:shd w:val="clear" w:color="auto" w:fill="auto"/>
          <w:vAlign w:val="center"/>
        </w:tcPr>
        <w:p w14:paraId="3CB99ADC" w14:textId="77777777" w:rsidR="00506059" w:rsidRPr="00B41827" w:rsidRDefault="00506059" w:rsidP="00506059">
          <w:pPr>
            <w:pStyle w:val="FooterText2"/>
            <w:rPr>
              <w:b w:val="0"/>
              <w:bCs/>
            </w:rPr>
          </w:pPr>
        </w:p>
      </w:tc>
    </w:tr>
  </w:tbl>
  <w:p w14:paraId="615AEBDB" w14:textId="77777777" w:rsidR="00506059" w:rsidRPr="00B41827" w:rsidRDefault="00506059" w:rsidP="00506059">
    <w:pPr>
      <w:pStyle w:val="Footer"/>
      <w:rPr>
        <w:bCs/>
      </w:rPr>
    </w:pPr>
  </w:p>
  <w:p w14:paraId="7D7DC66A" w14:textId="77777777" w:rsidR="0041383B" w:rsidRDefault="00413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9354"/>
      <w:gridCol w:w="6"/>
    </w:tblGrid>
    <w:tr w:rsidR="0041383B" w:rsidRPr="00B41827" w14:paraId="283EB81A" w14:textId="77777777" w:rsidTr="1E57BC6D">
      <w:trPr>
        <w:cantSplit/>
        <w:trHeight w:hRule="exact" w:val="360"/>
        <w:jc w:val="center"/>
      </w:trPr>
      <w:tc>
        <w:tcPr>
          <w:tcW w:w="4279" w:type="pct"/>
          <w:vAlign w:val="center"/>
        </w:tcPr>
        <w:tbl>
          <w:tblPr>
            <w:tblW w:w="9360" w:type="dxa"/>
            <w:jc w:val="center"/>
            <w:tblCellMar>
              <w:left w:w="0" w:type="dxa"/>
              <w:right w:w="0" w:type="dxa"/>
            </w:tblCellMar>
            <w:tblLook w:val="04A0" w:firstRow="1" w:lastRow="0" w:firstColumn="1" w:lastColumn="0" w:noHBand="0" w:noVBand="1"/>
          </w:tblPr>
          <w:tblGrid>
            <w:gridCol w:w="1590"/>
            <w:gridCol w:w="6169"/>
            <w:gridCol w:w="1601"/>
          </w:tblGrid>
          <w:tr w:rsidR="00D23E13" w:rsidRPr="00B41827" w14:paraId="63593BFD" w14:textId="77777777" w:rsidTr="00B41827">
            <w:trPr>
              <w:cantSplit/>
              <w:trHeight w:hRule="exact" w:val="432"/>
              <w:jc w:val="center"/>
            </w:trPr>
            <w:tc>
              <w:tcPr>
                <w:tcW w:w="849" w:type="pct"/>
                <w:vAlign w:val="center"/>
              </w:tcPr>
              <w:p w14:paraId="4DC6AB44" w14:textId="77777777" w:rsidR="00D23E13" w:rsidRPr="00B41827" w:rsidRDefault="00D23E13" w:rsidP="00D23E13">
                <w:pPr>
                  <w:rPr>
                    <w:bCs/>
                  </w:rPr>
                </w:pPr>
                <w:r w:rsidRPr="00B41827">
                  <w:rPr>
                    <w:bCs/>
                    <w:noProof/>
                  </w:rPr>
                  <w:drawing>
                    <wp:inline distT="0" distB="0" distL="0" distR="0" wp14:anchorId="7C51B27E" wp14:editId="65398B86">
                      <wp:extent cx="1005687" cy="229823"/>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96" w:type="pct"/>
                <w:vAlign w:val="center"/>
              </w:tcPr>
              <w:p w14:paraId="59A53B60" w14:textId="34D353E0" w:rsidR="00D23E13" w:rsidRPr="00B41827" w:rsidRDefault="00D23E13" w:rsidP="00D23E13">
                <w:pPr>
                  <w:rPr>
                    <w:bCs/>
                  </w:rPr>
                </w:pPr>
                <w:r w:rsidRPr="00B41827">
                  <w:rPr>
                    <w:bCs/>
                    <w:noProof/>
                    <w:position w:val="-6"/>
                  </w:rPr>
                  <w:drawing>
                    <wp:inline distT="0" distB="0" distL="0" distR="0" wp14:anchorId="3732D028" wp14:editId="33686FCA">
                      <wp:extent cx="325736" cy="245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Cs/>
                      <w:position w:val="6"/>
                      <w:sz w:val="18"/>
                    </w:rPr>
                    <w:alias w:val="Company"/>
                    <w:tag w:val=""/>
                    <w:id w:val="-1569882222"/>
                    <w:placeholder>
                      <w:docPart w:val="E53942337E804F72A9625F1C70930949"/>
                    </w:placeholder>
                    <w:dataBinding w:prefixMappings="xmlns:ns0='http://schemas.openxmlformats.org/officeDocument/2006/extended-properties' " w:xpath="/ns0:Properties[1]/ns0:Company[1]" w:storeItemID="{6668398D-A668-4E3E-A5EB-62B293D839F1}"/>
                    <w:text/>
                  </w:sdtPr>
                  <w:sdtEndPr/>
                  <w:sdtContent>
                    <w:r w:rsidR="00C77280">
                      <w:rPr>
                        <w:bCs/>
                        <w:position w:val="6"/>
                        <w:sz w:val="18"/>
                      </w:rPr>
                      <w:t>ISOP Implementation Plan</w:t>
                    </w:r>
                  </w:sdtContent>
                </w:sdt>
              </w:p>
            </w:tc>
            <w:tc>
              <w:tcPr>
                <w:tcW w:w="855" w:type="pct"/>
                <w:shd w:val="clear" w:color="auto" w:fill="auto"/>
                <w:vAlign w:val="center"/>
              </w:tcPr>
              <w:p w14:paraId="32E3AC64" w14:textId="77777777" w:rsidR="00D23E13" w:rsidRPr="00B41827" w:rsidRDefault="00D23E13" w:rsidP="00D23E13">
                <w:pPr>
                  <w:pStyle w:val="FooterText2"/>
                  <w:rPr>
                    <w:b w:val="0"/>
                    <w:bCs/>
                  </w:rPr>
                </w:pPr>
                <w:r w:rsidRPr="00B41827">
                  <w:rPr>
                    <w:b w:val="0"/>
                    <w:bCs/>
                  </w:rPr>
                  <w:fldChar w:fldCharType="begin"/>
                </w:r>
                <w:r w:rsidRPr="00B41827">
                  <w:rPr>
                    <w:b w:val="0"/>
                    <w:bCs/>
                  </w:rPr>
                  <w:instrText xml:space="preserve"> PAGE </w:instrText>
                </w:r>
                <w:r w:rsidRPr="00B41827">
                  <w:rPr>
                    <w:b w:val="0"/>
                    <w:bCs/>
                  </w:rPr>
                  <w:fldChar w:fldCharType="separate"/>
                </w:r>
                <w:r w:rsidRPr="00B41827">
                  <w:rPr>
                    <w:b w:val="0"/>
                    <w:bCs/>
                  </w:rPr>
                  <w:t>1</w:t>
                </w:r>
                <w:r w:rsidRPr="00B41827">
                  <w:rPr>
                    <w:b w:val="0"/>
                    <w:bCs/>
                  </w:rPr>
                  <w:fldChar w:fldCharType="end"/>
                </w:r>
              </w:p>
            </w:tc>
          </w:tr>
        </w:tbl>
        <w:p w14:paraId="715F3392" w14:textId="77777777" w:rsidR="00D23E13" w:rsidRPr="00B41827" w:rsidRDefault="00D23E13" w:rsidP="00D23E13">
          <w:pPr>
            <w:pStyle w:val="Footer"/>
            <w:rPr>
              <w:bCs/>
            </w:rPr>
          </w:pPr>
        </w:p>
        <w:p w14:paraId="6C4A5FFF" w14:textId="77777777" w:rsidR="00D23E13" w:rsidRPr="00B41827" w:rsidRDefault="00D23E13" w:rsidP="00D23E13">
          <w:pPr>
            <w:pStyle w:val="Footer"/>
            <w:rPr>
              <w:bCs/>
            </w:rPr>
          </w:pPr>
        </w:p>
        <w:p w14:paraId="3E1789D0" w14:textId="77777777" w:rsidR="0041383B" w:rsidRPr="00B41827" w:rsidRDefault="0041383B">
          <w:pPr>
            <w:rPr>
              <w:bCs/>
            </w:rPr>
          </w:pPr>
        </w:p>
      </w:tc>
      <w:tc>
        <w:tcPr>
          <w:tcW w:w="721" w:type="pct"/>
          <w:shd w:val="clear" w:color="auto" w:fill="auto"/>
          <w:vAlign w:val="center"/>
        </w:tcPr>
        <w:p w14:paraId="62A67E0E" w14:textId="4FD1F0C4" w:rsidR="0041383B" w:rsidRPr="00B41827" w:rsidRDefault="0041383B" w:rsidP="000F175B">
          <w:pPr>
            <w:pStyle w:val="FooterText2"/>
            <w:rPr>
              <w:b w:val="0"/>
              <w:bCs/>
            </w:rPr>
          </w:pPr>
        </w:p>
      </w:tc>
    </w:tr>
  </w:tbl>
  <w:p w14:paraId="09298F32" w14:textId="77777777" w:rsidR="0041383B" w:rsidRPr="00B41827" w:rsidRDefault="0041383B" w:rsidP="00EE28EB">
    <w:pPr>
      <w:pStyle w:val="Footer"/>
      <w:rPr>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9354"/>
      <w:gridCol w:w="6"/>
    </w:tblGrid>
    <w:tr w:rsidR="00EC06AC" w:rsidRPr="00B41827" w14:paraId="00BDCA00" w14:textId="77777777" w:rsidTr="0BA32E34">
      <w:trPr>
        <w:cantSplit/>
        <w:trHeight w:hRule="exact" w:val="360"/>
        <w:jc w:val="center"/>
      </w:trPr>
      <w:tc>
        <w:tcPr>
          <w:tcW w:w="4279" w:type="pct"/>
          <w:vAlign w:val="center"/>
        </w:tcPr>
        <w:tbl>
          <w:tblPr>
            <w:tblW w:w="9360" w:type="dxa"/>
            <w:jc w:val="center"/>
            <w:tblCellMar>
              <w:left w:w="0" w:type="dxa"/>
              <w:right w:w="0" w:type="dxa"/>
            </w:tblCellMar>
            <w:tblLook w:val="04A0" w:firstRow="1" w:lastRow="0" w:firstColumn="1" w:lastColumn="0" w:noHBand="0" w:noVBand="1"/>
          </w:tblPr>
          <w:tblGrid>
            <w:gridCol w:w="1590"/>
            <w:gridCol w:w="6169"/>
            <w:gridCol w:w="1601"/>
          </w:tblGrid>
          <w:tr w:rsidR="00EC06AC" w:rsidRPr="00B41827" w14:paraId="1331E6B8" w14:textId="77777777" w:rsidTr="0BA32E34">
            <w:trPr>
              <w:cantSplit/>
              <w:trHeight w:hRule="exact" w:val="432"/>
              <w:jc w:val="center"/>
            </w:trPr>
            <w:tc>
              <w:tcPr>
                <w:tcW w:w="849" w:type="pct"/>
                <w:vAlign w:val="center"/>
              </w:tcPr>
              <w:p w14:paraId="01864532" w14:textId="77777777" w:rsidR="00EC06AC" w:rsidRPr="00B41827" w:rsidRDefault="00EC06AC" w:rsidP="00EC06AC">
                <w:pPr>
                  <w:rPr>
                    <w:bCs/>
                  </w:rPr>
                </w:pPr>
                <w:r w:rsidRPr="00B41827">
                  <w:rPr>
                    <w:bCs/>
                    <w:noProof/>
                  </w:rPr>
                  <w:drawing>
                    <wp:inline distT="0" distB="0" distL="0" distR="0" wp14:anchorId="3A963971" wp14:editId="30267DDB">
                      <wp:extent cx="1005687" cy="229823"/>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96" w:type="pct"/>
                <w:vAlign w:val="center"/>
              </w:tcPr>
              <w:p w14:paraId="17193ED2" w14:textId="04D15E2A" w:rsidR="00EC06AC" w:rsidRPr="00B41827" w:rsidRDefault="00EC06AC" w:rsidP="00EC06AC">
                <w:pPr>
                  <w:rPr>
                    <w:bCs/>
                  </w:rPr>
                </w:pPr>
                <w:r w:rsidRPr="00B41827">
                  <w:rPr>
                    <w:bCs/>
                    <w:noProof/>
                    <w:position w:val="-6"/>
                  </w:rPr>
                  <w:drawing>
                    <wp:inline distT="0" distB="0" distL="0" distR="0" wp14:anchorId="4FB6F59A" wp14:editId="38F8F3E1">
                      <wp:extent cx="325736" cy="245660"/>
                      <wp:effectExtent l="0" t="0" r="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position w:val="6"/>
                      <w:sz w:val="18"/>
                      <w:szCs w:val="18"/>
                    </w:rPr>
                    <w:alias w:val="Company"/>
                    <w:tag w:val=""/>
                    <w:id w:val="-2078656462"/>
                    <w:placeholder>
                      <w:docPart w:val="90EE7ED53B9A4E5491DCE0421BB81F94"/>
                    </w:placeholder>
                    <w:dataBinding w:prefixMappings="xmlns:ns0='http://schemas.openxmlformats.org/officeDocument/2006/extended-properties' " w:xpath="/ns0:Properties[1]/ns0:Company[1]" w:storeItemID="{6668398D-A668-4E3E-A5EB-62B293D839F1}"/>
                    <w:text/>
                  </w:sdtPr>
                  <w:sdtEndPr/>
                  <w:sdtContent>
                    <w:r w:rsidR="00185489" w:rsidRPr="0BA32E34">
                      <w:rPr>
                        <w:position w:val="6"/>
                        <w:sz w:val="18"/>
                        <w:szCs w:val="18"/>
                      </w:rPr>
                      <w:t>ISOP Implementation Plan</w:t>
                    </w:r>
                  </w:sdtContent>
                </w:sdt>
              </w:p>
            </w:tc>
            <w:tc>
              <w:tcPr>
                <w:tcW w:w="855" w:type="pct"/>
                <w:shd w:val="clear" w:color="auto" w:fill="auto"/>
                <w:vAlign w:val="center"/>
              </w:tcPr>
              <w:p w14:paraId="3E8BC5D9" w14:textId="77777777" w:rsidR="00EC06AC" w:rsidRPr="00B41827" w:rsidRDefault="00EC06AC" w:rsidP="00EC06AC">
                <w:pPr>
                  <w:pStyle w:val="FooterText2"/>
                  <w:rPr>
                    <w:b w:val="0"/>
                    <w:bCs/>
                  </w:rPr>
                </w:pPr>
                <w:r w:rsidRPr="00B41827">
                  <w:rPr>
                    <w:b w:val="0"/>
                    <w:bCs/>
                  </w:rPr>
                  <w:fldChar w:fldCharType="begin"/>
                </w:r>
                <w:r w:rsidRPr="00B41827">
                  <w:rPr>
                    <w:b w:val="0"/>
                    <w:bCs/>
                  </w:rPr>
                  <w:instrText xml:space="preserve"> PAGE </w:instrText>
                </w:r>
                <w:r w:rsidRPr="00B41827">
                  <w:rPr>
                    <w:b w:val="0"/>
                    <w:bCs/>
                  </w:rPr>
                  <w:fldChar w:fldCharType="separate"/>
                </w:r>
                <w:r>
                  <w:rPr>
                    <w:bCs/>
                  </w:rPr>
                  <w:t>1</w:t>
                </w:r>
                <w:r w:rsidRPr="00B41827">
                  <w:rPr>
                    <w:b w:val="0"/>
                    <w:bCs/>
                  </w:rPr>
                  <w:fldChar w:fldCharType="end"/>
                </w:r>
              </w:p>
            </w:tc>
          </w:tr>
        </w:tbl>
        <w:p w14:paraId="7C6CEA92" w14:textId="77777777" w:rsidR="00EC06AC" w:rsidRPr="00B41827" w:rsidRDefault="00EC06AC" w:rsidP="00EC06AC">
          <w:pPr>
            <w:pStyle w:val="Footer"/>
            <w:rPr>
              <w:bCs/>
            </w:rPr>
          </w:pPr>
        </w:p>
        <w:p w14:paraId="796FD90C" w14:textId="77777777" w:rsidR="00EC06AC" w:rsidRPr="00B41827" w:rsidRDefault="00EC06AC" w:rsidP="00EC06AC">
          <w:pPr>
            <w:pStyle w:val="Footer"/>
            <w:rPr>
              <w:bCs/>
            </w:rPr>
          </w:pPr>
        </w:p>
        <w:p w14:paraId="52E6A4DC" w14:textId="77777777" w:rsidR="00EC06AC" w:rsidRPr="00B41827" w:rsidRDefault="00EC06AC" w:rsidP="00EC06AC">
          <w:pPr>
            <w:rPr>
              <w:bCs/>
            </w:rPr>
          </w:pPr>
        </w:p>
      </w:tc>
      <w:tc>
        <w:tcPr>
          <w:tcW w:w="721" w:type="pct"/>
          <w:shd w:val="clear" w:color="auto" w:fill="auto"/>
          <w:vAlign w:val="center"/>
        </w:tcPr>
        <w:p w14:paraId="754F5D5E" w14:textId="77777777" w:rsidR="00EC06AC" w:rsidRPr="00B41827" w:rsidRDefault="00EC06AC" w:rsidP="00EC06AC">
          <w:pPr>
            <w:pStyle w:val="FooterText2"/>
            <w:rPr>
              <w:b w:val="0"/>
              <w:bCs/>
            </w:rPr>
          </w:pPr>
        </w:p>
      </w:tc>
    </w:tr>
  </w:tbl>
  <w:p w14:paraId="0BFB1661" w14:textId="77777777" w:rsidR="00EC06AC" w:rsidRPr="00B41827" w:rsidRDefault="00EC06AC" w:rsidP="00EC06AC">
    <w:pPr>
      <w:pStyle w:val="Footer"/>
      <w:rPr>
        <w:bCs/>
      </w:rPr>
    </w:pPr>
  </w:p>
  <w:p w14:paraId="56D85DF7" w14:textId="77777777" w:rsidR="002D7B4D" w:rsidRDefault="002D7B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80" w:type="dxa"/>
      <w:jc w:val="center"/>
      <w:tblCellMar>
        <w:left w:w="0" w:type="dxa"/>
        <w:right w:w="0" w:type="dxa"/>
      </w:tblCellMar>
      <w:tblLook w:val="04A0" w:firstRow="1" w:lastRow="0" w:firstColumn="1" w:lastColumn="0" w:noHBand="0" w:noVBand="1"/>
    </w:tblPr>
    <w:tblGrid>
      <w:gridCol w:w="1615"/>
      <w:gridCol w:w="8910"/>
      <w:gridCol w:w="3255"/>
    </w:tblGrid>
    <w:tr w:rsidR="007A6460" w:rsidRPr="00B41827" w14:paraId="6E7ADEB2" w14:textId="77777777" w:rsidTr="007A6460">
      <w:trPr>
        <w:cantSplit/>
        <w:trHeight w:hRule="exact" w:val="432"/>
        <w:jc w:val="center"/>
      </w:trPr>
      <w:tc>
        <w:tcPr>
          <w:tcW w:w="586" w:type="pct"/>
          <w:vAlign w:val="center"/>
        </w:tcPr>
        <w:p w14:paraId="4B139A58" w14:textId="77777777" w:rsidR="005D4BC8" w:rsidRPr="00B41827" w:rsidRDefault="005D4BC8" w:rsidP="005D4BC8">
          <w:pPr>
            <w:jc w:val="both"/>
            <w:rPr>
              <w:bCs/>
            </w:rPr>
          </w:pPr>
          <w:r w:rsidRPr="00B41827">
            <w:rPr>
              <w:bCs/>
              <w:noProof/>
            </w:rPr>
            <w:drawing>
              <wp:inline distT="0" distB="0" distL="0" distR="0" wp14:anchorId="7ABE575C" wp14:editId="732A58A2">
                <wp:extent cx="1005687" cy="229823"/>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3" w:type="pct"/>
          <w:vAlign w:val="center"/>
        </w:tcPr>
        <w:p w14:paraId="4A14FF08" w14:textId="081FB771" w:rsidR="005D4BC8" w:rsidRPr="00B41827" w:rsidRDefault="005D4BC8" w:rsidP="005D4BC8">
          <w:pPr>
            <w:rPr>
              <w:bCs/>
            </w:rPr>
          </w:pPr>
          <w:r w:rsidRPr="00B41827">
            <w:rPr>
              <w:bCs/>
              <w:noProof/>
              <w:position w:val="-6"/>
            </w:rPr>
            <w:drawing>
              <wp:inline distT="0" distB="0" distL="0" distR="0" wp14:anchorId="3A973491" wp14:editId="55C85FF0">
                <wp:extent cx="325736" cy="245660"/>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Cs/>
                <w:position w:val="6"/>
                <w:sz w:val="18"/>
              </w:rPr>
              <w:alias w:val="Company"/>
              <w:tag w:val=""/>
              <w:id w:val="-106733606"/>
              <w:placeholder>
                <w:docPart w:val="E2E439C9954E4D4B9217B02147C7E7AE"/>
              </w:placeholder>
              <w:dataBinding w:prefixMappings="xmlns:ns0='http://schemas.openxmlformats.org/officeDocument/2006/extended-properties' " w:xpath="/ns0:Properties[1]/ns0:Company[1]" w:storeItemID="{6668398D-A668-4E3E-A5EB-62B293D839F1}"/>
              <w:text/>
            </w:sdtPr>
            <w:sdtEndPr/>
            <w:sdtContent>
              <w:r w:rsidR="002D12F1">
                <w:rPr>
                  <w:bCs/>
                  <w:position w:val="6"/>
                  <w:sz w:val="18"/>
                </w:rPr>
                <w:t>ISOP Implementation Plan</w:t>
              </w:r>
            </w:sdtContent>
          </w:sdt>
        </w:p>
      </w:tc>
      <w:tc>
        <w:tcPr>
          <w:tcW w:w="1181" w:type="pct"/>
          <w:shd w:val="clear" w:color="auto" w:fill="auto"/>
          <w:vAlign w:val="center"/>
        </w:tcPr>
        <w:p w14:paraId="2288A050" w14:textId="77777777" w:rsidR="005D4BC8" w:rsidRPr="00B41827" w:rsidRDefault="005D4BC8" w:rsidP="005D4BC8">
          <w:pPr>
            <w:pStyle w:val="FooterText2"/>
            <w:rPr>
              <w:b w:val="0"/>
              <w:bCs/>
            </w:rPr>
          </w:pPr>
          <w:r w:rsidRPr="00B41827">
            <w:rPr>
              <w:b w:val="0"/>
              <w:bCs/>
            </w:rPr>
            <w:fldChar w:fldCharType="begin"/>
          </w:r>
          <w:r w:rsidRPr="00B41827">
            <w:rPr>
              <w:b w:val="0"/>
              <w:bCs/>
            </w:rPr>
            <w:instrText xml:space="preserve"> PAGE </w:instrText>
          </w:r>
          <w:r w:rsidRPr="00B41827">
            <w:rPr>
              <w:b w:val="0"/>
              <w:bCs/>
            </w:rPr>
            <w:fldChar w:fldCharType="separate"/>
          </w:r>
          <w:r>
            <w:rPr>
              <w:bCs/>
            </w:rPr>
            <w:t>1</w:t>
          </w:r>
          <w:r w:rsidRPr="00B41827">
            <w:rPr>
              <w:b w:val="0"/>
              <w:bCs/>
            </w:rPr>
            <w:fldChar w:fldCharType="end"/>
          </w:r>
        </w:p>
      </w:tc>
    </w:tr>
  </w:tbl>
  <w:p w14:paraId="6FBD34BA" w14:textId="77777777" w:rsidR="005D4BC8" w:rsidRPr="00B41827" w:rsidRDefault="005D4BC8" w:rsidP="00EE28EB">
    <w:pPr>
      <w:pStyle w:val="Footer"/>
      <w:rPr>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9354"/>
      <w:gridCol w:w="6"/>
    </w:tblGrid>
    <w:tr w:rsidR="007A6460" w:rsidRPr="00B41827" w14:paraId="70AB242B" w14:textId="77777777" w:rsidTr="009E148B">
      <w:trPr>
        <w:cantSplit/>
        <w:trHeight w:hRule="exact" w:val="360"/>
        <w:jc w:val="center"/>
      </w:trPr>
      <w:tc>
        <w:tcPr>
          <w:tcW w:w="4279" w:type="pct"/>
          <w:vAlign w:val="center"/>
        </w:tcPr>
        <w:tbl>
          <w:tblPr>
            <w:tblW w:w="9360" w:type="dxa"/>
            <w:jc w:val="center"/>
            <w:tblCellMar>
              <w:left w:w="0" w:type="dxa"/>
              <w:right w:w="0" w:type="dxa"/>
            </w:tblCellMar>
            <w:tblLook w:val="04A0" w:firstRow="1" w:lastRow="0" w:firstColumn="1" w:lastColumn="0" w:noHBand="0" w:noVBand="1"/>
          </w:tblPr>
          <w:tblGrid>
            <w:gridCol w:w="1590"/>
            <w:gridCol w:w="6169"/>
            <w:gridCol w:w="1601"/>
          </w:tblGrid>
          <w:tr w:rsidR="007A6460" w:rsidRPr="00B41827" w14:paraId="7C957E1A" w14:textId="77777777" w:rsidTr="009E148B">
            <w:trPr>
              <w:cantSplit/>
              <w:trHeight w:hRule="exact" w:val="432"/>
              <w:jc w:val="center"/>
            </w:trPr>
            <w:tc>
              <w:tcPr>
                <w:tcW w:w="849" w:type="pct"/>
                <w:vAlign w:val="center"/>
              </w:tcPr>
              <w:p w14:paraId="0AB78442" w14:textId="77777777" w:rsidR="007A6460" w:rsidRPr="00B41827" w:rsidRDefault="007A6460" w:rsidP="007A6460">
                <w:pPr>
                  <w:rPr>
                    <w:bCs/>
                  </w:rPr>
                </w:pPr>
                <w:r w:rsidRPr="00B41827">
                  <w:rPr>
                    <w:bCs/>
                    <w:noProof/>
                  </w:rPr>
                  <w:drawing>
                    <wp:inline distT="0" distB="0" distL="0" distR="0" wp14:anchorId="709777BC" wp14:editId="7DD959B5">
                      <wp:extent cx="1005687" cy="229823"/>
                      <wp:effectExtent l="0" t="0" r="444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energy.local\employee$\tasha.mort\TEMPLATES\Logo\CE logo_RT.png"/>
                              <pic:cNvPicPr>
                                <a:picLocks noChangeAspect="1" noChangeArrowheads="1"/>
                              </pic:cNvPicPr>
                            </pic:nvPicPr>
                            <pic:blipFill rotWithShape="1">
                              <a:blip r:embed="rId1"/>
                              <a:srcRect l="5374" t="13906" r="3008" b="20300"/>
                              <a:stretch/>
                            </pic:blipFill>
                            <pic:spPr bwMode="auto">
                              <a:xfrm>
                                <a:off x="0" y="0"/>
                                <a:ext cx="1005840" cy="2298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96" w:type="pct"/>
                <w:vAlign w:val="center"/>
              </w:tcPr>
              <w:p w14:paraId="3D5983CF" w14:textId="018A4D52" w:rsidR="007A6460" w:rsidRPr="00B41827" w:rsidRDefault="007A6460" w:rsidP="007A6460">
                <w:pPr>
                  <w:rPr>
                    <w:bCs/>
                  </w:rPr>
                </w:pPr>
                <w:r w:rsidRPr="00B41827">
                  <w:rPr>
                    <w:bCs/>
                    <w:noProof/>
                    <w:position w:val="-6"/>
                  </w:rPr>
                  <w:drawing>
                    <wp:inline distT="0" distB="0" distL="0" distR="0" wp14:anchorId="1653830C" wp14:editId="1CD71471">
                      <wp:extent cx="325736" cy="245660"/>
                      <wp:effectExtent l="0" t="0" r="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FooterSpac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736" cy="245660"/>
                              </a:xfrm>
                              <a:prstGeom prst="rect">
                                <a:avLst/>
                              </a:prstGeom>
                            </pic:spPr>
                          </pic:pic>
                        </a:graphicData>
                      </a:graphic>
                    </wp:inline>
                  </w:drawing>
                </w:r>
                <w:sdt>
                  <w:sdtPr>
                    <w:rPr>
                      <w:bCs/>
                      <w:position w:val="6"/>
                      <w:sz w:val="18"/>
                    </w:rPr>
                    <w:alias w:val="Company"/>
                    <w:tag w:val=""/>
                    <w:id w:val="-1651204733"/>
                    <w:placeholder>
                      <w:docPart w:val="672C562D0CDC4EC3B5B6D7BDFD391612"/>
                    </w:placeholder>
                    <w:dataBinding w:prefixMappings="xmlns:ns0='http://schemas.openxmlformats.org/officeDocument/2006/extended-properties' " w:xpath="/ns0:Properties[1]/ns0:Company[1]" w:storeItemID="{6668398D-A668-4E3E-A5EB-62B293D839F1}"/>
                    <w:text/>
                  </w:sdtPr>
                  <w:sdtEndPr/>
                  <w:sdtContent>
                    <w:r w:rsidR="002D12F1">
                      <w:rPr>
                        <w:bCs/>
                        <w:position w:val="6"/>
                        <w:sz w:val="18"/>
                      </w:rPr>
                      <w:t>ISOP Implementation Plan</w:t>
                    </w:r>
                  </w:sdtContent>
                </w:sdt>
              </w:p>
            </w:tc>
            <w:tc>
              <w:tcPr>
                <w:tcW w:w="855" w:type="pct"/>
                <w:shd w:val="clear" w:color="auto" w:fill="auto"/>
                <w:vAlign w:val="center"/>
              </w:tcPr>
              <w:p w14:paraId="2E228001" w14:textId="77777777" w:rsidR="007A6460" w:rsidRPr="00B41827" w:rsidRDefault="007A6460" w:rsidP="007A6460">
                <w:pPr>
                  <w:pStyle w:val="FooterText2"/>
                  <w:rPr>
                    <w:b w:val="0"/>
                    <w:bCs/>
                  </w:rPr>
                </w:pPr>
                <w:r w:rsidRPr="00B41827">
                  <w:rPr>
                    <w:b w:val="0"/>
                    <w:bCs/>
                  </w:rPr>
                  <w:fldChar w:fldCharType="begin"/>
                </w:r>
                <w:r w:rsidRPr="00B41827">
                  <w:rPr>
                    <w:b w:val="0"/>
                    <w:bCs/>
                  </w:rPr>
                  <w:instrText xml:space="preserve"> PAGE </w:instrText>
                </w:r>
                <w:r w:rsidRPr="00B41827">
                  <w:rPr>
                    <w:b w:val="0"/>
                    <w:bCs/>
                  </w:rPr>
                  <w:fldChar w:fldCharType="separate"/>
                </w:r>
                <w:r>
                  <w:rPr>
                    <w:bCs/>
                  </w:rPr>
                  <w:t>1</w:t>
                </w:r>
                <w:r w:rsidRPr="00B41827">
                  <w:rPr>
                    <w:b w:val="0"/>
                    <w:bCs/>
                  </w:rPr>
                  <w:fldChar w:fldCharType="end"/>
                </w:r>
              </w:p>
            </w:tc>
          </w:tr>
        </w:tbl>
        <w:p w14:paraId="0E13A030" w14:textId="77777777" w:rsidR="007A6460" w:rsidRPr="00B41827" w:rsidRDefault="007A6460" w:rsidP="007A6460">
          <w:pPr>
            <w:pStyle w:val="Footer"/>
            <w:rPr>
              <w:bCs/>
            </w:rPr>
          </w:pPr>
        </w:p>
        <w:p w14:paraId="21F504EA" w14:textId="77777777" w:rsidR="007A6460" w:rsidRPr="00B41827" w:rsidRDefault="007A6460" w:rsidP="007A6460">
          <w:pPr>
            <w:pStyle w:val="Footer"/>
            <w:rPr>
              <w:bCs/>
            </w:rPr>
          </w:pPr>
        </w:p>
        <w:p w14:paraId="4FCA56AE" w14:textId="77777777" w:rsidR="007A6460" w:rsidRPr="00B41827" w:rsidRDefault="007A6460" w:rsidP="007A6460">
          <w:pPr>
            <w:rPr>
              <w:bCs/>
            </w:rPr>
          </w:pPr>
        </w:p>
      </w:tc>
      <w:tc>
        <w:tcPr>
          <w:tcW w:w="721" w:type="pct"/>
          <w:shd w:val="clear" w:color="auto" w:fill="auto"/>
          <w:vAlign w:val="center"/>
        </w:tcPr>
        <w:p w14:paraId="206C2A9A" w14:textId="77777777" w:rsidR="007A6460" w:rsidRPr="00B41827" w:rsidRDefault="007A6460" w:rsidP="007A6460">
          <w:pPr>
            <w:pStyle w:val="FooterText2"/>
            <w:rPr>
              <w:b w:val="0"/>
              <w:bCs/>
            </w:rPr>
          </w:pPr>
        </w:p>
      </w:tc>
    </w:tr>
  </w:tbl>
  <w:p w14:paraId="44572835" w14:textId="77777777" w:rsidR="007A6460" w:rsidRPr="00B41827" w:rsidRDefault="007A6460" w:rsidP="00EE28EB">
    <w:pPr>
      <w:pStyle w:val="Foo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2A7E" w14:textId="77777777" w:rsidR="00486A75" w:rsidRDefault="00486A75" w:rsidP="00BD0DB7">
      <w:r>
        <w:separator/>
      </w:r>
    </w:p>
  </w:footnote>
  <w:footnote w:type="continuationSeparator" w:id="0">
    <w:p w14:paraId="478E885C" w14:textId="77777777" w:rsidR="00486A75" w:rsidRDefault="00486A75" w:rsidP="00BD0DB7">
      <w:r>
        <w:continuationSeparator/>
      </w:r>
    </w:p>
  </w:footnote>
  <w:footnote w:type="continuationNotice" w:id="1">
    <w:p w14:paraId="4C015B96" w14:textId="77777777" w:rsidR="00486A75" w:rsidRDefault="00486A75">
      <w:pPr>
        <w:spacing w:line="240" w:lineRule="auto"/>
      </w:pPr>
    </w:p>
  </w:footnote>
  <w:footnote w:id="2">
    <w:p w14:paraId="23D2BFA9" w14:textId="3A76FC0C" w:rsidR="0041383B" w:rsidRPr="00BC7C62" w:rsidRDefault="0041383B">
      <w:pPr>
        <w:pStyle w:val="FootnoteText"/>
        <w:rPr>
          <w:sz w:val="18"/>
          <w:szCs w:val="18"/>
        </w:rPr>
      </w:pPr>
      <w:r w:rsidRPr="00BC7C62">
        <w:rPr>
          <w:rStyle w:val="FootnoteReference"/>
          <w:sz w:val="18"/>
          <w:szCs w:val="18"/>
        </w:rPr>
        <w:footnoteRef/>
      </w:r>
      <w:r w:rsidRPr="00BC7C62">
        <w:rPr>
          <w:sz w:val="18"/>
          <w:szCs w:val="18"/>
        </w:rPr>
        <w:t xml:space="preserve"> D.18-05-041, pp. 18-19 and 169-170 (Conclusion of Law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7169" w14:textId="77777777" w:rsidR="00B70869" w:rsidRPr="00D73B3A" w:rsidRDefault="00B70869" w:rsidP="00B70869">
    <w:r>
      <w:rPr>
        <w:noProof/>
        <w:color w:val="2B579A"/>
        <w:shd w:val="clear" w:color="auto" w:fill="E6E6E6"/>
      </w:rPr>
      <mc:AlternateContent>
        <mc:Choice Requires="wpg">
          <w:drawing>
            <wp:anchor distT="0" distB="0" distL="114300" distR="114300" simplePos="0" relativeHeight="251658241" behindDoc="0" locked="0" layoutInCell="1" allowOverlap="1" wp14:anchorId="629998B7" wp14:editId="3984A0F0">
              <wp:simplePos x="0" y="0"/>
              <wp:positionH relativeFrom="page">
                <wp:posOffset>0</wp:posOffset>
              </wp:positionH>
              <wp:positionV relativeFrom="margin">
                <wp:posOffset>-1828800</wp:posOffset>
              </wp:positionV>
              <wp:extent cx="7772400" cy="1517650"/>
              <wp:effectExtent l="0" t="0" r="0" b="0"/>
              <wp:wrapNone/>
              <wp:docPr id="70" name="Group 70"/>
              <wp:cNvGraphicFramePr/>
              <a:graphic xmlns:a="http://schemas.openxmlformats.org/drawingml/2006/main">
                <a:graphicData uri="http://schemas.microsoft.com/office/word/2010/wordprocessingGroup">
                  <wpg:wgp>
                    <wpg:cNvGrpSpPr/>
                    <wpg:grpSpPr>
                      <a:xfrm>
                        <a:off x="0" y="0"/>
                        <a:ext cx="7772400" cy="1517650"/>
                        <a:chOff x="0" y="0"/>
                        <a:chExt cx="7772400" cy="1517650"/>
                      </a:xfrm>
                    </wpg:grpSpPr>
                    <pic:pic xmlns:pic="http://schemas.openxmlformats.org/drawingml/2006/picture">
                      <pic:nvPicPr>
                        <pic:cNvPr id="71" name="Picture 71"/>
                        <pic:cNvPicPr>
                          <a:picLocks noChangeAspect="1"/>
                        </pic:cNvPicPr>
                      </pic:nvPicPr>
                      <pic:blipFill rotWithShape="1">
                        <a:blip r:embed="rId1" cstate="print">
                          <a:extLst>
                            <a:ext uri="{28A0092B-C50C-407E-A947-70E740481C1C}">
                              <a14:useLocalDpi xmlns:a14="http://schemas.microsoft.com/office/drawing/2010/main" val="0"/>
                            </a:ext>
                          </a:extLst>
                        </a:blip>
                        <a:srcRect l="5785"/>
                        <a:stretch/>
                      </pic:blipFill>
                      <pic:spPr bwMode="auto">
                        <a:xfrm>
                          <a:off x="914400" y="685800"/>
                          <a:ext cx="2463165" cy="831850"/>
                        </a:xfrm>
                        <a:prstGeom prst="rect">
                          <a:avLst/>
                        </a:prstGeom>
                        <a:noFill/>
                        <a:ln>
                          <a:noFill/>
                        </a:ln>
                        <a:extLst>
                          <a:ext uri="{53640926-AAD7-44D8-BBD7-CCE9431645EC}">
                            <a14:shadowObscured xmlns:a14="http://schemas.microsoft.com/office/drawing/2010/main"/>
                          </a:ext>
                        </a:extLst>
                      </pic:spPr>
                    </pic:pic>
                    <wps:wsp>
                      <wps:cNvPr id="72" name="Rectangle 72"/>
                      <wps:cNvSpPr/>
                      <wps:spPr>
                        <a:xfrm>
                          <a:off x="0" y="0"/>
                          <a:ext cx="77724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28C61D" id="Group 70" o:spid="_x0000_s1026" style="position:absolute;margin-left:0;margin-top:-2in;width:612pt;height:119.5pt;z-index:251658241;mso-position-horizontal-relative:page;mso-position-vertical-relative:margin" coordsize="77724,1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YMH2QMAAGIJAAAOAAAAZHJzL2Uyb0RvYy54bWycVttu2zgQfV9g/0HQ&#10;eyPLjS8rxCmMZBMUyLZG00WeaYqyiFIkl6Qte79+D0lJcey03SZAZF6GczlzZsirD/tGJDtmLFdy&#10;keYXozRhkqqSy80i/fvr3bt5mlhHZEmEkmyRHphNP1z//ttVqws2VrUSJTMJlEhbtHqR1s7pIsss&#10;rVlD7IXSTGKzUqYhDlOzyUpDWmhvRDYejaZZq0ypjaLMWqzexs30OuivKkbd56qyzCVikcI3F74m&#10;fNf+m11fkWJjiK457dwgb/CiIVzC6KDqljiSbA0/U9VwapRVlbugqslUVXHKQgyIJh+dRHNv1FaH&#10;WDZFu9EDTID2BKc3q6WfdiuT8HKRzgCPJA1yFMwmmAOcVm8KyNwb/ahXplvYxJmPd1+Zxv8ikmQf&#10;YD0MsLK9SygWZ7PZ+HIE9RR7+SSfTScd8LRGds7O0frPn5zMesOZ929wR3Na4L/DCaMznH7OJ5xy&#10;W8PSTknzv3Q0xHzb6ndIqSaOr7ng7hDoieR5p+RuxenKxMkR5HkPOba91WSWe9D9ES8VzxAf04Oi&#10;32wi1U1N5IYtrQazAaaXzl6Kh+kLg2vB9R0XIjHKPXFXP9ZEI815IKzf7GJFWZzQ6hW4ImVvFd02&#10;TLpYg4YJhK2krbm2aWIK1qwZKGU+loiQov4d7GnDpfMOk8Ia+gUB+KKczOaTbtEZ5mjdR9R7HeGw&#10;YF+ybv9SJTSRrVPB+RP2/ZFfBp6BZtP5ZA7KBWs9D8eX0/f5dBJ5OH+fzyMNBzIBaGPdPVNN4gfw&#10;Hz4GO2T3YJ137FnEhyGVhzXYEPLFAgT9SsiFd70bIlO+pNDqbA86Zmew/1I1h2zCS6/2iFrjnloe&#10;aHBGgFxjj0cnN5SzLaKDfUn9Qi1fTmbowV7p2zG0SvDSwxh44ds+uxEm2RFwg1AKjkWSgzTHkt/B&#10;2wcXwwkjdxDM6xXyC6vQ5dCMxiGh4X45NxR8qEnJov3JCH9deMOJEGxQ6KUreD7ojhU1SL4WRCfv&#10;j7JwPQ2HRz9yLEI8nAiWlXTD4YZLZV5TIAb4qigP94+g8cO1Kg8oLjSH0L+tpncc9H8g1q2IwW2I&#10;zo0b3n3GpxKqXaSqG6VJrcy/r617edAau2nS4nZdpPafLfFtVXyUIHyoVFzHYRJohLZxvLM+3pHb&#10;5kaBD2gm8C4M4ZNxoh9WRjVPeAgsvVVsEUlhe5FSZ/rJjYu3Pp4SlC2XQSz26wf5qNHlY/J84X/d&#10;PxGjux7g0D0+qb7ISHHSCqKsz4dUS7Slioc+8YxrhzcKPozCRR4o1D06/EvheB6knp9G1/8BAAD/&#10;/wMAUEsDBAoAAAAAAAAAIQCt7mozijoAAIo6AAAUAAAAZHJzL21lZGlhL2ltYWdlMS5wbmeJUE5H&#10;DQoaCgAAAA1JSERSAAAEOQAAAVgIBgAAAFkeJ0wAAAAJcEhZcwAAITcAACE3ATNYn3o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AvtUlEQVR42uzdz6sj14Hocf0J+hP0J+hP0KLBmyy0SIe3FGQZAlqa8BbiBWbx&#10;YIgCCY+sRkzI6r15iDvgRcAZ5S38yIxJBGbGA3khmsbGTfd0WzNtt+1223qLqZtorq+kUtU5p05V&#10;fS58FjNp36sfVVKdb9U5NTgcDgMAAACAtvMiAAAAACIHAAAAgMgBAAAAIHIAAAAAiBwAAACAyAEA&#10;AAAgcgAAAACIHAAAAAAiBwAAACByAAAAAIgcAAAAACIHAAAAgMgBAAAAiBwAAAAAIgcAAACAyAEA&#10;AAAgcgAAAAAiBwAAAIDIAQAAACByAAAAAIgcAAAAACIHAAAAIHIAAAAAiBwAAAAAIgcAAACAyAEA&#10;AACIHAAAAAAiBwAAAIDIAQAAACByAAAAACIHAAAAgMgBAAAAIHIAAAAAiBwAAACAyAEAAAAgcgAA&#10;AACIHAAAAAAiBwAAAIDIAQAAAIgcAAAAACIHAAAAgMgBAAAAIHIAAAAAIgcAAACAyAEAAAAgcgAA&#10;AACIHAAAAIDIAQAAACByAAAAAIgcAAAAACIHAAAAIHIAAAAAiBwAAAAAIgcAAACAyAEAAACIHF4E&#10;AAAAQOQAAAAAEDkAAAAARA4AAAAAkQMAAAAQOQAAAABEDgAAAACRAwAAAEDkAAAAAEQOAAAAAJED&#10;AAAAQOQAAAAAEDkAAAAAkQMAAABA5AAAAAAQOQAAAABEDgAAAEDkAAAAABA5AAAAAEQOAAAAAJED&#10;AAAAQOQAAAAARA4AAAAAkQMAAABA5AAAAAAQOQAAAACRAwAAAEDkoEfeuPlw+MbNh5Mj0zduPlyc&#10;ML/zbydeQwAAAEQOUkeMWREqNoVDYLvi966KvzN94+bDsfcAAAAAkYOqUWNSRIZ1ER4OGdi8cfPh&#10;sggtwgcAAAAiB2ejxiaToFHGvogw8zduPhx5HwEAAEQO+jv9ZFZEgn2LwsalqS5LV3kAAACIHPQr&#10;bBw6TvAAAAAQOejoVJRVh67YqBI8TGkBAAAQOWj5VRu7noaNU1ZuWQsAACBy0I64MSoWEN0LGmdt&#10;37j5cGabAQAAEDnIM26sxItKU1nEDgAAAJEDcUPsAAAAQOSg/pobpqXEiR1T2xgAAIDIQZrAMRM3&#10;otu4/SwAAIDIQby4MS4WzBQh0lm+cfPh0PYHAAAgchBuaspScGjM3hQWAAAAkYP6gWNSrBMhNjRv&#10;7aoOAAAAkQNXb7iqAwAAAJHD2htYqwMAAACRo32Bw51T2mPrDiwAAAAiB/dPT1kJB6avAAAAIHK0&#10;PXCYntJuC9syAACAyGH9DdNTumJlnQ4AAACRw/obdGmdDqEDAABA5Ohd4BAFLEgKAACAyNHqwDEX&#10;AnqxIKnQAQAAIHJ0OnC4g4rQAQAAgMghcCB0AAAAIHIIHAgdAAAAIgc1A8fCQF/oEDoAAABEjrYH&#10;DndRQegAAAAQOQQOOnl72aH9AwAAQORoU+AYF2fuDewROgAAAESO1gaOkcDBBSv7CgAAgMiRe+AY&#10;FmfqDeS5ZGGfAQAAEDlyjhxuFcs1pvYbAAAAkSPHwDE3aKfCHVdG9h8AAACRI6fAMTZgp+pCpPYh&#10;AAAAkSOndTh2BuvUsLQvAQAAiBzW4aArJvYnAAAAkaPJwDE1OCeQ3Rs3Hw7tVwAAACJHU9NU9gbn&#10;mLYCAAAgcrQ9cqwNyjFtBQAAQORoe+CYGIxj2goAAIDI0YXI4W4qxLSwnwEAAIgcKQLHwiCcBEb2&#10;NwAAAJEjZuAYWWyURNb2OQAAAJEjZuRYGXxjEVIAAACRowtXcRh4k9LGvgcAACByxIgcbhlLE6b2&#10;PwAAAJEjZOBwy1gau6WsfRAAAEDkCBk5NgbbNGhmPwRo6KBpMNjcx2sDACKHtTigmq19EaCxyHG4&#10;j9cGAESOtkYOd1TBnVYARA6RAwBEDldxgDutAIgcAIDIkUPkWBhck5GR/RJA5AAARI6qkWNvYE1G&#10;VvbLUgOS4WAwmAwGg/lgMFicWjTwyLL4d6YEASIHAIgcnQ0cM4NqMrN/4+bDof3z3kHIuIgV21MD&#10;kiusB4PBbDAYeK0BkaP+6zcqwnPbjL1/ACJH1yKH28bidrL5X7GxGAwGuwBh4z77wWCwGgwGpgmB&#10;yCFyVH/9FpE+o2OzFhaAyNGpwGHB0UB++u7zlx+9eL3/zlsfeT0sQBo6buwTHejui7/nyg4QOUQO&#10;kQMAkaOVkWNuMF3ff/0//3q4/Xn84vUzocMCpAEOlqcJ48ZdW5cvg8ghcogcAIgcbYwcWwPpeua/&#10;enJ49frrl4ejH6EjmHlPD5RXNeLE8QKjt9YV1vDYDwYDU4ZA5BA5RA4ARI7WBI6xQXT4wCF0BLXt&#10;4fSU7ZVRY37NVRfFFSLXRBShA0QOr4/IAYDIYapKnwOH0GHKSsTAcbtuxijA31uWPACe+MwEkQOR&#10;AwCRw1SVHgcOocOUlQiBYx16UdDilrTbEmFl5HMTRA5EDgBEjlwDh7uqJAgctz/vPf78qdfOXVZq&#10;BI79YDCYNvwYHASDyIHIAYDIkW3kmBk8X+87b310ePX6688OFX7eefTymdewmo4fFK9yuNNJydAx&#10;9/kJIgciBwAiR46RY2XwfH3gePzi9bNDjR+ho7JpRw+IZyUCxzDh47kUOvYpHw8gcogcIseJ13o0&#10;GAwmR0Yt33Ymd/V4Pzp+b1Oc5Bnf8/o71kHkaGnk2Bs4pw0cQkcty45+ie/PHHTumviSLb7szx0M&#10;LzN47cYdeP/HHdmOh20eXBT74bALnyd9iBzF9jYUOfoVOYr3fVZc+bgtcXJgFXOKZ4CYce2t3TfF&#10;c5p1cX2s4nN4XjzPaJ9Bxd+53Y42JV/7/dHrvyjuUDc2lsxu+xmJHLh1bIOBQ+hwK9mjD+X1hS/V&#10;caYH6kmu5ihiS9kDwW3x7+Y5HXwUz2Fe8jkcH8QOMz4IvfRc/jTAyOV5HA2QlsXrfCkubop/O83t&#10;vbizX+xC7xO5RI4r9p1dTvt+zcixve9sfiLjUEEsZFAp9sF1jb+1yyF2HN26fR8oSm1TfFcU20bV&#10;xzgpuZ+Xen8DfP5v2xAbr7jr3SnjBJ/NVR/bPPD+tDtxjLoeDAYzkcN6HCQOHEKHdTlKHDjMMniM&#10;5wZQi4gD6eWFv132wHbe0JUwo2KgU/c5rJoetBUHh/MaB4e3tzseNvT4Z1ecrcv2vTh6H3Z1B0U5&#10;R47iedbddxrb9wNEjk3LvseiPc/iO3IXcPC4auj7YBb4edz7Gdu2yHHlLewrfQYdfZ7s23RFVc2I&#10;EP1q25oRZhhge9zdE7kXJ+L/LtcrukQO63F0NnAIHZVMOhQ5Nrkf6F5YL2QXYXCzjHQAOE08QAv9&#10;HJYNHZyHPDjcpwx3xVmeGAOL5AOlYj8MeZC+uzD4SB45Iu07+yYWShY56j3PYltYRxpAJlvjKuJn&#10;UKX9OqfIUfK29bU+gyJEsqTTxuqG3gZPgJ2zDhhXzp54KE42HS/qvxI5+hM5tgbMl733+POnhwQ/&#10;Qkdpi44EjksHDaOMHuu5L7NpwNcj9pmWVeTXaRz5gGqX6kqCyM8laiSIPEBK+l4keC7LHCJHMRjc&#10;Rz4zOhQ58o8cCbaFFN8FKT6DDqmusgwdOepE20RXGuQSOeY5TlmpeZXJrMbfXR3F60nF45mtyNGP&#10;yGHAfME7j14+OyT8ETpKWXckcqyaOgCr8FjnZ+Y7Tg5hzlKnOniIchYvwpn2xtZpSfR+xHofhoN0&#10;c66jvhcJn8s3AkDKyJFwMLJNGAlFjgrPM/HAdNrS2J08JoeMHHW/XwIcX7Upcoxyil0XjgmjTlU5&#10;+kzd3Z4EPFq89z7/6c44d75PVyJHtwPHxGA5r8Bx+7Pa7j/z+nd78dHiw7YVV3EcfdEeL4g5bmBA&#10;vS0OgOd3FsqbFl9oqysGhOuGznLtj+aNzu48j/mZBbSSDa6vODjcHq0wf/w8FlcsrBc0dFwRBY7f&#10;h+k978PiyhX3Y70X24rB4tiuSnRKETmK96vs9rY7sf/Pi///9or3ayRy5BU5EsfJaItnF4Ejp7Uf&#10;gnzGhoocISJWDwLH3X2jzn6xzei7qfKx19H295++b0t+zi7vfM7sY0ZOkcOiowLHhZ+fvvv8pfeh&#10;u4uPXqjg6758DpUMHKtrBiVHC37uU5zhKHEL4NuB5/SK3zktMcjeNhA4bhcQHeX2PEoOkjbXHtiU&#10;XLR0F2GwdE1sml96T4qDxOWFbfVPA6JEkWNTcv8fXzHAXA0auopI5Kh8trrJMDDrcOAIdmVoiMgR&#10;6grBDk9RORU56r5uowgnvZLub0ffFfMTn7P3nfxa3fd3i/8t+polIkezkWNhsJxn4BA6ur/46IXB&#10;2LQngWNcYsA1rvlFfGnQO448ULtq3miFuemLROHtUOfuKMXv3sdcBb7E/Pd55NdnGfC9mMZcYPDC&#10;1KptishRIkZsqh6cl1zQcC1yNB85MggD24Sxu0nLJiNHyCmQNT832xg5hjV/1zzhSbrgU1WO1v/Y&#10;nfmcnVx4rJsTx21TkaObkWNjoJxv4BA6Lpq2eHA/bGo17Mxeg3ODkHXAucTR7mBz4cBtHyiiXBoE&#10;jCIPqmuFmiuexyTSQVew6SQlDtRHgfaNfYmrG4YB/s76zO+PFjnKBLVEIWUmcjQaOXaZhIFR5BMX&#10;uZg2FDnmIZ9Hjc/Na6b4bI7WdlgW/3fd37+/c7XBOeMrI36yqz4bmKqyPPW9UCJyDE9EjlmX1uYQ&#10;NtxZ5aLVdv/ZIcMfoaNbd1i5MFBa9iRyLFId4BdfcrsYV3PE+r1XrmS+ijio3kd4HvuQUz4unEEN&#10;vl7GhW13lWBgvmpyMJ5gVf5Z4Oe3Srkmg8jRSrMG3+vjz7/VPWs13V4FsQo0yB42EDkOCSJH3feg&#10;1FTGklMwg39+5zJlpeGpKuMKkWN8InIMu3RiUdhwZ5Wzfvru85eHjH+Ejm9YtniAv4pxNrtFz3+U&#10;cm2DEgdoy4q/c5pyRfMLB3GjGr93nfJMd+jX7cL+NIu0DZ+KW/vIB5DbBsJr6MixbeD92jRw9wGR&#10;oz2WEaNdmbgxuyJIL5p4rjlHjppXcVS6UrF4PXYpr6ipGbnmqb8rAt5VpUzcmlyYsrw49XqKHN0L&#10;HEOD5PYEDqHjXpsWD/KjDJBEnsoDnV3F37dMeXb4whUpy1ziT83X7qpgcyEKrCM+/lmkS8Ibuerg&#10;moPXiNNUFpHD6j7x/ipyhLE7uh3k3bvqhJoisokU0GKd1a+7jsmoY5FjViNwjGt+J29TXVFT864x&#10;odaeqTptZl338+XC5+z2zF3F7l1o+nbfFTncPlbgEDpEjvjrcax7EDjOnXFZRf7bs8AHfdvUz+PM&#10;c9hW/H3blFfUhN4Ozhz0Rb9N6JnHv4zw2ZBkgbQyg4VI7/kmwXObZ3TllchRbl2EScn3tfY0jogL&#10;BMeaZlgndKwyjBy303WmJ6YlDG8DV8CB9yTyd9kh8FWLdRdWHUY8fo02JaxC5DjepuannrfIIXII&#10;HEKH28immzax6EHkCBoaAn5BzwIe2M8SxYH97UFhhAP0aRu2hTMHl4sEj38VODjNcxj0XjpbmNt0&#10;q0BX0e1EjqwixyL1ADzxAozbBOEu6IA3YuTY1v2+qRgZVinjcMArSHdNhIampqpUma5yHD7KbDci&#10;R/cix1TgaGfguP2Z/+qJyNG9BTf7sB7HoomrOEoclC4DHthPEsSBEGegNhkMqHcnrsKYlfhvx2f+&#10;+2GTkSbCgGmSeD/dRogcuyb3/RKDwrHI0Xjk2NeItquUkaPmoD/kYs5Vp8vMG44c+xDrRNRYCHN6&#10;SHMCJeh2cGGqZ7QpI01NVbmzjU/Krslxbi2OO9uNhUc7GDkWfR4cz3/15PD6q68/bXPkePX665d9&#10;Dx0dXI9i1IfPn+KAYFZ8Ye4Tn8ldhRpUtDlWXTgwnCZ8HLO7lypXvGx7eTSIXiR67JNQ28CFg+Rt&#10;TttHhKuGRok/e5KsQSNyVJquMG5gsFs1cqyamKYSMD5sG4wcu0G423pPUl25EyE2zSp+3yWfslJz&#10;qkrdK3WWpz6jz0SO8bmYdBS8VyKHyNGpwPHq9detvopD6PiTcQsH+JtUX7otek3GCf/WItSlo7FX&#10;MY/8OixzWfw2wi1qhxkM7iYVY08221PgyLHOZR2iM49lK3I0Fjm2IfbbOguRJpoicYjxfVdjCsOo&#10;gcixDfkZXXEKxSbhd2rQdTmamrJSYz2QfaDv9Xuv0rxwd5XFqTXGjl7DicghcggcQkeOJi0c0O9y&#10;OVvb06AyC3iQm/yuJAmmI6xsJ0G2gUXAA+RRByJH8vVrml4XqGbk2N+5U0ASDUWOYIPeOlNWEg34&#10;toe00TrYlJVAkWMVOkJX3M9iRI5Fqqt6aq7Fsk68b60Cvb6b+75bz0WOO8c6y3tev11njkUckPU7&#10;cnQxcAgdrYwcnThz1+JB6SRg5NimWsSwi1NVOrI9bQNFjk1u8TPgfjKNtdp/ztt/zciRxa05E0SO&#10;XeCz+otEkaPqgG8RaZuexh7wBogcq0jPvc2RYxPhMyzKlJUaVy5NA72+904/KRE5jv+7yZ27Ek1E&#10;DpFD4BA6RI74kcMZ9PZFjlUb1+W4cCZ7aDsJEicWgT4Xlh2IHMsMA84u9iBU5Eg/2EwYOapOF5g0&#10;EO6CTCWoGTm2sb5bKr7n+wiPY51y+68zNevaK+ianKpy4gqW/W3oKLb9ybntqwgbk8K2LVfcihwi&#10;x0Xf/eXjzgeOHoeOScsGROM+3z42k/dgGHDwNmvioC7ipc2mTDUQOS58Lkw7EDk2GQac6HcWEjm6&#10;GTnqLMCY6booowSRYxLxeU8HkdcjiRi+6kSOWaopK7kssnvnseyviTXF9rvv6klFB2Q9jBzfeeuj&#10;w+MXr58devTTs9DRtsgxETnyvZqmYjA5dwnnOsfQcWaAt7Z9BDt7twh0kD7qwH6SzXocJQbDO5FD&#10;5Ig02N9G3qajXl2SceSYND11qMYdTxaHCCdsQl9h0fRUlQtrkmzO/Z3i+3XT9WNtB2Q9ixx9DBw9&#10;DB0iB00vqLgocZnuuA3P3zYY9P1fhNiG2r6fXLiMftLgc5vHfs1Fjs5GjkUOz/WKeB1koJ1x5Kg6&#10;2N8HXPB2k2LaSKApMlcFiBrv+z7y9j6+53W/u5jy3f9t0tljEQdk/YkcfQ4cR6Hjs++89ZHIIXIQ&#10;N3IMS57lWDZ5Vr7kAaFFR5uJHMscFyMOFDkmmQacSeyrZ0QOkeO+QVZE2z5GjprrU6wD/O1Z7KlC&#10;kf72qub3UyMLzZ6IHcsToWlT/G/jzh+LOCDrR+QQOP788/jF62cdDx0iR38Hl7cLSU2Lg85bqxK3&#10;Sgx9gH/NpaqrhtdZmLRxsdQE4ed2oDC/sz1d2pZ2ASLHpsORY97CyDEROUSOCGftc7XuQORYxh7s&#10;R4gM20DPfR/zSosa06CcNBE5RA6BQ+gQOUSOC5e7T48GnLvcDvCPDnauOdjYNXGG4cI2OO7B9jS5&#10;E8NiDRxCRI5lByJH9LUvanyuiBwih8hR8j3IPHLUvaXq9prHWITxZc2/OQ/03FeDSFNWaqw1snf8&#10;KnKIHIEJHL0LHSORo7NXaSxjBo0YZ5aLx72reIA1TzGdJdcz65Gv0pjVnLscO3LscvxMiB057lwx&#10;0wSRQ+SoEjm2IkdekSPAYP94esP8vuBffJdMi7+zr/l3Qq4HMo11FUvuU1UQOXoTOd559FLg6Fno&#10;aOlZZJHj/NUQm7Yd4Ac+w7MuXodhpNd40YfIUZzZC3EwmiJyHDocOVYtHPSJHCJHjOcqcsT/zN+3&#10;5DVfBH7uuxhXXJiqInK0NXJMBQ6hQ+QQOTJ6XbZtPcA/85zqBptV6IPDrkeOQJcRixzhIsdG5Kh8&#10;pneTmsghcrQ1cgS4qiGVbYTnXec7b2qqisjRtcgxETiEDpEjq8ix7mngWNa8tHRTxIDjy9DnF1ah&#10;TzbIDxQ7tnVvNdeHyFG81lXPPO2K92l9z7SGc9vSSuQQOSJEjk3L9j2RQ+RoPHIc6i8GGts+xrTU&#10;GkHi5NpP56a2mqoicogcHQscTz754Gms3/3Rvz969uLzj/dCx1U2LR2IdeKgNtAZ9+0VBwbro3gx&#10;bHrwVvFS2rrrjOzqHix2NXJceUC2Ld6Lad3FVgPdQlbkEDlEDpFD5Oh26NjHXNy7xtWwu8C/b2yc&#10;LXLkEDoEjhI/r7/68tOf/+7Hnz28eXD4l49//0GMv/GL7U+eP7x5cFj/418JHf2NHFuB494rNaY5&#10;Dt4CnHWps17EpurZoC5GjpLrPtwudDlKNKgSOf7jd6wzXnj0lJHIIXKIHO2NHEePd9+HwFHzyovD&#10;3c+8Gner2RlfixwiR03/+/0XSWLAH57909Pv//Lbh4c3Dw4Pbx4c/vb9v34c4++8+fbsT3/jzbdn&#10;hz8+/+fHaZ7fq6ct3g6WLR2Q7fp0d4uKgWMT+YxHNq//0WrtVQ6apn2PHCUO7PahbtUncgS9u8qm&#10;B591Ikc3I8dO5Mg/chwdbzS9+PEm1kLigcLE4e502BpXwiyNr0WOXCLHto2D25+++/xl7MH/q9df&#10;fPazf/iLl7fh4ThAhP758qtX3/g7D28eHH7+ux9/9vqrLz+N/VzfefTyWUsjx6KlB76bsjW9p2tw&#10;zNsweIt0MFblVqeLUFGghdvSpXnI29j7lMghcogcvYscmxqD3RyvXJp1NXIcml3cfBdqLa0E2+aq&#10;5BV4pqqIHK2JHBuB45s/7z3+zdPvvvWtw33h4eHNg8OXX70K+hjef/LbR6f+1vd/+e3De49/81To&#10;uNe0g4P8accP+i8dJE3bMnhLcEZmccUZw2Wg92B46E4wXDU8kF0EeB7rDkeOncghcvQsciw6/v2d&#10;beRIvFbHrjiZMGzR89ve+T17U1VEjrZHjoXA8eefF59/vP/hr793Mm7cev/Jbx/FWI/jnB+984NP&#10;X73+4jOh4z8Zt/RAYdbX28heODictWnwlnigVOaAYxrgQHXSkQPubQYD2RCRY9OByDHt6/Q8kaOz&#10;kWPVh/e0a5GjuPIv1lSj28Wsxw0/x2Hd7b/GtBdTVUSOrCLHTOD4j5+3f/83Z6/eOPaL7U+ex1qP&#10;45zvvvWtw9u//5unQkc7bx9b8hL7TYcP+Ee53D63bYOu4sDl0uWj+zJnji4cBLUpcqxzmPYVKHKs&#10;czwzFihyTEQOkaNjkWMhcrRuusr0iqsTVke3p7/P+s6t6oct+m68+B7VuBrEVBWRI6vIMel74Hjy&#10;yQdPy0aGGOtynFqP45wf/vp7h5i3m21J6Ni2/GDh5EC1wwf881zWImnroKvEwfW85va3aMm2NGx6&#10;mkrgyJHlYrCBIkcnoprIIXKUuTqpy5fztzVyFCeW9n25GqHG9jmrsQ+ZqiJyuMNKLoHj9Vdffrr+&#10;x7/aXxsYQq/L8e4Hm0dV/v533/pW1NvNtiB0rFv+JbTpWw0/85y3bRy8Zbqmy67k79i2+QDvwkHc&#10;uIWRY5bp4CDIftLjNYhEjm5GjnHsvyFyBH3c275djVBxTY1ljTVnTFUROdxhJYfAcfe2sFWEWpfj&#10;vju4XHtVyZNPPogyheWX/+/Tp+6s0sjB77yjB/zZXD3Q9gPQC/OKRyX++1WbB1ZnQs8uo315EWjw&#10;MOtA5Nj0dA0ikaODkaPGILLVVy+19Bays75EqADrxmxKHF+YqiJytCpyrHIcxM5/9eTw+quvg94+&#10;9dRtYav42T/8RZAAUze2xL7d7E/fff4y08gxafkX0DiHRRMzeb4TkSPogduszkCg5VcFrdsYOS4M&#10;EpcdiBzLHO8eI3KIHDUiR+/usNLSyLHtS4QK8F7tK+7LpqqIHBYfvSZwvHr9ddCrOC7dFvZa3//l&#10;t2s/pk+++LfnoR7P7WP6w7N/etqH0NGRL6FdLmtUVDi42xYHk+MAX7hDkSPomhSLmu/HuMX7zqLF&#10;kWObW/QMGDlmfVuDSOTofOSYh7hVZ4SB7VDkKLXY+bnbv856cIx5cgqhqSoiR5cix6jLgaPsbWGr&#10;+OSLf6t1l5Wq63E0cbvZzELHtiNfQMu2ne05cdCwLy6NnFQ5IGzz4C3TA5h1zUHJosUDqjZHjmVO&#10;ITBw5Bj38TJnkaPTkWNc4zmPDnHD97oIi8OeR446j/dQnNCZt/Uz6sJ3yrk7y5iqInJ0KnTsuhg4&#10;rrktbBXvfrCptS5HqKkzpxYm/c2jtx93NHQsO3IAPG7bXVYufGmO2zI9oiORY1Nn0JDTQrABB1Tz&#10;FkeOaW7rcoTcT86sYTAXOUSOtkWOGmfKo8TYM887WPDoYeS472TOLOcrbQOGOFNVRA7rcuQYOKrc&#10;FraJdTlCrceR8nazmYSOaYcOgrdtWYC0OFO0r/JFl1PkOLeeRY0DiWXqqwgCRI5FRrf0vepsWS5X&#10;chT7xDZQ5Dg3BWndgcixyu0gudhvJyKHyFExcsxrDJhHib6bgwWPnkeOb5wMKD4/pi0+xgxhbhwt&#10;cliXI1HgqHNb2JTrcoRejyPl7WabDh0dO9M3u3AgNMzosS6qnmnOJXJcWmm9QtjYNXX1TYDIMc5h&#10;ju2dKVDbMgfhOUSOC4Gj0mMpBiG5hKdR4Mgxy2wANLszD38e4fJ+kaPbkWNY43mvAz7ndZW/f+1+&#10;19KFR/cJrma4fT2zm9pSI8Q1NvUKkSN05Bi2PXCEuC1synU5Yq3Hkep2s//9/z77tKFtpnOr8V+4&#10;5HWZyWM8d6ZoX2JQ2vgAp8yt5AIsZjbLYLtZBfgdyQLbiQP0/blI0PQVDyUCR9XIcW4bXWUS0Q41&#10;XrNsBvRntv2pyCFyBLhCKclZ8IrrLlTa1lsaOVaJIsfdxUtXMdZFCRmrQ1zNYgwtcrQldGxTD1i/&#10;89ZHhxdffFXrCoMvv3r18ue/+/FnqYNB3XU5/vKdNw9NPeb1P/7Vvu7tZl+9/vrl/FdPmogc8w5G&#10;jlmOBwdXnCmqezePeQ6B48orOXZNXnpf9+4qJc/yLBI8j0mVv38mMOwyCRyVX78LZx5HibavRejB&#10;YIkBxyTh59k8RdwTOXoROeoOImexv9dCfVa2NHKMEl7NcWlqy7ih12BjqorI0ffIMU8dOB6/eP2s&#10;zkA79G1hq/jLd96s9NibftwhbjfbUOjo5KVxFwZN+yYvCbywIOKuzKCgyfUGrrlcM9DZs1nD0WZ6&#10;5YB938R2V3ONl0amdRRTfMoeMC8iDNI2DYenupFjXPezJPJ2t8hlwJ2BjciR5GqKquv3rFLHlTZG&#10;jqPHvc9kv9qmXki6ZgwzVUXk6ETkGLUlcLz4/OP9j975wadNRoLj9S6u/fnXTz96nMNjv108tc7t&#10;ZhOHjs5eGldiFextE5c9ljgLMrvid+1Sf1leeyAY6Oxd9KkeF17LYRsG1RfOLk1rhKtlJgfKiwiD&#10;8KgRrWzEifi+LxN8pq1T7bciR28ix7DGnVaOI9/Z6Q3F984iwIB9FyuA5npFaoK1Kaq836mm6g4H&#10;pqqIHEJH/CkrdQNH7NvCVvGvn3501a1a/+4P6w9yevzffetbh/ce/+ZpC0JHpy+NK3FwljR0lLgs&#10;/9qD4GWqqzkuPPZ9iIPcCwFl3dDB2jrCoHqZOD6tA0SmUcLXPPhVARc+C/YxLnsuBlj7mIPBkpf3&#10;x4w4q0xu6ylydChyBAgA933Xr4vnsijC4C7g75/0JXIU4XaT8X62TPQ6rAemqogcpqzkGTiefPLB&#10;0x/++ntZxY1bf/eH9QdtWY8j1u1mE4WOzl8aV+LLeJtiXmeJwHH1QLLE1SqzgAc15w4IpyGuKCkx&#10;WFtFOmCLcfA6SzXwvDDQLH02/cK+EiQIlrgsfHVmULWo+Xd3qULHiQC5jzEYLDkQnSQOHNuGwrXI&#10;0ZHIEWjaStaD6jZFjuIzdNmSfS36CawLxz2mqogcpqw0FThS3hY2xbocuV2Jcveqjrd//zdPMwwd&#10;m158SJVb1HAfs6KXiASVB70lIs488gHu7MJ0j0ngv7cKdfBSYrrE5hD3TM8ywLZ96W9MA4aZWgeO&#10;xeu9u3TFSYzIUXJAsa87cCj+xqnPm1nM2z6X+JybBfxMvbTdjUUOkSPTM+bZTDFoS+TIbA2OnELH&#10;fmCqisjR89CxziVwNHVb2JjrcvzLx7//IPfnU+d2sxFDx6w3H1TlVwPfBr7dYdkzH8uaAeXiQe+1&#10;g45iQFY6zJyJLZMI4abW3NvifSlz4D4O8P7vSrw3owq/u8z7s4rw2u+vHSwX2+iq7GONFTmuGLCt&#10;Kl5VdXHqRuTBYJn1P9Z1zhiWnIITMxiLHP2LHGXvvtS6QXQbIkeNRTY3xfFPk+9d7EXYQ91O11QV&#10;kaO1kWMWeoB6beBo+rawMdfl+Nv3//pxm55XldvNPv3k9dPvvPVRyG1o37sPq3JXUxwPoivfnqy4&#10;jHFVMqysAjy35RUHHbP7nlfx+sxKPu5vnPEOHDnKHtRuLi0sd88BZdn3ZZ5w4Hk7sJ6WiHXzktvx&#10;NvLjvd1HJice56QYHG2v3QfOrNexTnxgui2ew+TuNla8TtPiNdhdEXCiDQavHDSty+47xXNdltzu&#10;VpE/x0WOnkWOktPcWnmVQO6Ro0bgmN/z/t0eX+wSv1cx1yQKtW6MqSoiR6tDxy7UAPWdRy+vChw5&#10;3BY25rocua4rEvp2s49fvH4WMHQse/mBVf2M0O0ZiUXxRT05Mi3+/8sKi3EtAj63VGdLdiciySbk&#10;gViF92pbPIbFkdv35NrXZhUhsJW9rHV/Z3urskhe3Wkls4QHoPMrDhw3Ad+TVAvnrcoMXBsemNy3&#10;76wrvEarBJ/hIkcPI0dma3QEmwaRc+QoeZVopahQhPBU0WMX+XWq+/hNVRE5Wh85FqkDR063hY25&#10;Lkdbn9/DmweHn//ux599+dWrlw2Ejt5W40zOCO1DTotJeEnv5tTBXejI0eBlyquIB4wpzmCtA51h&#10;nCXYByZXHviHHrytUp9BTDgYnCaeQ79K9PktcvQ4cpRc2yfqdh5ynYdcI0eNW/hWXVvs9irFdaTP&#10;rWnE12o5MFVF5Oh55BimDBw53hY2xroc7z/57aM2P8cqt5sNEDrW9sk/DQJ2bT9IqrAgYNUB6bzi&#10;mfFJSwY2+9gHGxHfnyi37LzmFqgVYtmowoH/JsJ7Mk91tVPKyHE0cNi0LdiKHCLHFesqpQp5uxjb&#10;ecaRY9HkYL04KTAPeJJjFfG1Gtd8bKaqiBydCB2r2IHjxecf79s4feOUf/n492enrPxi+5PnXXmu&#10;P3rnB5+Wvd1szdAxsT9evYBjqIFdyoXC9gGjzOhQ/az4LOCAbRUxPI0SbnOTwIPPaLdBDjxQ3pW8&#10;lDlZ5Dg6SA31HBfnImbqweBR0N1GiBuL2HcvEDlEjoZjx64YbA8jfhdkFTmK13Tf5DYX4ftyG3k7&#10;rHoM6aSjyNHv28mWDRy53xa2ir99/6/PLj765tuzTj3fa243WzF0bOyLQRYLveYAadlEqS8OVKqe&#10;CdkVB46jK8PK5h6zCIPuEGd4Si+8GPkM0LLOAVKqs+hHi7ZWGQyvBtfdynZ8YltaJnqO+1j7+Ynn&#10;tUn8Hu5qBrXG9psznzNtsLzyuSb5OzFf84a+w3eBvrcnib4Dqr7P44j7WDbTQUJNocz0So6Z42+R&#10;o7dXc5QJHH98/s+PuzbYv/XDX3/v7B1juvicb593mdvNVggdPlDLDwauXXxvd7Rg5CynSxCPFvla&#10;nDlgWuT2uEuGnMmdRUbvsy7+zTzV1TQV36PbRWxXF57HtOE4c3f/uGuV82t95XNcXXiO45Y+v+Pt&#10;7e77eLwY6SaHbQ4ifJ5u7izyPLGNV1urqCVXcg1zeb1iPyZEjuyv5rgUOF5/9eWnbbstbBVdXo+j&#10;zO1mL4WO9x5//rTkNrWzDwY5cDq+s4q5lABAV45zNjlNBbnnxEY203tqPh5TVUSOfl7N8dN3n788&#10;P7D9zdPv//Lbh64P8s+ty9Gl9Tjq3m72nUcvn5WIHFP7HwAAgdaCST0taZtR5FiYqiJycMXVHOcC&#10;x6vXX3zW5tvChlyXoy+Rp+ztZi+EDmtxAAAQMnLsEj++TQ5rchRX9h5MVRE5KHk1x7nA0YXbwoZa&#10;l+OTL/7ted9ehzK3mz0TOib2OwAAAkaOpLdBrbo4fC6xxVQVkaMPkWP4xs2H+zKBo2u3hQ2xLse7&#10;H2we9fn1+NE7P/j01esvPisZOnyYAgAQI3IsEj22SQ63kC0Wqz2YqiJycDp0LC4Fji7eFjbEuhw/&#10;+4e/eNn31+Tc7WbvhI6R/Q0AgEhrXowzfmzLgI9hVjNw7E1VETn6Ejp29wWOLt8WtopfbH/yvM/r&#10;cVyazvPi84/3J0LHwn4GAECJQfyqxuB9muHjOlx6XMUVItvbWwmf+Dfj4nbbh5pWtjORoxd+/PfP&#10;/8vxwLQvt4W91ptvz3q/Hse1t5v9+nB49MbNh2oxAABlYsK05iB+EzJ2HAWIqo9nV3EazK54Lpuq&#10;64A0vX4JIkcOlodDv24LW8XtnUX+7g/rD7wep2PQH5//8+3daCb2LQAArggLuwCD+V2xdsX0moH9&#10;YDAYFtFhUTNulF7/osZaH67iEDm4YPiT3yz+aJB+3vtPfvvocDgc/vKdN70eF/yPv/9v/8t+BQBA&#10;4nUnzl3lcU7ov7ct+XwXiSKHqzhEjv55ePNgYnBebl2OPt5G90q7hzcPTFMBAKBK6FgnGvjHsi+7&#10;GGqiyLG0XYkcfQ4dSwP081MxPvr3R8+8FheZpgIAQNXIMQw0XSTrwJEocuzcUUXk6HvkGD68ebA1&#10;SD/tf773M6/DeUoxAAB9DB37a29nmyByOPkocvDw5sH44c2DvcE6FWztQwAABIwdy5YEjk2VKyYi&#10;T82Z2YZEDv4cOmYG7Fxp//DmgQWNAAAIHTomge66Ems6yKzGc9tYhwORI13oWBm4c4Wp/QYAgIix&#10;Y5ZR7NgNBoN53fUuIkUOV3CIHJwJHdbnoIyF/QUAgIRXdqyKNTBSr7mxGgwG04DPZRN4yszYNiJy&#10;cD5yDK3PwQUr+woAAA0Fj3FxRcU6wlUe+yIcLGIt4FlcnbKpGWxWFhgVObgudFiIlJMLjT68eTC0&#10;nwAAkNmVHpMiTtzanLE++nez4r8dNhRsZkePZX3i8S6KsCNsiBzUCB1TA3oEDgAAAJGjK6HDHVc4&#10;vpOK+X4AAAAih9CBwAEAAIDIkUPomBvoCxwAAACIHF0JHSsDfoEDAAAAkcMVHQgcAAAAiBzW6EDg&#10;AAAAEDkQOrj+NrECBwAAgMjRq9AxKc74CwPdChxD2zcAAIDI0cfQMX5482AnDnTCSuAAAAAQOfoe&#10;OobFFQBCQXstbMsAAAAiB3+OHW4x284FRqe2XwAAAJGDb4aOmXU6LDAKAACAyNGldTpMX8nb0vob&#10;AAAAIgflY8dSTDA9BQAAAJGjK6Fj4u4r2Vi7egMAAEDkoF7oGD68ebAQGRqzc/UGAACAyEH4tTo2&#10;ooO1NwAAABA5uhI73IElvo07pwAAAIgcpJ3CInaYmgIAACBy0JnYsRIngsSNmW0KAABA5KD52DEq&#10;YocrO8QNAAAAkQPTWHpkK24AAACIHLQneMyKwbyo8WerhzcPJrYPAAAAkYN2xo5xz6ey7B7ePJi7&#10;FSwAAIDIQfeu7lj3JGws3QYWAABA5KAfa3dMO3aFx1bYAAAAEDkQPcbFgqWbll2tsSquThl5HwEA&#10;AEQOuC96TIp1LFYZLV66Ka7UEDUAAAAQOagdPmbFFR/rIjrsIkw5uY0Zi+JvChoAAACIHCSPIMem&#10;Rag4Nr/n34kYAAAAiBwAAACAyAEAAAAgcgAAAACIHAAAAAAiBwAAAIDIAQAAAIgcAAAAACIHAAAA&#10;gMgBAAAAIHIAAAAAIgcAAACAyAEAAAAgcgAAAACIHAAAAIDIAQAAACByAAAAAIgcAAAAACIHAAAA&#10;IHIAAAAAiBwAAAAAIgcAAACAyAEAAAAgcgAAAAAiBwAAAIDIAQAAACByAAAAAIgcAAAAgMgBAAAA&#10;IHIAAAAAiBwAAAAAIgcAAAAgcgAAAACIHAAAAAAiBwAAAIDIAQAAAIgcAAAAACIHAAAAgMgBAAAA&#10;IHIAAAAAeBEAAAAAkQMAAABA5AAAAAAQOQAAAABEDgAAAEDkAAAAABA5AAAAAEQOAAAAAJEDAAAA&#10;EDkAAAAARA4AAAAAkQMAAABA5AAAAABEDgAAAACRAwAAAEDkAAAAABA5AAAAAJEDAAAAQOQAAAAA&#10;EDkAAAAARA4AAAAAkQMAAAAQOQAAAABEDgAAAACRAwAAAEDkAAAAAEQOAAAAAJEDAAAAQOQAAAAA&#10;EDkAAAAAkQMAAABA5AAAAAAQOQAAAABEDgAAAEDkAAAAABA5AAAAAEQOAAAAAJEDAAAAQOQAAAAA&#10;RA4AAAAAkQMAAABA5AAAAAAQOQAAAICO+v8DAAb1ZpTS9oQcAAAAAElFTkSuQmCCUEsDBBQABgAI&#10;AAAAIQB2lyJ24AAAAAoBAAAPAAAAZHJzL2Rvd25yZXYueG1sTI9BS8NAEIXvgv9hGcFbu0msksZs&#10;SinqqQi2gvS2zU6T0OxsyG6T9N87Pentzbzhzffy1WRbMWDvG0cK4nkEAql0pqFKwff+fZaC8EGT&#10;0a0jVHBFD6vi/i7XmXEjfeGwC5XgEPKZVlCH0GVS+rJGq/3cdUjsnVxvdeCxr6Tp9cjhtpVJFL1I&#10;qxviD7XucFNjed5drIKPUY/rp/ht2J5Pm+th//z5s41RqceHaf0KIuAU/o7hhs/oUDDT0V3IeNEq&#10;4CJBwSxJU1Y3P0kWrI68WywjkEUu/1c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5sYMH2QMAAGIJAAAOAAAAAAAAAAAAAAAAADoCAABkcnMvZTJvRG9jLnht&#10;bFBLAQItAAoAAAAAAAAAIQCt7mozijoAAIo6AAAUAAAAAAAAAAAAAAAAAD8GAABkcnMvbWVkaWEv&#10;aW1hZ2UxLnBuZ1BLAQItABQABgAIAAAAIQB2lyJ24AAAAAoBAAAPAAAAAAAAAAAAAAAAAPtAAABk&#10;cnMvZG93bnJldi54bWxQSwECLQAUAAYACAAAACEAqiYOvrwAAAAhAQAAGQAAAAAAAAAAAAAAAAAI&#10;QgAAZHJzL19yZWxzL2Uyb0RvYy54bWwucmVsc1BLBQYAAAAABgAGAHwB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9144;top:6858;width:24631;height:8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LnxQAAANsAAAAPAAAAZHJzL2Rvd25yZXYueG1sRI9Pa8JA&#10;FMTvhX6H5RV6KbpJkSrRVUKg0lov/rl4e2SfSWj27ZJdTfz2rlDocZiZ3zCL1WBacaXON5YVpOME&#10;BHFpdcOVguPhczQD4QOyxtYyKbiRh9Xy+WmBmbY97+i6D5WIEPYZKqhDcJmUvqzJoB9bRxy9s+0M&#10;hii7SuoO+wg3rXxPkg9psOG4UKOjoqbyd38xCk5Wb9dvfUH9ZuLS/Du//bhZodTry5DPQQQawn/4&#10;r/2lFUxTeHyJP0Au7wAAAP//AwBQSwECLQAUAAYACAAAACEA2+H2y+4AAACFAQAAEwAAAAAAAAAA&#10;AAAAAAAAAAAAW0NvbnRlbnRfVHlwZXNdLnhtbFBLAQItABQABgAIAAAAIQBa9CxbvwAAABUBAAAL&#10;AAAAAAAAAAAAAAAAAB8BAABfcmVscy8ucmVsc1BLAQItABQABgAIAAAAIQBT2dLnxQAAANsAAAAP&#10;AAAAAAAAAAAAAAAAAAcCAABkcnMvZG93bnJldi54bWxQSwUGAAAAAAMAAwC3AAAA+QIAAAAA&#10;">
                <v:imagedata r:id="rId2" o:title="" cropleft="3791f"/>
              </v:shape>
              <v:rect id="Rectangle 72" o:spid="_x0000_s1028" style="position:absolute;width:77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4ab1e4 [3204]" stroked="f" strokeweight="1pt"/>
              <w10:wrap anchorx="page" anchory="margin"/>
            </v:group>
          </w:pict>
        </mc:Fallback>
      </mc:AlternateContent>
    </w:r>
  </w:p>
  <w:p w14:paraId="012358F1" w14:textId="4CD2BE96" w:rsidR="0041383B" w:rsidRPr="00D73B3A" w:rsidRDefault="0041383B" w:rsidP="00D73B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CC66" w14:textId="7D472882" w:rsidR="0041383B" w:rsidRPr="007B24A9" w:rsidRDefault="0041383B" w:rsidP="007B24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35F6" w14:textId="2D4F5724" w:rsidR="0041383B" w:rsidRDefault="00413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8E01" w14:textId="77777777" w:rsidR="0041383B" w:rsidRPr="007B24A9" w:rsidRDefault="0041383B" w:rsidP="007B24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DE75" w14:textId="16C7C57E" w:rsidR="0041383B" w:rsidRDefault="00A80D9B">
    <w:pPr>
      <w:pStyle w:val="Header"/>
    </w:pPr>
    <w:r>
      <w:rPr>
        <w:noProof/>
        <w:color w:val="2B579A"/>
        <w:shd w:val="clear" w:color="auto" w:fill="E6E6E6"/>
      </w:rPr>
      <mc:AlternateContent>
        <mc:Choice Requires="wps">
          <w:drawing>
            <wp:anchor distT="0" distB="0" distL="114300" distR="114300" simplePos="0" relativeHeight="251658240" behindDoc="0" locked="1" layoutInCell="1" allowOverlap="0" wp14:anchorId="08F028F3" wp14:editId="070AD640">
              <wp:simplePos x="0" y="0"/>
              <wp:positionH relativeFrom="page">
                <wp:align>right</wp:align>
              </wp:positionH>
              <wp:positionV relativeFrom="page">
                <wp:posOffset>9525</wp:posOffset>
              </wp:positionV>
              <wp:extent cx="10048875" cy="457200"/>
              <wp:effectExtent l="0" t="0" r="9525" b="0"/>
              <wp:wrapNone/>
              <wp:docPr id="15" name="Rectangle 15"/>
              <wp:cNvGraphicFramePr/>
              <a:graphic xmlns:a="http://schemas.openxmlformats.org/drawingml/2006/main">
                <a:graphicData uri="http://schemas.microsoft.com/office/word/2010/wordprocessingShape">
                  <wps:wsp>
                    <wps:cNvSpPr/>
                    <wps:spPr>
                      <a:xfrm>
                        <a:off x="0" y="0"/>
                        <a:ext cx="10048875"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0723" id="Rectangle 15" o:spid="_x0000_s1026" style="position:absolute;margin-left:740.05pt;margin-top:.75pt;width:791.25pt;height:3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JxiQIAAIsFAAAOAAAAZHJzL2Uyb0RvYy54bWysVNtOGzEQfa/Uf7D8XnY3CoVGbFAURFUJ&#10;AQIqno3Xzq7k9bhjJ5v06zv2XqCAWqlqHja+zJyZOT4zZ+f71rCdQt+ALXlxlHOmrISqsZuSf3+4&#10;/HTKmQ/CVsKAVSU/KM/Plx8/nHVuoWZQg6kUMgKxftG5ktchuEWWeVmrVvgjcMrSpQZsRaAtbrIK&#10;RUforclmef456wArhyCV93R60V/yZcLXWslwo7VXgZmSU24hfTF9n+I3W56JxQaFqxs5pCH+IYtW&#10;NJaCTlAXIgi2xeYNVNtIBA86HEloM9C6kSrVQNUU+atq7mvhVKqFyPFuosn/P1h5vbtF1lT0dsec&#10;WdHSG90Ra8JujGJ0RgR1zi/I7t7d4rDztIzV7jW28Z/qYPtE6mEiVe0Dk3RY5Pn89PSE0CVdzo9P&#10;6Nkiavbs7tCHrwpaFhclR4qfyBS7Kx9609EkRvNgmuqyMSZtolLU2iDbCXpjIaWyoRgC/GZpbLS3&#10;ED170HiSxer6etIqHIyKdsbeKU3EUAWzlEyS5NtAKYdaVKqPf5zTb4w+ppaKTYDRWlP8Cbv4E3af&#10;5WAfXVVS9OSc/9158kiRwYbJuW0s4HsAZqJP9/YjST01kaUnqA4kG4S+n7yTlw093ZXw4VYgNRC1&#10;Gg2FcEMfbaArOQwrzmrAn++dR3vSNd1y1lFDltz/2ApUnJlvlhT/pZjPYwenTZIRZ/jy5unljd22&#10;ayA9FDR+nExLcsZgxqVGaB9pdqxiVLoSVlLsksuA42Yd+kFB00eq1SqZUdc6Ea7svZMRPLIapfmw&#10;fxToBv0Gkv41jM0rFq9k3NtGTwurbQDdJI0/8zrwTR2fhDNMpzhSXu6T1fMMXf4CAAD//wMAUEsD&#10;BBQABgAIAAAAIQActGuY3QAAAAYBAAAPAAAAZHJzL2Rvd25yZXYueG1sTI9BT8MwDIXvSPyHyEjc&#10;WMqqsqk0naZJuyCERMcO3LLGNN0ap2qyrvDr8U5w8/Oz3vtcrCbXiRGH0HpS8DhLQCDV3rTUKPjY&#10;bR+WIELUZHTnCRV8Y4BVeXtT6Nz4C73jWMVGcAiFXCuwMfa5lKG26HSY+R6JvS8/OB1ZDo00g75w&#10;uOvkPEmepNMtcYPVPW4s1qfq7BS8HBdpZcf1+JO+4d76/evndhOUur+b1s8gIk7x7xiu+IwOJTMd&#10;/JlMEJ0CfiTyNgNxNbPlnKeDgkWagSwL+R+//AUAAP//AwBQSwECLQAUAAYACAAAACEAtoM4kv4A&#10;AADhAQAAEwAAAAAAAAAAAAAAAAAAAAAAW0NvbnRlbnRfVHlwZXNdLnhtbFBLAQItABQABgAIAAAA&#10;IQA4/SH/1gAAAJQBAAALAAAAAAAAAAAAAAAAAC8BAABfcmVscy8ucmVsc1BLAQItABQABgAIAAAA&#10;IQBuzyJxiQIAAIsFAAAOAAAAAAAAAAAAAAAAAC4CAABkcnMvZTJvRG9jLnhtbFBLAQItABQABgAI&#10;AAAAIQActGuY3QAAAAYBAAAPAAAAAAAAAAAAAAAAAOMEAABkcnMvZG93bnJldi54bWxQSwUGAAAA&#10;AAQABADzAAAA7QUAAAAA&#10;" o:allowoverlap="f" fillcolor="#4ab1e4 [3204]"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098"/>
    <w:multiLevelType w:val="multilevel"/>
    <w:tmpl w:val="73C0064A"/>
    <w:styleLink w:val="BulletList-List"/>
    <w:lvl w:ilvl="0">
      <w:start w:val="1"/>
      <w:numFmt w:val="bullet"/>
      <w:pStyle w:val="BulletParagraph-1"/>
      <w:lvlText w:val=""/>
      <w:lvlJc w:val="left"/>
      <w:pPr>
        <w:tabs>
          <w:tab w:val="num" w:pos="720"/>
        </w:tabs>
        <w:ind w:left="720" w:hanging="360"/>
      </w:pPr>
      <w:rPr>
        <w:rFonts w:ascii="Symbol" w:hAnsi="Symbol" w:hint="default"/>
        <w:b w:val="0"/>
        <w:i w:val="0"/>
        <w:color w:val="0070C0"/>
        <w:sz w:val="18"/>
        <w:u w:val="none"/>
      </w:rPr>
    </w:lvl>
    <w:lvl w:ilvl="1">
      <w:start w:val="1"/>
      <w:numFmt w:val="bullet"/>
      <w:pStyle w:val="BulletParagraph-2"/>
      <w:lvlText w:val="‒"/>
      <w:lvlJc w:val="left"/>
      <w:pPr>
        <w:tabs>
          <w:tab w:val="num" w:pos="1080"/>
        </w:tabs>
        <w:ind w:left="1080" w:hanging="360"/>
      </w:pPr>
      <w:rPr>
        <w:rFonts w:ascii="Calibri" w:hAnsi="Calibri" w:hint="default"/>
        <w:b w:val="0"/>
        <w:i w:val="0"/>
        <w:color w:val="0070C0"/>
        <w:sz w:val="22"/>
        <w:u w:val="none"/>
      </w:rPr>
    </w:lvl>
    <w:lvl w:ilvl="2">
      <w:start w:val="1"/>
      <w:numFmt w:val="bullet"/>
      <w:pStyle w:val="BulletParagraph-3"/>
      <w:lvlText w:val="▫"/>
      <w:lvlJc w:val="left"/>
      <w:pPr>
        <w:tabs>
          <w:tab w:val="num" w:pos="1368"/>
        </w:tabs>
        <w:ind w:left="1368" w:hanging="288"/>
      </w:pPr>
      <w:rPr>
        <w:rFonts w:ascii="Calibri" w:hAnsi="Calibri" w:hint="default"/>
        <w:b w:val="0"/>
        <w:i w:val="0"/>
        <w:color w:val="0070C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80C4B"/>
    <w:multiLevelType w:val="hybridMultilevel"/>
    <w:tmpl w:val="73C0064A"/>
    <w:numStyleLink w:val="BulletList-List"/>
  </w:abstractNum>
  <w:abstractNum w:abstractNumId="2" w15:restartNumberingAfterBreak="0">
    <w:nsid w:val="08D91FB4"/>
    <w:multiLevelType w:val="hybridMultilevel"/>
    <w:tmpl w:val="AC084D12"/>
    <w:lvl w:ilvl="0" w:tplc="05EEC7B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54A4D"/>
    <w:multiLevelType w:val="multilevel"/>
    <w:tmpl w:val="4E0CAAA4"/>
    <w:lvl w:ilvl="0">
      <w:start w:val="1"/>
      <w:numFmt w:val="bullet"/>
      <w:lvlText w:val=""/>
      <w:lvlJc w:val="left"/>
      <w:pPr>
        <w:tabs>
          <w:tab w:val="num" w:pos="720"/>
        </w:tabs>
        <w:ind w:left="720" w:hanging="360"/>
      </w:pPr>
      <w:rPr>
        <w:rFonts w:ascii="Symbol" w:hAnsi="Symbol" w:hint="default"/>
        <w:b w:val="0"/>
        <w:i w:val="0"/>
        <w:color w:val="0070C0"/>
        <w:sz w:val="18"/>
        <w:u w:val="none"/>
      </w:rPr>
    </w:lvl>
    <w:lvl w:ilvl="1">
      <w:start w:val="1"/>
      <w:numFmt w:val="bullet"/>
      <w:pStyle w:val="BulletList-2"/>
      <w:lvlText w:val=""/>
      <w:lvlJc w:val="left"/>
      <w:pPr>
        <w:tabs>
          <w:tab w:val="num" w:pos="1080"/>
        </w:tabs>
        <w:ind w:left="1080" w:hanging="360"/>
      </w:pPr>
      <w:rPr>
        <w:rFonts w:ascii="Symbol" w:hAnsi="Symbol" w:hint="default"/>
        <w:b w:val="0"/>
        <w:i w:val="0"/>
        <w:color w:val="0070C0"/>
        <w:sz w:val="22"/>
        <w:u w:val="none"/>
      </w:rPr>
    </w:lvl>
    <w:lvl w:ilvl="2">
      <w:start w:val="1"/>
      <w:numFmt w:val="bullet"/>
      <w:lvlText w:val="▫"/>
      <w:lvlJc w:val="left"/>
      <w:pPr>
        <w:tabs>
          <w:tab w:val="num" w:pos="1368"/>
        </w:tabs>
        <w:ind w:left="1368" w:hanging="288"/>
      </w:pPr>
      <w:rPr>
        <w:rFonts w:ascii="Calibri" w:hAnsi="Calibri" w:hint="default"/>
        <w:b w:val="0"/>
        <w:i w:val="0"/>
        <w:color w:val="0070C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A00A81"/>
    <w:multiLevelType w:val="hybridMultilevel"/>
    <w:tmpl w:val="5B868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E14A8"/>
    <w:multiLevelType w:val="multilevel"/>
    <w:tmpl w:val="CAB4FF28"/>
    <w:numStyleLink w:val="BulletParagraph-List"/>
  </w:abstractNum>
  <w:abstractNum w:abstractNumId="6" w15:restartNumberingAfterBreak="0">
    <w:nsid w:val="2F383EE6"/>
    <w:multiLevelType w:val="hybridMultilevel"/>
    <w:tmpl w:val="CAB4FF28"/>
    <w:styleLink w:val="BulletParagraph-List"/>
    <w:lvl w:ilvl="0" w:tplc="15EC3DF8">
      <w:start w:val="1"/>
      <w:numFmt w:val="none"/>
      <w:pStyle w:val="Heading1"/>
      <w:suff w:val="nothing"/>
      <w:lvlText w:val=""/>
      <w:lvlJc w:val="left"/>
      <w:pPr>
        <w:ind w:left="0" w:firstLine="0"/>
      </w:pPr>
      <w:rPr>
        <w:rFonts w:ascii="Calibri" w:hAnsi="Calibri" w:hint="default"/>
        <w:b w:val="0"/>
        <w:i w:val="0"/>
        <w:color w:val="0070C0"/>
        <w:sz w:val="28"/>
        <w:u w:val="none"/>
      </w:rPr>
    </w:lvl>
    <w:lvl w:ilvl="1" w:tplc="E18C6F5C">
      <w:start w:val="1"/>
      <w:numFmt w:val="none"/>
      <w:suff w:val="nothing"/>
      <w:lvlText w:val=""/>
      <w:lvlJc w:val="left"/>
      <w:pPr>
        <w:ind w:left="0" w:firstLine="0"/>
      </w:pPr>
      <w:rPr>
        <w:rFonts w:ascii="Calibri" w:hAnsi="Calibri" w:hint="default"/>
        <w:b/>
        <w:i w:val="0"/>
        <w:color w:val="515151" w:themeColor="text1"/>
        <w:sz w:val="22"/>
        <w:u w:val="none"/>
      </w:rPr>
    </w:lvl>
    <w:lvl w:ilvl="2" w:tplc="8F94A9A8">
      <w:start w:val="1"/>
      <w:numFmt w:val="none"/>
      <w:suff w:val="nothing"/>
      <w:lvlText w:val=""/>
      <w:lvlJc w:val="left"/>
      <w:pPr>
        <w:ind w:left="0" w:firstLine="0"/>
      </w:pPr>
      <w:rPr>
        <w:rFonts w:ascii="Calibri" w:hAnsi="Calibri" w:hint="default"/>
        <w:b w:val="0"/>
        <w:i w:val="0"/>
        <w:color w:val="515151" w:themeColor="text1"/>
        <w:sz w:val="22"/>
        <w:u w:val="none"/>
      </w:rPr>
    </w:lvl>
    <w:lvl w:ilvl="3" w:tplc="1C4AC392">
      <w:start w:val="1"/>
      <w:numFmt w:val="none"/>
      <w:pStyle w:val="Heading4"/>
      <w:suff w:val="nothing"/>
      <w:lvlText w:val="%4"/>
      <w:lvlJc w:val="left"/>
      <w:pPr>
        <w:ind w:left="0" w:firstLine="0"/>
      </w:pPr>
      <w:rPr>
        <w:rFonts w:hint="default"/>
        <w:b w:val="0"/>
        <w:i w:val="0"/>
        <w:color w:val="0070C0"/>
        <w:sz w:val="22"/>
        <w:u w:val="none"/>
      </w:rPr>
    </w:lvl>
    <w:lvl w:ilvl="4" w:tplc="4F1086EE">
      <w:start w:val="1"/>
      <w:numFmt w:val="decimal"/>
      <w:pStyle w:val="Heading5"/>
      <w:lvlText w:val="%5."/>
      <w:lvlJc w:val="left"/>
      <w:pPr>
        <w:tabs>
          <w:tab w:val="num" w:pos="360"/>
        </w:tabs>
        <w:ind w:left="360" w:hanging="360"/>
      </w:pPr>
      <w:rPr>
        <w:rFonts w:ascii="Calibri" w:hAnsi="Calibri" w:hint="default"/>
        <w:b w:val="0"/>
        <w:i w:val="0"/>
        <w:color w:val="0070C0"/>
        <w:sz w:val="22"/>
        <w:u w:val="none"/>
      </w:rPr>
    </w:lvl>
    <w:lvl w:ilvl="5" w:tplc="E7263B22">
      <w:start w:val="1"/>
      <w:numFmt w:val="bullet"/>
      <w:pStyle w:val="Heading6"/>
      <w:lvlText w:val=""/>
      <w:lvlJc w:val="left"/>
      <w:pPr>
        <w:tabs>
          <w:tab w:val="num" w:pos="360"/>
        </w:tabs>
        <w:ind w:left="360" w:hanging="360"/>
      </w:pPr>
      <w:rPr>
        <w:rFonts w:ascii="Symbol" w:hAnsi="Symbol" w:hint="default"/>
        <w:b w:val="0"/>
        <w:i w:val="0"/>
        <w:color w:val="0070C0"/>
        <w:sz w:val="18"/>
        <w:u w:val="none"/>
      </w:rPr>
    </w:lvl>
    <w:lvl w:ilvl="6" w:tplc="E0885332">
      <w:start w:val="1"/>
      <w:numFmt w:val="upperLetter"/>
      <w:pStyle w:val="Heading7"/>
      <w:lvlText w:val="%7."/>
      <w:lvlJc w:val="left"/>
      <w:pPr>
        <w:tabs>
          <w:tab w:val="num" w:pos="720"/>
        </w:tabs>
        <w:ind w:left="720" w:hanging="360"/>
      </w:pPr>
      <w:rPr>
        <w:rFonts w:ascii="Calibri" w:hAnsi="Calibri" w:hint="default"/>
        <w:b w:val="0"/>
        <w:i w:val="0"/>
        <w:color w:val="0070C0"/>
        <w:sz w:val="22"/>
        <w:u w:val="none"/>
      </w:rPr>
    </w:lvl>
    <w:lvl w:ilvl="7" w:tplc="1B0AACD6">
      <w:start w:val="1"/>
      <w:numFmt w:val="bullet"/>
      <w:pStyle w:val="Heading8"/>
      <w:lvlText w:val="‒"/>
      <w:lvlJc w:val="left"/>
      <w:pPr>
        <w:tabs>
          <w:tab w:val="num" w:pos="720"/>
        </w:tabs>
        <w:ind w:left="720" w:hanging="360"/>
      </w:pPr>
      <w:rPr>
        <w:rFonts w:ascii="Calibri" w:hAnsi="Calibri" w:hint="default"/>
        <w:b w:val="0"/>
        <w:i w:val="0"/>
        <w:color w:val="0070C0"/>
        <w:sz w:val="22"/>
        <w:u w:val="none"/>
      </w:rPr>
    </w:lvl>
    <w:lvl w:ilvl="8" w:tplc="09BA8B24">
      <w:start w:val="1"/>
      <w:numFmt w:val="bullet"/>
      <w:pStyle w:val="Heading9"/>
      <w:lvlText w:val="▫"/>
      <w:lvlJc w:val="left"/>
      <w:pPr>
        <w:tabs>
          <w:tab w:val="num" w:pos="1008"/>
        </w:tabs>
        <w:ind w:left="1008" w:hanging="288"/>
      </w:pPr>
      <w:rPr>
        <w:rFonts w:ascii="Calibri" w:hAnsi="Calibri" w:hint="default"/>
        <w:color w:val="0070C0"/>
      </w:rPr>
    </w:lvl>
  </w:abstractNum>
  <w:abstractNum w:abstractNumId="7" w15:restartNumberingAfterBreak="0">
    <w:nsid w:val="342E7967"/>
    <w:multiLevelType w:val="hybridMultilevel"/>
    <w:tmpl w:val="83AAAF6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D72D7F"/>
    <w:multiLevelType w:val="multilevel"/>
    <w:tmpl w:val="7F36DBDC"/>
    <w:numStyleLink w:val="HeadingNum-List"/>
  </w:abstractNum>
  <w:abstractNum w:abstractNumId="9" w15:restartNumberingAfterBreak="0">
    <w:nsid w:val="3D622517"/>
    <w:multiLevelType w:val="hybridMultilevel"/>
    <w:tmpl w:val="80745FC2"/>
    <w:lvl w:ilvl="0" w:tplc="F7F87E1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0236"/>
    <w:multiLevelType w:val="multilevel"/>
    <w:tmpl w:val="E5B01E34"/>
    <w:lvl w:ilvl="0">
      <w:start w:val="1"/>
      <w:numFmt w:val="bullet"/>
      <w:lvlText w:val=""/>
      <w:lvlJc w:val="left"/>
      <w:pPr>
        <w:tabs>
          <w:tab w:val="num" w:pos="720"/>
        </w:tabs>
        <w:ind w:left="720" w:hanging="360"/>
      </w:pPr>
      <w:rPr>
        <w:rFonts w:ascii="Symbol" w:hAnsi="Symbol" w:hint="default"/>
        <w:b w:val="0"/>
        <w:i w:val="0"/>
        <w:color w:val="0070C0"/>
        <w:sz w:val="18"/>
        <w:u w:val="none"/>
      </w:rPr>
    </w:lvl>
    <w:lvl w:ilvl="1">
      <w:start w:val="1"/>
      <w:numFmt w:val="bullet"/>
      <w:lvlText w:val=""/>
      <w:lvlJc w:val="left"/>
      <w:pPr>
        <w:tabs>
          <w:tab w:val="num" w:pos="1080"/>
        </w:tabs>
        <w:ind w:left="1080" w:hanging="360"/>
      </w:pPr>
      <w:rPr>
        <w:rFonts w:ascii="Symbol" w:hAnsi="Symbol" w:hint="default"/>
        <w:b w:val="0"/>
        <w:i w:val="0"/>
        <w:color w:val="0070C0"/>
        <w:sz w:val="22"/>
        <w:u w:val="none"/>
      </w:rPr>
    </w:lvl>
    <w:lvl w:ilvl="2">
      <w:start w:val="1"/>
      <w:numFmt w:val="bullet"/>
      <w:lvlText w:val="▫"/>
      <w:lvlJc w:val="left"/>
      <w:pPr>
        <w:tabs>
          <w:tab w:val="num" w:pos="1368"/>
        </w:tabs>
        <w:ind w:left="1368" w:hanging="288"/>
      </w:pPr>
      <w:rPr>
        <w:rFonts w:ascii="Calibri" w:hAnsi="Calibri" w:hint="default"/>
        <w:b w:val="0"/>
        <w:i w:val="0"/>
        <w:color w:val="0070C0"/>
        <w:sz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2044BC"/>
    <w:multiLevelType w:val="hybridMultilevel"/>
    <w:tmpl w:val="8B9C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17B5"/>
    <w:multiLevelType w:val="hybridMultilevel"/>
    <w:tmpl w:val="7F36DBDC"/>
    <w:styleLink w:val="HeadingNum-List"/>
    <w:lvl w:ilvl="0" w:tplc="1938C1C8">
      <w:start w:val="1"/>
      <w:numFmt w:val="bullet"/>
      <w:lvlText w:val=""/>
      <w:lvlJc w:val="left"/>
      <w:pPr>
        <w:ind w:left="720" w:hanging="360"/>
      </w:pPr>
      <w:rPr>
        <w:rFonts w:ascii="Symbol" w:hAnsi="Symbol" w:hint="default"/>
      </w:rPr>
    </w:lvl>
    <w:lvl w:ilvl="1" w:tplc="B3B8122A">
      <w:start w:val="1"/>
      <w:numFmt w:val="bullet"/>
      <w:lvlText w:val="o"/>
      <w:lvlJc w:val="left"/>
      <w:pPr>
        <w:ind w:left="1440" w:hanging="360"/>
      </w:pPr>
      <w:rPr>
        <w:rFonts w:ascii="Courier New" w:hAnsi="Courier New" w:hint="default"/>
      </w:rPr>
    </w:lvl>
    <w:lvl w:ilvl="2" w:tplc="2C3C5CEE">
      <w:start w:val="1"/>
      <w:numFmt w:val="bullet"/>
      <w:lvlText w:val=""/>
      <w:lvlJc w:val="left"/>
      <w:pPr>
        <w:ind w:left="2160" w:hanging="360"/>
      </w:pPr>
      <w:rPr>
        <w:rFonts w:ascii="Wingdings" w:hAnsi="Wingdings" w:hint="default"/>
      </w:rPr>
    </w:lvl>
    <w:lvl w:ilvl="3" w:tplc="71E2785E">
      <w:start w:val="1"/>
      <w:numFmt w:val="bullet"/>
      <w:lvlText w:val=""/>
      <w:lvlJc w:val="left"/>
      <w:pPr>
        <w:ind w:left="2880" w:hanging="360"/>
      </w:pPr>
      <w:rPr>
        <w:rFonts w:ascii="Symbol" w:hAnsi="Symbol" w:hint="default"/>
      </w:rPr>
    </w:lvl>
    <w:lvl w:ilvl="4" w:tplc="401CC466">
      <w:start w:val="1"/>
      <w:numFmt w:val="bullet"/>
      <w:lvlText w:val="o"/>
      <w:lvlJc w:val="left"/>
      <w:pPr>
        <w:ind w:left="3600" w:hanging="360"/>
      </w:pPr>
      <w:rPr>
        <w:rFonts w:ascii="Courier New" w:hAnsi="Courier New" w:hint="default"/>
      </w:rPr>
    </w:lvl>
    <w:lvl w:ilvl="5" w:tplc="07B6375C">
      <w:start w:val="1"/>
      <w:numFmt w:val="bullet"/>
      <w:lvlText w:val=""/>
      <w:lvlJc w:val="left"/>
      <w:pPr>
        <w:ind w:left="4320" w:hanging="360"/>
      </w:pPr>
      <w:rPr>
        <w:rFonts w:ascii="Wingdings" w:hAnsi="Wingdings" w:hint="default"/>
      </w:rPr>
    </w:lvl>
    <w:lvl w:ilvl="6" w:tplc="57282B60">
      <w:start w:val="1"/>
      <w:numFmt w:val="bullet"/>
      <w:lvlText w:val=""/>
      <w:lvlJc w:val="left"/>
      <w:pPr>
        <w:ind w:left="5040" w:hanging="360"/>
      </w:pPr>
      <w:rPr>
        <w:rFonts w:ascii="Symbol" w:hAnsi="Symbol" w:hint="default"/>
      </w:rPr>
    </w:lvl>
    <w:lvl w:ilvl="7" w:tplc="4ECEA36A">
      <w:start w:val="1"/>
      <w:numFmt w:val="bullet"/>
      <w:lvlText w:val="o"/>
      <w:lvlJc w:val="left"/>
      <w:pPr>
        <w:ind w:left="5760" w:hanging="360"/>
      </w:pPr>
      <w:rPr>
        <w:rFonts w:ascii="Courier New" w:hAnsi="Courier New" w:hint="default"/>
      </w:rPr>
    </w:lvl>
    <w:lvl w:ilvl="8" w:tplc="CB0ADD86">
      <w:start w:val="1"/>
      <w:numFmt w:val="bullet"/>
      <w:lvlText w:val=""/>
      <w:lvlJc w:val="left"/>
      <w:pPr>
        <w:ind w:left="6480" w:hanging="360"/>
      </w:pPr>
      <w:rPr>
        <w:rFonts w:ascii="Wingdings" w:hAnsi="Wingdings" w:hint="default"/>
      </w:rPr>
    </w:lvl>
  </w:abstractNum>
  <w:abstractNum w:abstractNumId="13" w15:restartNumberingAfterBreak="0">
    <w:nsid w:val="5E0F27BA"/>
    <w:multiLevelType w:val="hybridMultilevel"/>
    <w:tmpl w:val="ACBE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
  </w:num>
  <w:num w:numId="5">
    <w:abstractNumId w:val="5"/>
  </w:num>
  <w:num w:numId="6">
    <w:abstractNumId w:val="7"/>
  </w:num>
  <w:num w:numId="7">
    <w:abstractNumId w:val="9"/>
  </w:num>
  <w:num w:numId="8">
    <w:abstractNumId w:val="8"/>
    <w:lvlOverride w:ilvl="0">
      <w:lvl w:ilvl="0">
        <w:numFmt w:val="decimal"/>
        <w:lvlText w:val=""/>
        <w:lvlJc w:val="left"/>
      </w:lvl>
    </w:lvlOverride>
  </w:num>
  <w:num w:numId="9">
    <w:abstractNumId w:val="13"/>
  </w:num>
  <w:num w:numId="10">
    <w:abstractNumId w:val="8"/>
    <w:lvlOverride w:ilvl="0">
      <w:lvl w:ilvl="0">
        <w:numFmt w:val="decimal"/>
        <w:lvlText w:val=""/>
        <w:lvlJc w:val="left"/>
      </w:lvl>
    </w:lvlOverride>
  </w:num>
  <w:num w:numId="11">
    <w:abstractNumId w:val="2"/>
  </w:num>
  <w:num w:numId="12">
    <w:abstractNumId w:val="10"/>
  </w:num>
  <w:num w:numId="13">
    <w:abstractNumId w:val="2"/>
    <w:lvlOverride w:ilvl="0">
      <w:startOverride w:val="1"/>
    </w:lvlOverride>
  </w:num>
  <w:num w:numId="14">
    <w:abstractNumId w:val="2"/>
    <w:lvlOverride w:ilvl="0">
      <w:startOverride w:val="1"/>
    </w:lvlOverride>
  </w:num>
  <w:num w:numId="15">
    <w:abstractNumId w:val="3"/>
  </w:num>
  <w:num w:numId="16">
    <w:abstractNumId w:val="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D2"/>
    <w:rsid w:val="00000EC7"/>
    <w:rsid w:val="0000285F"/>
    <w:rsid w:val="000042C8"/>
    <w:rsid w:val="00006465"/>
    <w:rsid w:val="000077C4"/>
    <w:rsid w:val="00007980"/>
    <w:rsid w:val="00011598"/>
    <w:rsid w:val="00012264"/>
    <w:rsid w:val="0001279E"/>
    <w:rsid w:val="00013BC9"/>
    <w:rsid w:val="000158D3"/>
    <w:rsid w:val="000174C9"/>
    <w:rsid w:val="000202F7"/>
    <w:rsid w:val="00020837"/>
    <w:rsid w:val="00023890"/>
    <w:rsid w:val="00023E69"/>
    <w:rsid w:val="00024295"/>
    <w:rsid w:val="00031605"/>
    <w:rsid w:val="000320C9"/>
    <w:rsid w:val="00032E20"/>
    <w:rsid w:val="0003369B"/>
    <w:rsid w:val="00033CA6"/>
    <w:rsid w:val="00034057"/>
    <w:rsid w:val="000350FA"/>
    <w:rsid w:val="000375E8"/>
    <w:rsid w:val="000403A3"/>
    <w:rsid w:val="000413C9"/>
    <w:rsid w:val="000450A6"/>
    <w:rsid w:val="000451B4"/>
    <w:rsid w:val="00045C2D"/>
    <w:rsid w:val="00045F7A"/>
    <w:rsid w:val="0004696C"/>
    <w:rsid w:val="000504E5"/>
    <w:rsid w:val="00052863"/>
    <w:rsid w:val="000528E6"/>
    <w:rsid w:val="000531B2"/>
    <w:rsid w:val="00056F49"/>
    <w:rsid w:val="00060241"/>
    <w:rsid w:val="00060AF1"/>
    <w:rsid w:val="00060CB7"/>
    <w:rsid w:val="00060E67"/>
    <w:rsid w:val="00061B5F"/>
    <w:rsid w:val="00061BD6"/>
    <w:rsid w:val="00062321"/>
    <w:rsid w:val="00063403"/>
    <w:rsid w:val="000637C0"/>
    <w:rsid w:val="00063D1B"/>
    <w:rsid w:val="00064BBB"/>
    <w:rsid w:val="00065C19"/>
    <w:rsid w:val="00065F01"/>
    <w:rsid w:val="00066E63"/>
    <w:rsid w:val="0006766E"/>
    <w:rsid w:val="000679FB"/>
    <w:rsid w:val="00070655"/>
    <w:rsid w:val="00071CAD"/>
    <w:rsid w:val="00072000"/>
    <w:rsid w:val="0007307D"/>
    <w:rsid w:val="00074220"/>
    <w:rsid w:val="0007470B"/>
    <w:rsid w:val="00075538"/>
    <w:rsid w:val="000802DB"/>
    <w:rsid w:val="00080E28"/>
    <w:rsid w:val="00081D43"/>
    <w:rsid w:val="00082079"/>
    <w:rsid w:val="000841AE"/>
    <w:rsid w:val="00085C24"/>
    <w:rsid w:val="00086F54"/>
    <w:rsid w:val="00087FC6"/>
    <w:rsid w:val="000908F3"/>
    <w:rsid w:val="00091567"/>
    <w:rsid w:val="00092C11"/>
    <w:rsid w:val="000961CD"/>
    <w:rsid w:val="000A196E"/>
    <w:rsid w:val="000A4910"/>
    <w:rsid w:val="000B0B7E"/>
    <w:rsid w:val="000B18B4"/>
    <w:rsid w:val="000B1B9B"/>
    <w:rsid w:val="000B25B7"/>
    <w:rsid w:val="000B28D9"/>
    <w:rsid w:val="000B2CA1"/>
    <w:rsid w:val="000B4036"/>
    <w:rsid w:val="000B4074"/>
    <w:rsid w:val="000B5803"/>
    <w:rsid w:val="000B603F"/>
    <w:rsid w:val="000B649A"/>
    <w:rsid w:val="000C10DE"/>
    <w:rsid w:val="000C27F2"/>
    <w:rsid w:val="000C2CF5"/>
    <w:rsid w:val="000C7F44"/>
    <w:rsid w:val="000D1173"/>
    <w:rsid w:val="000D1E32"/>
    <w:rsid w:val="000D724F"/>
    <w:rsid w:val="000E17DE"/>
    <w:rsid w:val="000E18D0"/>
    <w:rsid w:val="000E3CAF"/>
    <w:rsid w:val="000E4A0C"/>
    <w:rsid w:val="000E642B"/>
    <w:rsid w:val="000F0721"/>
    <w:rsid w:val="000F175B"/>
    <w:rsid w:val="000F1E93"/>
    <w:rsid w:val="000F57F0"/>
    <w:rsid w:val="000F5FB4"/>
    <w:rsid w:val="000F6267"/>
    <w:rsid w:val="000F638F"/>
    <w:rsid w:val="000F75C3"/>
    <w:rsid w:val="00100C71"/>
    <w:rsid w:val="0010148C"/>
    <w:rsid w:val="00101628"/>
    <w:rsid w:val="00101F5A"/>
    <w:rsid w:val="001032AA"/>
    <w:rsid w:val="00104A78"/>
    <w:rsid w:val="0010506B"/>
    <w:rsid w:val="00105B60"/>
    <w:rsid w:val="00107A35"/>
    <w:rsid w:val="00111D7E"/>
    <w:rsid w:val="00112176"/>
    <w:rsid w:val="0011486C"/>
    <w:rsid w:val="00114A01"/>
    <w:rsid w:val="001168CA"/>
    <w:rsid w:val="00117752"/>
    <w:rsid w:val="0012077A"/>
    <w:rsid w:val="00122554"/>
    <w:rsid w:val="001252A0"/>
    <w:rsid w:val="001269D9"/>
    <w:rsid w:val="00127E2D"/>
    <w:rsid w:val="00127EF0"/>
    <w:rsid w:val="0013140F"/>
    <w:rsid w:val="001335F0"/>
    <w:rsid w:val="00133E2A"/>
    <w:rsid w:val="00134303"/>
    <w:rsid w:val="00135E4B"/>
    <w:rsid w:val="00137721"/>
    <w:rsid w:val="001401E1"/>
    <w:rsid w:val="00142E21"/>
    <w:rsid w:val="00142E41"/>
    <w:rsid w:val="001436D9"/>
    <w:rsid w:val="00145AF6"/>
    <w:rsid w:val="001476D0"/>
    <w:rsid w:val="001525A5"/>
    <w:rsid w:val="0015389D"/>
    <w:rsid w:val="00154D30"/>
    <w:rsid w:val="00157A45"/>
    <w:rsid w:val="0016161F"/>
    <w:rsid w:val="0016387D"/>
    <w:rsid w:val="00165409"/>
    <w:rsid w:val="00165996"/>
    <w:rsid w:val="0016609B"/>
    <w:rsid w:val="001679FF"/>
    <w:rsid w:val="001733A7"/>
    <w:rsid w:val="00173F04"/>
    <w:rsid w:val="00173FE5"/>
    <w:rsid w:val="00175DB7"/>
    <w:rsid w:val="0017791D"/>
    <w:rsid w:val="001779DE"/>
    <w:rsid w:val="001801FD"/>
    <w:rsid w:val="001814F0"/>
    <w:rsid w:val="00182230"/>
    <w:rsid w:val="00182376"/>
    <w:rsid w:val="00182E4E"/>
    <w:rsid w:val="001839B9"/>
    <w:rsid w:val="00183A3B"/>
    <w:rsid w:val="00183B87"/>
    <w:rsid w:val="00183DB6"/>
    <w:rsid w:val="00184C9D"/>
    <w:rsid w:val="0018510A"/>
    <w:rsid w:val="00185489"/>
    <w:rsid w:val="00185ADA"/>
    <w:rsid w:val="00186C35"/>
    <w:rsid w:val="00191539"/>
    <w:rsid w:val="00192FEF"/>
    <w:rsid w:val="00193059"/>
    <w:rsid w:val="0019316A"/>
    <w:rsid w:val="0019342E"/>
    <w:rsid w:val="0019419C"/>
    <w:rsid w:val="00194B9D"/>
    <w:rsid w:val="00195389"/>
    <w:rsid w:val="0019706B"/>
    <w:rsid w:val="00197921"/>
    <w:rsid w:val="001A1175"/>
    <w:rsid w:val="001A41C7"/>
    <w:rsid w:val="001A53A7"/>
    <w:rsid w:val="001A542A"/>
    <w:rsid w:val="001A54B6"/>
    <w:rsid w:val="001A69DE"/>
    <w:rsid w:val="001A7B5D"/>
    <w:rsid w:val="001B12EE"/>
    <w:rsid w:val="001B1D45"/>
    <w:rsid w:val="001B2F06"/>
    <w:rsid w:val="001B3F43"/>
    <w:rsid w:val="001B4AFD"/>
    <w:rsid w:val="001B5148"/>
    <w:rsid w:val="001B5549"/>
    <w:rsid w:val="001B59D8"/>
    <w:rsid w:val="001B7A4F"/>
    <w:rsid w:val="001C1365"/>
    <w:rsid w:val="001C42AA"/>
    <w:rsid w:val="001C44E4"/>
    <w:rsid w:val="001C6ED1"/>
    <w:rsid w:val="001C7FE1"/>
    <w:rsid w:val="001C7FEF"/>
    <w:rsid w:val="001D1E96"/>
    <w:rsid w:val="001D2006"/>
    <w:rsid w:val="001D5301"/>
    <w:rsid w:val="001D724D"/>
    <w:rsid w:val="001D731E"/>
    <w:rsid w:val="001E24C5"/>
    <w:rsid w:val="001E2CB5"/>
    <w:rsid w:val="001E5C95"/>
    <w:rsid w:val="001E7C60"/>
    <w:rsid w:val="001F0C36"/>
    <w:rsid w:val="001F1F4B"/>
    <w:rsid w:val="001F1F4C"/>
    <w:rsid w:val="001F2001"/>
    <w:rsid w:val="001F24C7"/>
    <w:rsid w:val="001F28E0"/>
    <w:rsid w:val="001F3170"/>
    <w:rsid w:val="001F3D0E"/>
    <w:rsid w:val="001F463F"/>
    <w:rsid w:val="001F4CEF"/>
    <w:rsid w:val="001F70D0"/>
    <w:rsid w:val="001F7AFE"/>
    <w:rsid w:val="00200AF2"/>
    <w:rsid w:val="00200BB7"/>
    <w:rsid w:val="00200E64"/>
    <w:rsid w:val="002014A5"/>
    <w:rsid w:val="00202231"/>
    <w:rsid w:val="00202C2E"/>
    <w:rsid w:val="00204133"/>
    <w:rsid w:val="00204B7D"/>
    <w:rsid w:val="00204D7A"/>
    <w:rsid w:val="00205F94"/>
    <w:rsid w:val="002079CA"/>
    <w:rsid w:val="00210262"/>
    <w:rsid w:val="00212AE4"/>
    <w:rsid w:val="00214172"/>
    <w:rsid w:val="002146FB"/>
    <w:rsid w:val="00216BBB"/>
    <w:rsid w:val="00217909"/>
    <w:rsid w:val="00221056"/>
    <w:rsid w:val="00221D42"/>
    <w:rsid w:val="00224D2F"/>
    <w:rsid w:val="00225B93"/>
    <w:rsid w:val="00226AD3"/>
    <w:rsid w:val="002275FE"/>
    <w:rsid w:val="00230171"/>
    <w:rsid w:val="00231A2C"/>
    <w:rsid w:val="00231D4E"/>
    <w:rsid w:val="002326C4"/>
    <w:rsid w:val="00232854"/>
    <w:rsid w:val="00233385"/>
    <w:rsid w:val="0023498F"/>
    <w:rsid w:val="00235817"/>
    <w:rsid w:val="00237034"/>
    <w:rsid w:val="0024074E"/>
    <w:rsid w:val="0024107B"/>
    <w:rsid w:val="00241C1A"/>
    <w:rsid w:val="002443C1"/>
    <w:rsid w:val="0024471E"/>
    <w:rsid w:val="00244722"/>
    <w:rsid w:val="00251870"/>
    <w:rsid w:val="00251D01"/>
    <w:rsid w:val="0025324D"/>
    <w:rsid w:val="00253805"/>
    <w:rsid w:val="00254755"/>
    <w:rsid w:val="002564FE"/>
    <w:rsid w:val="00256C8B"/>
    <w:rsid w:val="00263041"/>
    <w:rsid w:val="00263822"/>
    <w:rsid w:val="002642D4"/>
    <w:rsid w:val="002650C8"/>
    <w:rsid w:val="002651F1"/>
    <w:rsid w:val="0026547A"/>
    <w:rsid w:val="002658FD"/>
    <w:rsid w:val="0026697F"/>
    <w:rsid w:val="002702DA"/>
    <w:rsid w:val="00271874"/>
    <w:rsid w:val="00274157"/>
    <w:rsid w:val="00275708"/>
    <w:rsid w:val="00275BEF"/>
    <w:rsid w:val="00277D9C"/>
    <w:rsid w:val="002838BC"/>
    <w:rsid w:val="00285F7F"/>
    <w:rsid w:val="002864C3"/>
    <w:rsid w:val="002875A4"/>
    <w:rsid w:val="00291F36"/>
    <w:rsid w:val="00292FD8"/>
    <w:rsid w:val="002930A8"/>
    <w:rsid w:val="00293F60"/>
    <w:rsid w:val="00295D7C"/>
    <w:rsid w:val="00296C98"/>
    <w:rsid w:val="002978F7"/>
    <w:rsid w:val="002A06B2"/>
    <w:rsid w:val="002A0BA1"/>
    <w:rsid w:val="002A0FE6"/>
    <w:rsid w:val="002A2E73"/>
    <w:rsid w:val="002A553A"/>
    <w:rsid w:val="002B019D"/>
    <w:rsid w:val="002B0792"/>
    <w:rsid w:val="002B0C6D"/>
    <w:rsid w:val="002B113A"/>
    <w:rsid w:val="002B2217"/>
    <w:rsid w:val="002B2644"/>
    <w:rsid w:val="002B26AE"/>
    <w:rsid w:val="002B2E11"/>
    <w:rsid w:val="002B3426"/>
    <w:rsid w:val="002B438F"/>
    <w:rsid w:val="002B7391"/>
    <w:rsid w:val="002B7CE2"/>
    <w:rsid w:val="002C017A"/>
    <w:rsid w:val="002C0707"/>
    <w:rsid w:val="002C0F65"/>
    <w:rsid w:val="002C1FF0"/>
    <w:rsid w:val="002C2D45"/>
    <w:rsid w:val="002C4542"/>
    <w:rsid w:val="002C46A3"/>
    <w:rsid w:val="002C5295"/>
    <w:rsid w:val="002C56EF"/>
    <w:rsid w:val="002C573B"/>
    <w:rsid w:val="002C599F"/>
    <w:rsid w:val="002D1236"/>
    <w:rsid w:val="002D12F1"/>
    <w:rsid w:val="002D187B"/>
    <w:rsid w:val="002D3A98"/>
    <w:rsid w:val="002D3B82"/>
    <w:rsid w:val="002D6930"/>
    <w:rsid w:val="002D7B4D"/>
    <w:rsid w:val="002E096F"/>
    <w:rsid w:val="002E1459"/>
    <w:rsid w:val="002E1B19"/>
    <w:rsid w:val="002E2D8C"/>
    <w:rsid w:val="002E452E"/>
    <w:rsid w:val="002E48D2"/>
    <w:rsid w:val="002E505B"/>
    <w:rsid w:val="002E5535"/>
    <w:rsid w:val="002E6E52"/>
    <w:rsid w:val="002E7EBC"/>
    <w:rsid w:val="002F05EC"/>
    <w:rsid w:val="002F0D3D"/>
    <w:rsid w:val="002F2179"/>
    <w:rsid w:val="002F4B8B"/>
    <w:rsid w:val="002F7D61"/>
    <w:rsid w:val="00301215"/>
    <w:rsid w:val="00302055"/>
    <w:rsid w:val="0030438F"/>
    <w:rsid w:val="00304797"/>
    <w:rsid w:val="00310BFD"/>
    <w:rsid w:val="0031119D"/>
    <w:rsid w:val="00311CC1"/>
    <w:rsid w:val="003122C9"/>
    <w:rsid w:val="003131F2"/>
    <w:rsid w:val="0031698F"/>
    <w:rsid w:val="00316DA7"/>
    <w:rsid w:val="0031739F"/>
    <w:rsid w:val="00317B1D"/>
    <w:rsid w:val="00320533"/>
    <w:rsid w:val="00320F3E"/>
    <w:rsid w:val="003233F2"/>
    <w:rsid w:val="00325034"/>
    <w:rsid w:val="00325E29"/>
    <w:rsid w:val="0032677F"/>
    <w:rsid w:val="00326FBF"/>
    <w:rsid w:val="00327825"/>
    <w:rsid w:val="0032786B"/>
    <w:rsid w:val="00327DFD"/>
    <w:rsid w:val="00331963"/>
    <w:rsid w:val="00332CF4"/>
    <w:rsid w:val="003358DE"/>
    <w:rsid w:val="00335DBC"/>
    <w:rsid w:val="00336257"/>
    <w:rsid w:val="00340535"/>
    <w:rsid w:val="00341FDA"/>
    <w:rsid w:val="0034311F"/>
    <w:rsid w:val="00345177"/>
    <w:rsid w:val="00347F4F"/>
    <w:rsid w:val="003502A0"/>
    <w:rsid w:val="003502FF"/>
    <w:rsid w:val="00350F48"/>
    <w:rsid w:val="0035275C"/>
    <w:rsid w:val="00352D31"/>
    <w:rsid w:val="003530D3"/>
    <w:rsid w:val="00353F2A"/>
    <w:rsid w:val="00354101"/>
    <w:rsid w:val="00355B47"/>
    <w:rsid w:val="003562F9"/>
    <w:rsid w:val="00361CD1"/>
    <w:rsid w:val="00363938"/>
    <w:rsid w:val="0036763C"/>
    <w:rsid w:val="00367A5A"/>
    <w:rsid w:val="003705A0"/>
    <w:rsid w:val="00370642"/>
    <w:rsid w:val="00372B6A"/>
    <w:rsid w:val="00373D4B"/>
    <w:rsid w:val="00373E57"/>
    <w:rsid w:val="00373EEE"/>
    <w:rsid w:val="00374DFF"/>
    <w:rsid w:val="00375E22"/>
    <w:rsid w:val="00375E6E"/>
    <w:rsid w:val="0037647C"/>
    <w:rsid w:val="00380DAB"/>
    <w:rsid w:val="0038249C"/>
    <w:rsid w:val="003836FE"/>
    <w:rsid w:val="003839EF"/>
    <w:rsid w:val="003842FB"/>
    <w:rsid w:val="00385658"/>
    <w:rsid w:val="003913FD"/>
    <w:rsid w:val="003916D2"/>
    <w:rsid w:val="003928D3"/>
    <w:rsid w:val="00393B4C"/>
    <w:rsid w:val="00393D0B"/>
    <w:rsid w:val="00394950"/>
    <w:rsid w:val="003959EE"/>
    <w:rsid w:val="00396E1C"/>
    <w:rsid w:val="00396FF6"/>
    <w:rsid w:val="003A101D"/>
    <w:rsid w:val="003A352B"/>
    <w:rsid w:val="003A3EF1"/>
    <w:rsid w:val="003A4103"/>
    <w:rsid w:val="003A41C1"/>
    <w:rsid w:val="003A56B1"/>
    <w:rsid w:val="003A6D0A"/>
    <w:rsid w:val="003A7890"/>
    <w:rsid w:val="003A7BC4"/>
    <w:rsid w:val="003B0124"/>
    <w:rsid w:val="003B0297"/>
    <w:rsid w:val="003B045C"/>
    <w:rsid w:val="003B0C04"/>
    <w:rsid w:val="003B199C"/>
    <w:rsid w:val="003B3C49"/>
    <w:rsid w:val="003B4D32"/>
    <w:rsid w:val="003B4F8B"/>
    <w:rsid w:val="003B5582"/>
    <w:rsid w:val="003C00DB"/>
    <w:rsid w:val="003C10A3"/>
    <w:rsid w:val="003C1144"/>
    <w:rsid w:val="003C5C6E"/>
    <w:rsid w:val="003C6E07"/>
    <w:rsid w:val="003C7A21"/>
    <w:rsid w:val="003D1C49"/>
    <w:rsid w:val="003D1DD0"/>
    <w:rsid w:val="003D3821"/>
    <w:rsid w:val="003D3C13"/>
    <w:rsid w:val="003D4C7F"/>
    <w:rsid w:val="003D5F07"/>
    <w:rsid w:val="003E0A17"/>
    <w:rsid w:val="003E2BA1"/>
    <w:rsid w:val="003E44DB"/>
    <w:rsid w:val="003E66F4"/>
    <w:rsid w:val="003E76FC"/>
    <w:rsid w:val="003E79A5"/>
    <w:rsid w:val="003F1686"/>
    <w:rsid w:val="003F35D7"/>
    <w:rsid w:val="003F3FF9"/>
    <w:rsid w:val="003F507B"/>
    <w:rsid w:val="004009DC"/>
    <w:rsid w:val="00400E36"/>
    <w:rsid w:val="00401171"/>
    <w:rsid w:val="00401B9D"/>
    <w:rsid w:val="00402D1C"/>
    <w:rsid w:val="00404DA5"/>
    <w:rsid w:val="00406A06"/>
    <w:rsid w:val="00407C5C"/>
    <w:rsid w:val="004106C9"/>
    <w:rsid w:val="00413753"/>
    <w:rsid w:val="0041383B"/>
    <w:rsid w:val="00413A85"/>
    <w:rsid w:val="0041545A"/>
    <w:rsid w:val="00416ADB"/>
    <w:rsid w:val="00417C34"/>
    <w:rsid w:val="00417CB9"/>
    <w:rsid w:val="00417F7C"/>
    <w:rsid w:val="004217CC"/>
    <w:rsid w:val="00423726"/>
    <w:rsid w:val="00424941"/>
    <w:rsid w:val="0042593D"/>
    <w:rsid w:val="004270AC"/>
    <w:rsid w:val="00431415"/>
    <w:rsid w:val="00431AC0"/>
    <w:rsid w:val="00433592"/>
    <w:rsid w:val="00433644"/>
    <w:rsid w:val="004340F8"/>
    <w:rsid w:val="00435D24"/>
    <w:rsid w:val="00435E05"/>
    <w:rsid w:val="00435FFF"/>
    <w:rsid w:val="00436749"/>
    <w:rsid w:val="00441F5A"/>
    <w:rsid w:val="00442373"/>
    <w:rsid w:val="00442CAE"/>
    <w:rsid w:val="00442FCC"/>
    <w:rsid w:val="004430E0"/>
    <w:rsid w:val="00444747"/>
    <w:rsid w:val="00444B68"/>
    <w:rsid w:val="00445C8B"/>
    <w:rsid w:val="00452FE9"/>
    <w:rsid w:val="00453D23"/>
    <w:rsid w:val="00453E9A"/>
    <w:rsid w:val="00456272"/>
    <w:rsid w:val="00456AE3"/>
    <w:rsid w:val="00457128"/>
    <w:rsid w:val="00457CF3"/>
    <w:rsid w:val="0046118B"/>
    <w:rsid w:val="004612E0"/>
    <w:rsid w:val="00461457"/>
    <w:rsid w:val="00461789"/>
    <w:rsid w:val="004630CF"/>
    <w:rsid w:val="004630E6"/>
    <w:rsid w:val="00464969"/>
    <w:rsid w:val="00464B08"/>
    <w:rsid w:val="00464E28"/>
    <w:rsid w:val="00467428"/>
    <w:rsid w:val="00474233"/>
    <w:rsid w:val="004748D1"/>
    <w:rsid w:val="00474B7C"/>
    <w:rsid w:val="0048552C"/>
    <w:rsid w:val="00485AC3"/>
    <w:rsid w:val="0048676B"/>
    <w:rsid w:val="00486A75"/>
    <w:rsid w:val="00486B94"/>
    <w:rsid w:val="00487580"/>
    <w:rsid w:val="004879F2"/>
    <w:rsid w:val="004907FD"/>
    <w:rsid w:val="00492462"/>
    <w:rsid w:val="00492A34"/>
    <w:rsid w:val="00494AF3"/>
    <w:rsid w:val="00494E16"/>
    <w:rsid w:val="004959F9"/>
    <w:rsid w:val="00496D19"/>
    <w:rsid w:val="00497941"/>
    <w:rsid w:val="00497F65"/>
    <w:rsid w:val="004A08FC"/>
    <w:rsid w:val="004A22D2"/>
    <w:rsid w:val="004A6378"/>
    <w:rsid w:val="004A750B"/>
    <w:rsid w:val="004A7EA4"/>
    <w:rsid w:val="004B1094"/>
    <w:rsid w:val="004B3599"/>
    <w:rsid w:val="004B5887"/>
    <w:rsid w:val="004B61AA"/>
    <w:rsid w:val="004B6ECC"/>
    <w:rsid w:val="004B71AE"/>
    <w:rsid w:val="004B7242"/>
    <w:rsid w:val="004C004F"/>
    <w:rsid w:val="004C1663"/>
    <w:rsid w:val="004C309D"/>
    <w:rsid w:val="004C4197"/>
    <w:rsid w:val="004C452C"/>
    <w:rsid w:val="004C58F2"/>
    <w:rsid w:val="004C7B40"/>
    <w:rsid w:val="004D03A7"/>
    <w:rsid w:val="004D283E"/>
    <w:rsid w:val="004D3439"/>
    <w:rsid w:val="004D4E48"/>
    <w:rsid w:val="004D5E5E"/>
    <w:rsid w:val="004D6516"/>
    <w:rsid w:val="004E1ED9"/>
    <w:rsid w:val="004E25D3"/>
    <w:rsid w:val="004E44C1"/>
    <w:rsid w:val="004E52C2"/>
    <w:rsid w:val="004E54BC"/>
    <w:rsid w:val="004E5661"/>
    <w:rsid w:val="004E69A3"/>
    <w:rsid w:val="004F0A03"/>
    <w:rsid w:val="004F31C2"/>
    <w:rsid w:val="004F35BA"/>
    <w:rsid w:val="004F3E47"/>
    <w:rsid w:val="004F4429"/>
    <w:rsid w:val="004F4487"/>
    <w:rsid w:val="004F54D2"/>
    <w:rsid w:val="004F5E28"/>
    <w:rsid w:val="004F64F0"/>
    <w:rsid w:val="00500458"/>
    <w:rsid w:val="00504AEC"/>
    <w:rsid w:val="00506059"/>
    <w:rsid w:val="00506D9C"/>
    <w:rsid w:val="005106E0"/>
    <w:rsid w:val="005122F6"/>
    <w:rsid w:val="00513103"/>
    <w:rsid w:val="0051376E"/>
    <w:rsid w:val="005137A8"/>
    <w:rsid w:val="005168ED"/>
    <w:rsid w:val="005229A2"/>
    <w:rsid w:val="00523E00"/>
    <w:rsid w:val="00523F3E"/>
    <w:rsid w:val="00525341"/>
    <w:rsid w:val="005268C8"/>
    <w:rsid w:val="00526AD0"/>
    <w:rsid w:val="00530099"/>
    <w:rsid w:val="00531827"/>
    <w:rsid w:val="00532163"/>
    <w:rsid w:val="00533E12"/>
    <w:rsid w:val="005347C4"/>
    <w:rsid w:val="005360F7"/>
    <w:rsid w:val="00536F30"/>
    <w:rsid w:val="00537186"/>
    <w:rsid w:val="00537FBE"/>
    <w:rsid w:val="0054070B"/>
    <w:rsid w:val="00542896"/>
    <w:rsid w:val="005436BB"/>
    <w:rsid w:val="00543E15"/>
    <w:rsid w:val="00544DA4"/>
    <w:rsid w:val="00546440"/>
    <w:rsid w:val="005503CB"/>
    <w:rsid w:val="0055074E"/>
    <w:rsid w:val="00552187"/>
    <w:rsid w:val="00553743"/>
    <w:rsid w:val="0055580E"/>
    <w:rsid w:val="005564C0"/>
    <w:rsid w:val="00557FAC"/>
    <w:rsid w:val="0056044B"/>
    <w:rsid w:val="00561FBD"/>
    <w:rsid w:val="00562D5E"/>
    <w:rsid w:val="00564A46"/>
    <w:rsid w:val="00564BE4"/>
    <w:rsid w:val="00564D99"/>
    <w:rsid w:val="00566E1B"/>
    <w:rsid w:val="00570D2F"/>
    <w:rsid w:val="00570D45"/>
    <w:rsid w:val="00571AC2"/>
    <w:rsid w:val="005730FA"/>
    <w:rsid w:val="00576BA8"/>
    <w:rsid w:val="0058089B"/>
    <w:rsid w:val="00583101"/>
    <w:rsid w:val="00583220"/>
    <w:rsid w:val="00583F4F"/>
    <w:rsid w:val="005845AE"/>
    <w:rsid w:val="005850B5"/>
    <w:rsid w:val="0058620E"/>
    <w:rsid w:val="00586E75"/>
    <w:rsid w:val="00587D91"/>
    <w:rsid w:val="00590812"/>
    <w:rsid w:val="00590EA8"/>
    <w:rsid w:val="00593737"/>
    <w:rsid w:val="00593A83"/>
    <w:rsid w:val="00593F01"/>
    <w:rsid w:val="00594153"/>
    <w:rsid w:val="0059478F"/>
    <w:rsid w:val="005950EB"/>
    <w:rsid w:val="00595EBE"/>
    <w:rsid w:val="00597597"/>
    <w:rsid w:val="005A16FD"/>
    <w:rsid w:val="005A252E"/>
    <w:rsid w:val="005A2A53"/>
    <w:rsid w:val="005A5C62"/>
    <w:rsid w:val="005A5FBC"/>
    <w:rsid w:val="005A601C"/>
    <w:rsid w:val="005A7759"/>
    <w:rsid w:val="005B15F9"/>
    <w:rsid w:val="005B2B18"/>
    <w:rsid w:val="005B460E"/>
    <w:rsid w:val="005B4898"/>
    <w:rsid w:val="005B4964"/>
    <w:rsid w:val="005B7C37"/>
    <w:rsid w:val="005C11E4"/>
    <w:rsid w:val="005C21FF"/>
    <w:rsid w:val="005C460E"/>
    <w:rsid w:val="005C5FBE"/>
    <w:rsid w:val="005C63BE"/>
    <w:rsid w:val="005C75E7"/>
    <w:rsid w:val="005D25FE"/>
    <w:rsid w:val="005D2CCD"/>
    <w:rsid w:val="005D3315"/>
    <w:rsid w:val="005D45C5"/>
    <w:rsid w:val="005D4BC8"/>
    <w:rsid w:val="005D5CD8"/>
    <w:rsid w:val="005D674D"/>
    <w:rsid w:val="005E235A"/>
    <w:rsid w:val="005E372D"/>
    <w:rsid w:val="005E45E8"/>
    <w:rsid w:val="005E4D07"/>
    <w:rsid w:val="005E659D"/>
    <w:rsid w:val="005E6E75"/>
    <w:rsid w:val="005E7D78"/>
    <w:rsid w:val="005F0C4C"/>
    <w:rsid w:val="005F1770"/>
    <w:rsid w:val="005F244B"/>
    <w:rsid w:val="005F380F"/>
    <w:rsid w:val="005F443C"/>
    <w:rsid w:val="005F4E72"/>
    <w:rsid w:val="005F783B"/>
    <w:rsid w:val="00600628"/>
    <w:rsid w:val="00600E32"/>
    <w:rsid w:val="006023F5"/>
    <w:rsid w:val="006036A5"/>
    <w:rsid w:val="00603C12"/>
    <w:rsid w:val="00605024"/>
    <w:rsid w:val="00605AD4"/>
    <w:rsid w:val="00606066"/>
    <w:rsid w:val="00607F81"/>
    <w:rsid w:val="006125F2"/>
    <w:rsid w:val="006129AC"/>
    <w:rsid w:val="00613524"/>
    <w:rsid w:val="00613B19"/>
    <w:rsid w:val="00614164"/>
    <w:rsid w:val="00615D01"/>
    <w:rsid w:val="00617919"/>
    <w:rsid w:val="00620BD1"/>
    <w:rsid w:val="00623252"/>
    <w:rsid w:val="00623E5A"/>
    <w:rsid w:val="00624F37"/>
    <w:rsid w:val="00624F61"/>
    <w:rsid w:val="00624FD1"/>
    <w:rsid w:val="00626335"/>
    <w:rsid w:val="0062667E"/>
    <w:rsid w:val="006268DC"/>
    <w:rsid w:val="00631C07"/>
    <w:rsid w:val="006320E4"/>
    <w:rsid w:val="0063307F"/>
    <w:rsid w:val="00633824"/>
    <w:rsid w:val="00635048"/>
    <w:rsid w:val="006352FB"/>
    <w:rsid w:val="00636CDD"/>
    <w:rsid w:val="00643B56"/>
    <w:rsid w:val="00644773"/>
    <w:rsid w:val="00644F18"/>
    <w:rsid w:val="006450FA"/>
    <w:rsid w:val="006451D3"/>
    <w:rsid w:val="00645284"/>
    <w:rsid w:val="006476FF"/>
    <w:rsid w:val="00650226"/>
    <w:rsid w:val="00652F20"/>
    <w:rsid w:val="00656AD1"/>
    <w:rsid w:val="00660438"/>
    <w:rsid w:val="00660515"/>
    <w:rsid w:val="00661722"/>
    <w:rsid w:val="006624CF"/>
    <w:rsid w:val="00663897"/>
    <w:rsid w:val="00664010"/>
    <w:rsid w:val="0066693D"/>
    <w:rsid w:val="00670592"/>
    <w:rsid w:val="00670A4D"/>
    <w:rsid w:val="006725E0"/>
    <w:rsid w:val="006734FA"/>
    <w:rsid w:val="0067410D"/>
    <w:rsid w:val="006751FB"/>
    <w:rsid w:val="00677BA7"/>
    <w:rsid w:val="00677CA3"/>
    <w:rsid w:val="00681E3B"/>
    <w:rsid w:val="00682838"/>
    <w:rsid w:val="00683031"/>
    <w:rsid w:val="006834D8"/>
    <w:rsid w:val="00684065"/>
    <w:rsid w:val="00684B7E"/>
    <w:rsid w:val="00685765"/>
    <w:rsid w:val="00690CD0"/>
    <w:rsid w:val="0069200B"/>
    <w:rsid w:val="00692F55"/>
    <w:rsid w:val="00693EDE"/>
    <w:rsid w:val="0069514A"/>
    <w:rsid w:val="00697A97"/>
    <w:rsid w:val="006A0EFF"/>
    <w:rsid w:val="006A2312"/>
    <w:rsid w:val="006A2DBE"/>
    <w:rsid w:val="006A314C"/>
    <w:rsid w:val="006A3FAB"/>
    <w:rsid w:val="006A422E"/>
    <w:rsid w:val="006A4347"/>
    <w:rsid w:val="006B08C9"/>
    <w:rsid w:val="006B1E2A"/>
    <w:rsid w:val="006B41AD"/>
    <w:rsid w:val="006B570C"/>
    <w:rsid w:val="006B7BED"/>
    <w:rsid w:val="006C10B4"/>
    <w:rsid w:val="006C37FC"/>
    <w:rsid w:val="006C6587"/>
    <w:rsid w:val="006C673A"/>
    <w:rsid w:val="006C74AA"/>
    <w:rsid w:val="006D080B"/>
    <w:rsid w:val="006D1455"/>
    <w:rsid w:val="006D146C"/>
    <w:rsid w:val="006D1542"/>
    <w:rsid w:val="006D1E9C"/>
    <w:rsid w:val="006D1F4E"/>
    <w:rsid w:val="006D1FBD"/>
    <w:rsid w:val="006D4DFB"/>
    <w:rsid w:val="006D5F32"/>
    <w:rsid w:val="006D640B"/>
    <w:rsid w:val="006D73CF"/>
    <w:rsid w:val="006E10B8"/>
    <w:rsid w:val="006E204F"/>
    <w:rsid w:val="006E5B2F"/>
    <w:rsid w:val="006E5BEB"/>
    <w:rsid w:val="006F0702"/>
    <w:rsid w:val="006F0789"/>
    <w:rsid w:val="006F079D"/>
    <w:rsid w:val="006F11CC"/>
    <w:rsid w:val="006F1F41"/>
    <w:rsid w:val="006F312E"/>
    <w:rsid w:val="006F4DEB"/>
    <w:rsid w:val="006F5D45"/>
    <w:rsid w:val="006F604B"/>
    <w:rsid w:val="006F719C"/>
    <w:rsid w:val="0070001D"/>
    <w:rsid w:val="007003DC"/>
    <w:rsid w:val="007015C0"/>
    <w:rsid w:val="00701700"/>
    <w:rsid w:val="0070223D"/>
    <w:rsid w:val="00702450"/>
    <w:rsid w:val="00705B16"/>
    <w:rsid w:val="00706A99"/>
    <w:rsid w:val="00707499"/>
    <w:rsid w:val="00707CAB"/>
    <w:rsid w:val="00711253"/>
    <w:rsid w:val="00711F23"/>
    <w:rsid w:val="007132D7"/>
    <w:rsid w:val="007133BF"/>
    <w:rsid w:val="007177AE"/>
    <w:rsid w:val="00721469"/>
    <w:rsid w:val="00721AB5"/>
    <w:rsid w:val="00722CC6"/>
    <w:rsid w:val="00724371"/>
    <w:rsid w:val="007243E7"/>
    <w:rsid w:val="00724B37"/>
    <w:rsid w:val="00724D58"/>
    <w:rsid w:val="0072514B"/>
    <w:rsid w:val="0072581A"/>
    <w:rsid w:val="00726290"/>
    <w:rsid w:val="0072767E"/>
    <w:rsid w:val="007307D6"/>
    <w:rsid w:val="007316EC"/>
    <w:rsid w:val="007376E1"/>
    <w:rsid w:val="00737B4B"/>
    <w:rsid w:val="00740C4E"/>
    <w:rsid w:val="00741110"/>
    <w:rsid w:val="00741599"/>
    <w:rsid w:val="00743DC4"/>
    <w:rsid w:val="0074514A"/>
    <w:rsid w:val="007464DC"/>
    <w:rsid w:val="007515E5"/>
    <w:rsid w:val="00751E19"/>
    <w:rsid w:val="00752329"/>
    <w:rsid w:val="00754F05"/>
    <w:rsid w:val="00755B30"/>
    <w:rsid w:val="0075723A"/>
    <w:rsid w:val="007572D6"/>
    <w:rsid w:val="00757455"/>
    <w:rsid w:val="007577DD"/>
    <w:rsid w:val="00757E49"/>
    <w:rsid w:val="00760F2B"/>
    <w:rsid w:val="0076146E"/>
    <w:rsid w:val="00761891"/>
    <w:rsid w:val="00761D91"/>
    <w:rsid w:val="00764B7B"/>
    <w:rsid w:val="00764D51"/>
    <w:rsid w:val="00764DAE"/>
    <w:rsid w:val="00765815"/>
    <w:rsid w:val="007664DF"/>
    <w:rsid w:val="0077171F"/>
    <w:rsid w:val="00773E9A"/>
    <w:rsid w:val="00774F60"/>
    <w:rsid w:val="00775E58"/>
    <w:rsid w:val="0077615F"/>
    <w:rsid w:val="00777A49"/>
    <w:rsid w:val="00780334"/>
    <w:rsid w:val="0078363A"/>
    <w:rsid w:val="007838A8"/>
    <w:rsid w:val="00785272"/>
    <w:rsid w:val="00786B1E"/>
    <w:rsid w:val="007878E0"/>
    <w:rsid w:val="0078791E"/>
    <w:rsid w:val="00794865"/>
    <w:rsid w:val="00796D17"/>
    <w:rsid w:val="00797F5F"/>
    <w:rsid w:val="007A0DA1"/>
    <w:rsid w:val="007A2551"/>
    <w:rsid w:val="007A3517"/>
    <w:rsid w:val="007A546B"/>
    <w:rsid w:val="007A5C7D"/>
    <w:rsid w:val="007A6460"/>
    <w:rsid w:val="007A6B9B"/>
    <w:rsid w:val="007A7466"/>
    <w:rsid w:val="007A7D6E"/>
    <w:rsid w:val="007B0BB0"/>
    <w:rsid w:val="007B24A9"/>
    <w:rsid w:val="007B5AD8"/>
    <w:rsid w:val="007B70ED"/>
    <w:rsid w:val="007B74D9"/>
    <w:rsid w:val="007B7DD5"/>
    <w:rsid w:val="007C21CC"/>
    <w:rsid w:val="007C2810"/>
    <w:rsid w:val="007C2FB7"/>
    <w:rsid w:val="007C38C8"/>
    <w:rsid w:val="007C45A3"/>
    <w:rsid w:val="007C4AA6"/>
    <w:rsid w:val="007C7288"/>
    <w:rsid w:val="007D045A"/>
    <w:rsid w:val="007D1E41"/>
    <w:rsid w:val="007D2874"/>
    <w:rsid w:val="007D3B4A"/>
    <w:rsid w:val="007D3E5A"/>
    <w:rsid w:val="007D4305"/>
    <w:rsid w:val="007D4C04"/>
    <w:rsid w:val="007D59EE"/>
    <w:rsid w:val="007D5B21"/>
    <w:rsid w:val="007D5E49"/>
    <w:rsid w:val="007D62B5"/>
    <w:rsid w:val="007D7296"/>
    <w:rsid w:val="007D7D94"/>
    <w:rsid w:val="007E004B"/>
    <w:rsid w:val="007E04CE"/>
    <w:rsid w:val="007E05DC"/>
    <w:rsid w:val="007E0802"/>
    <w:rsid w:val="007E1308"/>
    <w:rsid w:val="007E2A71"/>
    <w:rsid w:val="007E311A"/>
    <w:rsid w:val="007E375A"/>
    <w:rsid w:val="007E38EC"/>
    <w:rsid w:val="007E498C"/>
    <w:rsid w:val="007E7057"/>
    <w:rsid w:val="007F22DA"/>
    <w:rsid w:val="007F5199"/>
    <w:rsid w:val="007F62E8"/>
    <w:rsid w:val="007F6597"/>
    <w:rsid w:val="007F773C"/>
    <w:rsid w:val="00800CF3"/>
    <w:rsid w:val="00800F39"/>
    <w:rsid w:val="00801315"/>
    <w:rsid w:val="008023B2"/>
    <w:rsid w:val="00803013"/>
    <w:rsid w:val="00803A6B"/>
    <w:rsid w:val="00804EEC"/>
    <w:rsid w:val="00816839"/>
    <w:rsid w:val="00816C84"/>
    <w:rsid w:val="008216ED"/>
    <w:rsid w:val="00821AC5"/>
    <w:rsid w:val="0082381C"/>
    <w:rsid w:val="00823C09"/>
    <w:rsid w:val="0082575F"/>
    <w:rsid w:val="00827877"/>
    <w:rsid w:val="0083084A"/>
    <w:rsid w:val="0083094A"/>
    <w:rsid w:val="00830A14"/>
    <w:rsid w:val="00830C49"/>
    <w:rsid w:val="00832E0A"/>
    <w:rsid w:val="00834565"/>
    <w:rsid w:val="00835EED"/>
    <w:rsid w:val="00836712"/>
    <w:rsid w:val="00837110"/>
    <w:rsid w:val="00842410"/>
    <w:rsid w:val="008435EF"/>
    <w:rsid w:val="008447B3"/>
    <w:rsid w:val="00846075"/>
    <w:rsid w:val="00846785"/>
    <w:rsid w:val="00846B0F"/>
    <w:rsid w:val="00846CF3"/>
    <w:rsid w:val="008512C4"/>
    <w:rsid w:val="008518D1"/>
    <w:rsid w:val="00856707"/>
    <w:rsid w:val="00860C60"/>
    <w:rsid w:val="00862D2B"/>
    <w:rsid w:val="0086330B"/>
    <w:rsid w:val="008640EF"/>
    <w:rsid w:val="008649E8"/>
    <w:rsid w:val="0086656B"/>
    <w:rsid w:val="00875C0C"/>
    <w:rsid w:val="00876767"/>
    <w:rsid w:val="00877C8F"/>
    <w:rsid w:val="008813D9"/>
    <w:rsid w:val="00881C47"/>
    <w:rsid w:val="00881D83"/>
    <w:rsid w:val="008837ED"/>
    <w:rsid w:val="00887146"/>
    <w:rsid w:val="008900ED"/>
    <w:rsid w:val="00890191"/>
    <w:rsid w:val="00894343"/>
    <w:rsid w:val="00895AC6"/>
    <w:rsid w:val="008979A0"/>
    <w:rsid w:val="008A1736"/>
    <w:rsid w:val="008A191D"/>
    <w:rsid w:val="008A3592"/>
    <w:rsid w:val="008A3ADA"/>
    <w:rsid w:val="008A3FA1"/>
    <w:rsid w:val="008A58A4"/>
    <w:rsid w:val="008A7A54"/>
    <w:rsid w:val="008B2274"/>
    <w:rsid w:val="008B387E"/>
    <w:rsid w:val="008B466B"/>
    <w:rsid w:val="008B59BD"/>
    <w:rsid w:val="008C03A4"/>
    <w:rsid w:val="008C1D2D"/>
    <w:rsid w:val="008C1F2A"/>
    <w:rsid w:val="008C2DF1"/>
    <w:rsid w:val="008C4036"/>
    <w:rsid w:val="008C7188"/>
    <w:rsid w:val="008D035F"/>
    <w:rsid w:val="008D237C"/>
    <w:rsid w:val="008D3DBA"/>
    <w:rsid w:val="008D4C0E"/>
    <w:rsid w:val="008D5E6B"/>
    <w:rsid w:val="008D66EF"/>
    <w:rsid w:val="008E3CA0"/>
    <w:rsid w:val="008E5648"/>
    <w:rsid w:val="008F2219"/>
    <w:rsid w:val="008F5642"/>
    <w:rsid w:val="008F719A"/>
    <w:rsid w:val="008F790A"/>
    <w:rsid w:val="008F7D8D"/>
    <w:rsid w:val="00901EAE"/>
    <w:rsid w:val="00904058"/>
    <w:rsid w:val="009107F5"/>
    <w:rsid w:val="009110DC"/>
    <w:rsid w:val="00911988"/>
    <w:rsid w:val="00916AB6"/>
    <w:rsid w:val="00917805"/>
    <w:rsid w:val="00921049"/>
    <w:rsid w:val="00921198"/>
    <w:rsid w:val="00921E9D"/>
    <w:rsid w:val="00921EA6"/>
    <w:rsid w:val="0092232B"/>
    <w:rsid w:val="0092543B"/>
    <w:rsid w:val="009258B3"/>
    <w:rsid w:val="009262E5"/>
    <w:rsid w:val="00926432"/>
    <w:rsid w:val="00926B7B"/>
    <w:rsid w:val="00930515"/>
    <w:rsid w:val="00931084"/>
    <w:rsid w:val="00931FA9"/>
    <w:rsid w:val="00932F53"/>
    <w:rsid w:val="00934E5B"/>
    <w:rsid w:val="00935BEA"/>
    <w:rsid w:val="00937283"/>
    <w:rsid w:val="00937C68"/>
    <w:rsid w:val="009409E1"/>
    <w:rsid w:val="00942100"/>
    <w:rsid w:val="00945BC5"/>
    <w:rsid w:val="00946F01"/>
    <w:rsid w:val="00947C3B"/>
    <w:rsid w:val="00950561"/>
    <w:rsid w:val="00952F01"/>
    <w:rsid w:val="00953506"/>
    <w:rsid w:val="00953B3C"/>
    <w:rsid w:val="009561FF"/>
    <w:rsid w:val="009571B8"/>
    <w:rsid w:val="0096077B"/>
    <w:rsid w:val="0096089B"/>
    <w:rsid w:val="009617D3"/>
    <w:rsid w:val="009623B7"/>
    <w:rsid w:val="0096355B"/>
    <w:rsid w:val="0096428D"/>
    <w:rsid w:val="00964AF9"/>
    <w:rsid w:val="00964DEB"/>
    <w:rsid w:val="00964F5D"/>
    <w:rsid w:val="0096508E"/>
    <w:rsid w:val="00966A83"/>
    <w:rsid w:val="0097091D"/>
    <w:rsid w:val="00970BF8"/>
    <w:rsid w:val="00970FE7"/>
    <w:rsid w:val="0097136B"/>
    <w:rsid w:val="00971692"/>
    <w:rsid w:val="009730AA"/>
    <w:rsid w:val="0097343A"/>
    <w:rsid w:val="00975F61"/>
    <w:rsid w:val="0097761E"/>
    <w:rsid w:val="00977BDA"/>
    <w:rsid w:val="00980686"/>
    <w:rsid w:val="00980CD5"/>
    <w:rsid w:val="00981198"/>
    <w:rsid w:val="009828CA"/>
    <w:rsid w:val="00982BEF"/>
    <w:rsid w:val="00984159"/>
    <w:rsid w:val="00984F7C"/>
    <w:rsid w:val="009852F8"/>
    <w:rsid w:val="0098595C"/>
    <w:rsid w:val="00985D70"/>
    <w:rsid w:val="00986214"/>
    <w:rsid w:val="00987176"/>
    <w:rsid w:val="009908F9"/>
    <w:rsid w:val="009919E7"/>
    <w:rsid w:val="009934A9"/>
    <w:rsid w:val="009934DE"/>
    <w:rsid w:val="0099468B"/>
    <w:rsid w:val="00994AB1"/>
    <w:rsid w:val="009950B6"/>
    <w:rsid w:val="00995F0A"/>
    <w:rsid w:val="009A0439"/>
    <w:rsid w:val="009A0D90"/>
    <w:rsid w:val="009A1C99"/>
    <w:rsid w:val="009A3AA3"/>
    <w:rsid w:val="009A502A"/>
    <w:rsid w:val="009A59C6"/>
    <w:rsid w:val="009A5A81"/>
    <w:rsid w:val="009A6180"/>
    <w:rsid w:val="009A70E6"/>
    <w:rsid w:val="009A7861"/>
    <w:rsid w:val="009A7E8D"/>
    <w:rsid w:val="009B2593"/>
    <w:rsid w:val="009B481E"/>
    <w:rsid w:val="009B5391"/>
    <w:rsid w:val="009B6C60"/>
    <w:rsid w:val="009B7539"/>
    <w:rsid w:val="009C1CC2"/>
    <w:rsid w:val="009C3DA7"/>
    <w:rsid w:val="009C72D3"/>
    <w:rsid w:val="009C7E54"/>
    <w:rsid w:val="009D0EEC"/>
    <w:rsid w:val="009D11F7"/>
    <w:rsid w:val="009D3549"/>
    <w:rsid w:val="009D36DC"/>
    <w:rsid w:val="009D36F1"/>
    <w:rsid w:val="009D37A2"/>
    <w:rsid w:val="009D4E2A"/>
    <w:rsid w:val="009D7BCA"/>
    <w:rsid w:val="009D7E05"/>
    <w:rsid w:val="009E148B"/>
    <w:rsid w:val="009E1651"/>
    <w:rsid w:val="009E3388"/>
    <w:rsid w:val="009E49B3"/>
    <w:rsid w:val="009E4F1E"/>
    <w:rsid w:val="009F156F"/>
    <w:rsid w:val="009F2562"/>
    <w:rsid w:val="009F3DEE"/>
    <w:rsid w:val="009F58CB"/>
    <w:rsid w:val="009F66AC"/>
    <w:rsid w:val="009F6A39"/>
    <w:rsid w:val="009F7166"/>
    <w:rsid w:val="00A01CE3"/>
    <w:rsid w:val="00A020D4"/>
    <w:rsid w:val="00A02C02"/>
    <w:rsid w:val="00A0559C"/>
    <w:rsid w:val="00A05E22"/>
    <w:rsid w:val="00A06250"/>
    <w:rsid w:val="00A11A3C"/>
    <w:rsid w:val="00A12902"/>
    <w:rsid w:val="00A12B4B"/>
    <w:rsid w:val="00A137C1"/>
    <w:rsid w:val="00A140DB"/>
    <w:rsid w:val="00A1484F"/>
    <w:rsid w:val="00A16CAF"/>
    <w:rsid w:val="00A22ED7"/>
    <w:rsid w:val="00A2370B"/>
    <w:rsid w:val="00A23B86"/>
    <w:rsid w:val="00A24546"/>
    <w:rsid w:val="00A24F0F"/>
    <w:rsid w:val="00A3042E"/>
    <w:rsid w:val="00A31C1E"/>
    <w:rsid w:val="00A32455"/>
    <w:rsid w:val="00A3419D"/>
    <w:rsid w:val="00A34A0A"/>
    <w:rsid w:val="00A35411"/>
    <w:rsid w:val="00A3594E"/>
    <w:rsid w:val="00A35CD4"/>
    <w:rsid w:val="00A35FF0"/>
    <w:rsid w:val="00A36705"/>
    <w:rsid w:val="00A3747E"/>
    <w:rsid w:val="00A37F44"/>
    <w:rsid w:val="00A436F4"/>
    <w:rsid w:val="00A45136"/>
    <w:rsid w:val="00A451B7"/>
    <w:rsid w:val="00A45A36"/>
    <w:rsid w:val="00A47C92"/>
    <w:rsid w:val="00A52B09"/>
    <w:rsid w:val="00A53CA8"/>
    <w:rsid w:val="00A5488E"/>
    <w:rsid w:val="00A552A3"/>
    <w:rsid w:val="00A60CD0"/>
    <w:rsid w:val="00A65DEC"/>
    <w:rsid w:val="00A66908"/>
    <w:rsid w:val="00A67810"/>
    <w:rsid w:val="00A70419"/>
    <w:rsid w:val="00A7123F"/>
    <w:rsid w:val="00A727EB"/>
    <w:rsid w:val="00A75531"/>
    <w:rsid w:val="00A75E40"/>
    <w:rsid w:val="00A7626F"/>
    <w:rsid w:val="00A7647D"/>
    <w:rsid w:val="00A768D3"/>
    <w:rsid w:val="00A80D9B"/>
    <w:rsid w:val="00A811AC"/>
    <w:rsid w:val="00A81916"/>
    <w:rsid w:val="00A82072"/>
    <w:rsid w:val="00A84170"/>
    <w:rsid w:val="00A846F5"/>
    <w:rsid w:val="00A875D9"/>
    <w:rsid w:val="00A9003B"/>
    <w:rsid w:val="00A901E9"/>
    <w:rsid w:val="00A903BD"/>
    <w:rsid w:val="00A91111"/>
    <w:rsid w:val="00A91229"/>
    <w:rsid w:val="00A9263D"/>
    <w:rsid w:val="00A92D54"/>
    <w:rsid w:val="00A93CE1"/>
    <w:rsid w:val="00A952F0"/>
    <w:rsid w:val="00A979F0"/>
    <w:rsid w:val="00AA08AE"/>
    <w:rsid w:val="00AA23B7"/>
    <w:rsid w:val="00AA30AC"/>
    <w:rsid w:val="00AA4653"/>
    <w:rsid w:val="00AA4DF1"/>
    <w:rsid w:val="00AA67E9"/>
    <w:rsid w:val="00AA6E64"/>
    <w:rsid w:val="00AB1439"/>
    <w:rsid w:val="00AB36CA"/>
    <w:rsid w:val="00AB53C3"/>
    <w:rsid w:val="00AB5F2A"/>
    <w:rsid w:val="00AB6015"/>
    <w:rsid w:val="00AC1424"/>
    <w:rsid w:val="00AC195D"/>
    <w:rsid w:val="00AC31A9"/>
    <w:rsid w:val="00AC33A7"/>
    <w:rsid w:val="00AC45FE"/>
    <w:rsid w:val="00AC574C"/>
    <w:rsid w:val="00AC67BB"/>
    <w:rsid w:val="00AC7DA7"/>
    <w:rsid w:val="00AC7E62"/>
    <w:rsid w:val="00AD0270"/>
    <w:rsid w:val="00AD1BC5"/>
    <w:rsid w:val="00AD49E3"/>
    <w:rsid w:val="00AD5C14"/>
    <w:rsid w:val="00AD68DF"/>
    <w:rsid w:val="00AE0324"/>
    <w:rsid w:val="00AE19A9"/>
    <w:rsid w:val="00AE2E93"/>
    <w:rsid w:val="00AE3189"/>
    <w:rsid w:val="00AE4242"/>
    <w:rsid w:val="00AE5711"/>
    <w:rsid w:val="00AE5C57"/>
    <w:rsid w:val="00AE66A1"/>
    <w:rsid w:val="00AE7169"/>
    <w:rsid w:val="00AF0FA1"/>
    <w:rsid w:val="00AF21B5"/>
    <w:rsid w:val="00AF3AA8"/>
    <w:rsid w:val="00AF624E"/>
    <w:rsid w:val="00AF7571"/>
    <w:rsid w:val="00B0076C"/>
    <w:rsid w:val="00B0132D"/>
    <w:rsid w:val="00B02B40"/>
    <w:rsid w:val="00B04D1A"/>
    <w:rsid w:val="00B04D6A"/>
    <w:rsid w:val="00B05201"/>
    <w:rsid w:val="00B070F1"/>
    <w:rsid w:val="00B10984"/>
    <w:rsid w:val="00B13203"/>
    <w:rsid w:val="00B14908"/>
    <w:rsid w:val="00B15435"/>
    <w:rsid w:val="00B154B9"/>
    <w:rsid w:val="00B159B5"/>
    <w:rsid w:val="00B168D4"/>
    <w:rsid w:val="00B207A1"/>
    <w:rsid w:val="00B21951"/>
    <w:rsid w:val="00B21EE6"/>
    <w:rsid w:val="00B22CC2"/>
    <w:rsid w:val="00B23523"/>
    <w:rsid w:val="00B24C18"/>
    <w:rsid w:val="00B262B5"/>
    <w:rsid w:val="00B2672E"/>
    <w:rsid w:val="00B31A17"/>
    <w:rsid w:val="00B3208A"/>
    <w:rsid w:val="00B321B5"/>
    <w:rsid w:val="00B32AF3"/>
    <w:rsid w:val="00B32CF2"/>
    <w:rsid w:val="00B32DFB"/>
    <w:rsid w:val="00B33D1C"/>
    <w:rsid w:val="00B343DA"/>
    <w:rsid w:val="00B357BF"/>
    <w:rsid w:val="00B35D09"/>
    <w:rsid w:val="00B366BA"/>
    <w:rsid w:val="00B36BB0"/>
    <w:rsid w:val="00B36FD8"/>
    <w:rsid w:val="00B373E6"/>
    <w:rsid w:val="00B375BB"/>
    <w:rsid w:val="00B40301"/>
    <w:rsid w:val="00B40C12"/>
    <w:rsid w:val="00B41812"/>
    <w:rsid w:val="00B41827"/>
    <w:rsid w:val="00B43DB0"/>
    <w:rsid w:val="00B44F7B"/>
    <w:rsid w:val="00B47540"/>
    <w:rsid w:val="00B5058E"/>
    <w:rsid w:val="00B50660"/>
    <w:rsid w:val="00B52660"/>
    <w:rsid w:val="00B54403"/>
    <w:rsid w:val="00B55B38"/>
    <w:rsid w:val="00B56866"/>
    <w:rsid w:val="00B61804"/>
    <w:rsid w:val="00B61A63"/>
    <w:rsid w:val="00B62B1E"/>
    <w:rsid w:val="00B62B26"/>
    <w:rsid w:val="00B6312E"/>
    <w:rsid w:val="00B65B58"/>
    <w:rsid w:val="00B665AC"/>
    <w:rsid w:val="00B6712C"/>
    <w:rsid w:val="00B70869"/>
    <w:rsid w:val="00B74646"/>
    <w:rsid w:val="00B7494C"/>
    <w:rsid w:val="00B74D3C"/>
    <w:rsid w:val="00B767FC"/>
    <w:rsid w:val="00B76CB5"/>
    <w:rsid w:val="00B7740B"/>
    <w:rsid w:val="00B81DBE"/>
    <w:rsid w:val="00B82A03"/>
    <w:rsid w:val="00B853F4"/>
    <w:rsid w:val="00B857B9"/>
    <w:rsid w:val="00B86E76"/>
    <w:rsid w:val="00B87188"/>
    <w:rsid w:val="00B876DA"/>
    <w:rsid w:val="00B877E4"/>
    <w:rsid w:val="00B877E9"/>
    <w:rsid w:val="00B903EC"/>
    <w:rsid w:val="00B94B92"/>
    <w:rsid w:val="00B96FBB"/>
    <w:rsid w:val="00B976BE"/>
    <w:rsid w:val="00BA04FE"/>
    <w:rsid w:val="00BA184C"/>
    <w:rsid w:val="00BA20A0"/>
    <w:rsid w:val="00BA3040"/>
    <w:rsid w:val="00BA3401"/>
    <w:rsid w:val="00BA407D"/>
    <w:rsid w:val="00BA5744"/>
    <w:rsid w:val="00BA6F63"/>
    <w:rsid w:val="00BA70F2"/>
    <w:rsid w:val="00BA7D23"/>
    <w:rsid w:val="00BA7EFF"/>
    <w:rsid w:val="00BB0099"/>
    <w:rsid w:val="00BB0F9C"/>
    <w:rsid w:val="00BB14F1"/>
    <w:rsid w:val="00BB18E4"/>
    <w:rsid w:val="00BB1AA5"/>
    <w:rsid w:val="00BB2035"/>
    <w:rsid w:val="00BB31B5"/>
    <w:rsid w:val="00BB3E6C"/>
    <w:rsid w:val="00BB4453"/>
    <w:rsid w:val="00BB4725"/>
    <w:rsid w:val="00BB554A"/>
    <w:rsid w:val="00BB78B1"/>
    <w:rsid w:val="00BC1D72"/>
    <w:rsid w:val="00BC214D"/>
    <w:rsid w:val="00BC3A43"/>
    <w:rsid w:val="00BC3A62"/>
    <w:rsid w:val="00BC3EB5"/>
    <w:rsid w:val="00BC40C6"/>
    <w:rsid w:val="00BC6021"/>
    <w:rsid w:val="00BC7C62"/>
    <w:rsid w:val="00BD0932"/>
    <w:rsid w:val="00BD0DB7"/>
    <w:rsid w:val="00BD11CB"/>
    <w:rsid w:val="00BD1355"/>
    <w:rsid w:val="00BD3336"/>
    <w:rsid w:val="00BD41B3"/>
    <w:rsid w:val="00BD6C01"/>
    <w:rsid w:val="00BE0C0E"/>
    <w:rsid w:val="00BE28E0"/>
    <w:rsid w:val="00BE3647"/>
    <w:rsid w:val="00BE4969"/>
    <w:rsid w:val="00BE5646"/>
    <w:rsid w:val="00BE5DF6"/>
    <w:rsid w:val="00BE6F2B"/>
    <w:rsid w:val="00BE7F12"/>
    <w:rsid w:val="00BF28A2"/>
    <w:rsid w:val="00BF3846"/>
    <w:rsid w:val="00BF50D2"/>
    <w:rsid w:val="00BF5F25"/>
    <w:rsid w:val="00BF624A"/>
    <w:rsid w:val="00BF7919"/>
    <w:rsid w:val="00C00409"/>
    <w:rsid w:val="00C02991"/>
    <w:rsid w:val="00C04270"/>
    <w:rsid w:val="00C04BD9"/>
    <w:rsid w:val="00C0508F"/>
    <w:rsid w:val="00C073D2"/>
    <w:rsid w:val="00C07994"/>
    <w:rsid w:val="00C11C36"/>
    <w:rsid w:val="00C1354E"/>
    <w:rsid w:val="00C16693"/>
    <w:rsid w:val="00C169E6"/>
    <w:rsid w:val="00C21CD7"/>
    <w:rsid w:val="00C21CDA"/>
    <w:rsid w:val="00C21F93"/>
    <w:rsid w:val="00C2274E"/>
    <w:rsid w:val="00C261FF"/>
    <w:rsid w:val="00C2691B"/>
    <w:rsid w:val="00C328AF"/>
    <w:rsid w:val="00C32E84"/>
    <w:rsid w:val="00C32E93"/>
    <w:rsid w:val="00C33483"/>
    <w:rsid w:val="00C3400A"/>
    <w:rsid w:val="00C34D6F"/>
    <w:rsid w:val="00C35028"/>
    <w:rsid w:val="00C35267"/>
    <w:rsid w:val="00C371AA"/>
    <w:rsid w:val="00C40AEC"/>
    <w:rsid w:val="00C43129"/>
    <w:rsid w:val="00C43197"/>
    <w:rsid w:val="00C44CAF"/>
    <w:rsid w:val="00C44ED3"/>
    <w:rsid w:val="00C45A42"/>
    <w:rsid w:val="00C46247"/>
    <w:rsid w:val="00C46E9C"/>
    <w:rsid w:val="00C47248"/>
    <w:rsid w:val="00C4746A"/>
    <w:rsid w:val="00C501A3"/>
    <w:rsid w:val="00C50427"/>
    <w:rsid w:val="00C511FD"/>
    <w:rsid w:val="00C519DF"/>
    <w:rsid w:val="00C52389"/>
    <w:rsid w:val="00C5247C"/>
    <w:rsid w:val="00C524BD"/>
    <w:rsid w:val="00C54170"/>
    <w:rsid w:val="00C6086D"/>
    <w:rsid w:val="00C62194"/>
    <w:rsid w:val="00C63F8E"/>
    <w:rsid w:val="00C65016"/>
    <w:rsid w:val="00C656BF"/>
    <w:rsid w:val="00C70452"/>
    <w:rsid w:val="00C70462"/>
    <w:rsid w:val="00C70870"/>
    <w:rsid w:val="00C7192E"/>
    <w:rsid w:val="00C720E2"/>
    <w:rsid w:val="00C721D5"/>
    <w:rsid w:val="00C74DAE"/>
    <w:rsid w:val="00C75002"/>
    <w:rsid w:val="00C75DED"/>
    <w:rsid w:val="00C765D0"/>
    <w:rsid w:val="00C77280"/>
    <w:rsid w:val="00C80941"/>
    <w:rsid w:val="00C80E80"/>
    <w:rsid w:val="00C81322"/>
    <w:rsid w:val="00C82309"/>
    <w:rsid w:val="00C831A8"/>
    <w:rsid w:val="00C8515A"/>
    <w:rsid w:val="00C8518C"/>
    <w:rsid w:val="00C858AD"/>
    <w:rsid w:val="00C870B8"/>
    <w:rsid w:val="00C90D53"/>
    <w:rsid w:val="00C926A9"/>
    <w:rsid w:val="00C94E9A"/>
    <w:rsid w:val="00C962BB"/>
    <w:rsid w:val="00C97252"/>
    <w:rsid w:val="00CA1303"/>
    <w:rsid w:val="00CA1C99"/>
    <w:rsid w:val="00CA50F4"/>
    <w:rsid w:val="00CA52FA"/>
    <w:rsid w:val="00CA5480"/>
    <w:rsid w:val="00CA6B5C"/>
    <w:rsid w:val="00CB11D0"/>
    <w:rsid w:val="00CB1F38"/>
    <w:rsid w:val="00CB22F8"/>
    <w:rsid w:val="00CB2406"/>
    <w:rsid w:val="00CB34E4"/>
    <w:rsid w:val="00CB5424"/>
    <w:rsid w:val="00CB60CE"/>
    <w:rsid w:val="00CB688B"/>
    <w:rsid w:val="00CB70F9"/>
    <w:rsid w:val="00CC5914"/>
    <w:rsid w:val="00CC5F57"/>
    <w:rsid w:val="00CC66B1"/>
    <w:rsid w:val="00CC7C38"/>
    <w:rsid w:val="00CD051B"/>
    <w:rsid w:val="00CD06F5"/>
    <w:rsid w:val="00CD18BD"/>
    <w:rsid w:val="00CD26F9"/>
    <w:rsid w:val="00CD29A0"/>
    <w:rsid w:val="00CD3496"/>
    <w:rsid w:val="00CD34F9"/>
    <w:rsid w:val="00CD5565"/>
    <w:rsid w:val="00CD70A5"/>
    <w:rsid w:val="00CD741C"/>
    <w:rsid w:val="00CE05A6"/>
    <w:rsid w:val="00CE0733"/>
    <w:rsid w:val="00CE08FA"/>
    <w:rsid w:val="00CE1BF8"/>
    <w:rsid w:val="00CE30BD"/>
    <w:rsid w:val="00CE5BDB"/>
    <w:rsid w:val="00CE71BD"/>
    <w:rsid w:val="00CF032A"/>
    <w:rsid w:val="00CF0E2A"/>
    <w:rsid w:val="00CF1278"/>
    <w:rsid w:val="00CF18FA"/>
    <w:rsid w:val="00CF2EE6"/>
    <w:rsid w:val="00CF44E2"/>
    <w:rsid w:val="00CF4752"/>
    <w:rsid w:val="00CF47F0"/>
    <w:rsid w:val="00CF5F07"/>
    <w:rsid w:val="00D00C55"/>
    <w:rsid w:val="00D023E3"/>
    <w:rsid w:val="00D026A1"/>
    <w:rsid w:val="00D036DB"/>
    <w:rsid w:val="00D0496E"/>
    <w:rsid w:val="00D1080A"/>
    <w:rsid w:val="00D11611"/>
    <w:rsid w:val="00D17157"/>
    <w:rsid w:val="00D210AC"/>
    <w:rsid w:val="00D23E13"/>
    <w:rsid w:val="00D24357"/>
    <w:rsid w:val="00D24983"/>
    <w:rsid w:val="00D266D0"/>
    <w:rsid w:val="00D26C51"/>
    <w:rsid w:val="00D310BA"/>
    <w:rsid w:val="00D3159B"/>
    <w:rsid w:val="00D31D8C"/>
    <w:rsid w:val="00D32545"/>
    <w:rsid w:val="00D339B3"/>
    <w:rsid w:val="00D35B4B"/>
    <w:rsid w:val="00D36C0A"/>
    <w:rsid w:val="00D41064"/>
    <w:rsid w:val="00D41189"/>
    <w:rsid w:val="00D413E5"/>
    <w:rsid w:val="00D41534"/>
    <w:rsid w:val="00D4192C"/>
    <w:rsid w:val="00D4198E"/>
    <w:rsid w:val="00D419CF"/>
    <w:rsid w:val="00D47D1E"/>
    <w:rsid w:val="00D47E85"/>
    <w:rsid w:val="00D5060B"/>
    <w:rsid w:val="00D53032"/>
    <w:rsid w:val="00D54EBF"/>
    <w:rsid w:val="00D61F1D"/>
    <w:rsid w:val="00D62860"/>
    <w:rsid w:val="00D632F2"/>
    <w:rsid w:val="00D635AA"/>
    <w:rsid w:val="00D67D10"/>
    <w:rsid w:val="00D67F24"/>
    <w:rsid w:val="00D710B2"/>
    <w:rsid w:val="00D719AC"/>
    <w:rsid w:val="00D71E6E"/>
    <w:rsid w:val="00D7260C"/>
    <w:rsid w:val="00D72BBA"/>
    <w:rsid w:val="00D73B3A"/>
    <w:rsid w:val="00D75862"/>
    <w:rsid w:val="00D75954"/>
    <w:rsid w:val="00D765FB"/>
    <w:rsid w:val="00D81789"/>
    <w:rsid w:val="00D81AD6"/>
    <w:rsid w:val="00D8224D"/>
    <w:rsid w:val="00D82B44"/>
    <w:rsid w:val="00D842D5"/>
    <w:rsid w:val="00D86A68"/>
    <w:rsid w:val="00D8733F"/>
    <w:rsid w:val="00D87848"/>
    <w:rsid w:val="00D915B7"/>
    <w:rsid w:val="00D9177C"/>
    <w:rsid w:val="00D91DE2"/>
    <w:rsid w:val="00D929C0"/>
    <w:rsid w:val="00D929FE"/>
    <w:rsid w:val="00D9452A"/>
    <w:rsid w:val="00D973E9"/>
    <w:rsid w:val="00DA01DA"/>
    <w:rsid w:val="00DA1559"/>
    <w:rsid w:val="00DA43CC"/>
    <w:rsid w:val="00DA691D"/>
    <w:rsid w:val="00DA6ED0"/>
    <w:rsid w:val="00DA7B0A"/>
    <w:rsid w:val="00DB2AE0"/>
    <w:rsid w:val="00DB4CCC"/>
    <w:rsid w:val="00DB5A04"/>
    <w:rsid w:val="00DB5EE7"/>
    <w:rsid w:val="00DC178C"/>
    <w:rsid w:val="00DC1838"/>
    <w:rsid w:val="00DC1CA2"/>
    <w:rsid w:val="00DC2FA4"/>
    <w:rsid w:val="00DC3EAE"/>
    <w:rsid w:val="00DC5C5A"/>
    <w:rsid w:val="00DC701C"/>
    <w:rsid w:val="00DC74F8"/>
    <w:rsid w:val="00DD0C23"/>
    <w:rsid w:val="00DD1E9F"/>
    <w:rsid w:val="00DD34C6"/>
    <w:rsid w:val="00DD5030"/>
    <w:rsid w:val="00DD673D"/>
    <w:rsid w:val="00DE01D6"/>
    <w:rsid w:val="00DE04A1"/>
    <w:rsid w:val="00DE1B6E"/>
    <w:rsid w:val="00DE3423"/>
    <w:rsid w:val="00DE66D8"/>
    <w:rsid w:val="00DF0FAB"/>
    <w:rsid w:val="00DF2973"/>
    <w:rsid w:val="00DF2E7E"/>
    <w:rsid w:val="00DF3703"/>
    <w:rsid w:val="00DF5730"/>
    <w:rsid w:val="00DF6D4A"/>
    <w:rsid w:val="00DF723F"/>
    <w:rsid w:val="00DF775F"/>
    <w:rsid w:val="00E00D51"/>
    <w:rsid w:val="00E03405"/>
    <w:rsid w:val="00E07AA3"/>
    <w:rsid w:val="00E07DE7"/>
    <w:rsid w:val="00E112C2"/>
    <w:rsid w:val="00E11C8E"/>
    <w:rsid w:val="00E13372"/>
    <w:rsid w:val="00E140F2"/>
    <w:rsid w:val="00E146A9"/>
    <w:rsid w:val="00E17547"/>
    <w:rsid w:val="00E178C7"/>
    <w:rsid w:val="00E20D1B"/>
    <w:rsid w:val="00E21066"/>
    <w:rsid w:val="00E21D65"/>
    <w:rsid w:val="00E22585"/>
    <w:rsid w:val="00E24153"/>
    <w:rsid w:val="00E24399"/>
    <w:rsid w:val="00E24549"/>
    <w:rsid w:val="00E252E9"/>
    <w:rsid w:val="00E25D98"/>
    <w:rsid w:val="00E2645F"/>
    <w:rsid w:val="00E271E4"/>
    <w:rsid w:val="00E27736"/>
    <w:rsid w:val="00E32607"/>
    <w:rsid w:val="00E32B2F"/>
    <w:rsid w:val="00E33736"/>
    <w:rsid w:val="00E33A70"/>
    <w:rsid w:val="00E33B19"/>
    <w:rsid w:val="00E3683A"/>
    <w:rsid w:val="00E378A1"/>
    <w:rsid w:val="00E4027F"/>
    <w:rsid w:val="00E40F79"/>
    <w:rsid w:val="00E42350"/>
    <w:rsid w:val="00E42C22"/>
    <w:rsid w:val="00E43D30"/>
    <w:rsid w:val="00E44135"/>
    <w:rsid w:val="00E443D4"/>
    <w:rsid w:val="00E447C2"/>
    <w:rsid w:val="00E46DDC"/>
    <w:rsid w:val="00E46EDC"/>
    <w:rsid w:val="00E502C1"/>
    <w:rsid w:val="00E506C4"/>
    <w:rsid w:val="00E50866"/>
    <w:rsid w:val="00E50C64"/>
    <w:rsid w:val="00E528F0"/>
    <w:rsid w:val="00E553E6"/>
    <w:rsid w:val="00E56398"/>
    <w:rsid w:val="00E61068"/>
    <w:rsid w:val="00E63751"/>
    <w:rsid w:val="00E7151E"/>
    <w:rsid w:val="00E71B73"/>
    <w:rsid w:val="00E72181"/>
    <w:rsid w:val="00E72342"/>
    <w:rsid w:val="00E72749"/>
    <w:rsid w:val="00E736BB"/>
    <w:rsid w:val="00E75233"/>
    <w:rsid w:val="00E77F4F"/>
    <w:rsid w:val="00E801B0"/>
    <w:rsid w:val="00E810B7"/>
    <w:rsid w:val="00E81CA1"/>
    <w:rsid w:val="00E82509"/>
    <w:rsid w:val="00E82597"/>
    <w:rsid w:val="00E8381B"/>
    <w:rsid w:val="00E8549B"/>
    <w:rsid w:val="00E863B1"/>
    <w:rsid w:val="00E8783A"/>
    <w:rsid w:val="00E87988"/>
    <w:rsid w:val="00E87B74"/>
    <w:rsid w:val="00E90918"/>
    <w:rsid w:val="00E9355B"/>
    <w:rsid w:val="00E94489"/>
    <w:rsid w:val="00E948F9"/>
    <w:rsid w:val="00E96B70"/>
    <w:rsid w:val="00E9786D"/>
    <w:rsid w:val="00EA0AEC"/>
    <w:rsid w:val="00EA0E46"/>
    <w:rsid w:val="00EA1639"/>
    <w:rsid w:val="00EA20BF"/>
    <w:rsid w:val="00EA2D86"/>
    <w:rsid w:val="00EA4BC8"/>
    <w:rsid w:val="00EA5814"/>
    <w:rsid w:val="00EA5CB8"/>
    <w:rsid w:val="00EA63F3"/>
    <w:rsid w:val="00EA6A8B"/>
    <w:rsid w:val="00EA7FA9"/>
    <w:rsid w:val="00EB16D2"/>
    <w:rsid w:val="00EB28C4"/>
    <w:rsid w:val="00EB3525"/>
    <w:rsid w:val="00EB5063"/>
    <w:rsid w:val="00EB7048"/>
    <w:rsid w:val="00EB7550"/>
    <w:rsid w:val="00EC05E7"/>
    <w:rsid w:val="00EC06AC"/>
    <w:rsid w:val="00EC0D85"/>
    <w:rsid w:val="00EC2E56"/>
    <w:rsid w:val="00EC3B01"/>
    <w:rsid w:val="00EC42A2"/>
    <w:rsid w:val="00EC4CA3"/>
    <w:rsid w:val="00EC56CD"/>
    <w:rsid w:val="00EC58E0"/>
    <w:rsid w:val="00ED10F7"/>
    <w:rsid w:val="00ED1107"/>
    <w:rsid w:val="00ED1443"/>
    <w:rsid w:val="00ED3CE5"/>
    <w:rsid w:val="00ED4D4E"/>
    <w:rsid w:val="00ED641C"/>
    <w:rsid w:val="00ED7514"/>
    <w:rsid w:val="00EE1CB1"/>
    <w:rsid w:val="00EE28EB"/>
    <w:rsid w:val="00EE456C"/>
    <w:rsid w:val="00EE5EB7"/>
    <w:rsid w:val="00EE6FB3"/>
    <w:rsid w:val="00EE7652"/>
    <w:rsid w:val="00EF0F13"/>
    <w:rsid w:val="00EF1E07"/>
    <w:rsid w:val="00EF31AD"/>
    <w:rsid w:val="00EF4D5F"/>
    <w:rsid w:val="00EF5526"/>
    <w:rsid w:val="00EF55E5"/>
    <w:rsid w:val="00EF5C38"/>
    <w:rsid w:val="00EF5F82"/>
    <w:rsid w:val="00EF66C1"/>
    <w:rsid w:val="00EF723F"/>
    <w:rsid w:val="00EF7B90"/>
    <w:rsid w:val="00F013C8"/>
    <w:rsid w:val="00F01F9B"/>
    <w:rsid w:val="00F025B5"/>
    <w:rsid w:val="00F03757"/>
    <w:rsid w:val="00F040BE"/>
    <w:rsid w:val="00F0484C"/>
    <w:rsid w:val="00F04B3D"/>
    <w:rsid w:val="00F04B98"/>
    <w:rsid w:val="00F04EBD"/>
    <w:rsid w:val="00F06DCC"/>
    <w:rsid w:val="00F06DF3"/>
    <w:rsid w:val="00F0788F"/>
    <w:rsid w:val="00F112FB"/>
    <w:rsid w:val="00F11CC7"/>
    <w:rsid w:val="00F124A8"/>
    <w:rsid w:val="00F13BA7"/>
    <w:rsid w:val="00F13DF3"/>
    <w:rsid w:val="00F15442"/>
    <w:rsid w:val="00F24DD0"/>
    <w:rsid w:val="00F253D0"/>
    <w:rsid w:val="00F25578"/>
    <w:rsid w:val="00F2601A"/>
    <w:rsid w:val="00F26B03"/>
    <w:rsid w:val="00F27AAA"/>
    <w:rsid w:val="00F3640C"/>
    <w:rsid w:val="00F36CF8"/>
    <w:rsid w:val="00F37D40"/>
    <w:rsid w:val="00F40158"/>
    <w:rsid w:val="00F411C0"/>
    <w:rsid w:val="00F41318"/>
    <w:rsid w:val="00F415DE"/>
    <w:rsid w:val="00F46D24"/>
    <w:rsid w:val="00F47CF1"/>
    <w:rsid w:val="00F51683"/>
    <w:rsid w:val="00F52658"/>
    <w:rsid w:val="00F52CA0"/>
    <w:rsid w:val="00F52ECB"/>
    <w:rsid w:val="00F5452E"/>
    <w:rsid w:val="00F551F2"/>
    <w:rsid w:val="00F560D7"/>
    <w:rsid w:val="00F60E1C"/>
    <w:rsid w:val="00F6110C"/>
    <w:rsid w:val="00F61EAF"/>
    <w:rsid w:val="00F630F6"/>
    <w:rsid w:val="00F63844"/>
    <w:rsid w:val="00F63A2F"/>
    <w:rsid w:val="00F640B5"/>
    <w:rsid w:val="00F64704"/>
    <w:rsid w:val="00F70545"/>
    <w:rsid w:val="00F726E6"/>
    <w:rsid w:val="00F738F3"/>
    <w:rsid w:val="00F750BD"/>
    <w:rsid w:val="00F75950"/>
    <w:rsid w:val="00F7766A"/>
    <w:rsid w:val="00F81DFE"/>
    <w:rsid w:val="00F82C28"/>
    <w:rsid w:val="00F86C1B"/>
    <w:rsid w:val="00F8793B"/>
    <w:rsid w:val="00F87D2D"/>
    <w:rsid w:val="00F87F35"/>
    <w:rsid w:val="00F90268"/>
    <w:rsid w:val="00F90D26"/>
    <w:rsid w:val="00F90E93"/>
    <w:rsid w:val="00F920D1"/>
    <w:rsid w:val="00F939C7"/>
    <w:rsid w:val="00F95B32"/>
    <w:rsid w:val="00F9789B"/>
    <w:rsid w:val="00FA1AF6"/>
    <w:rsid w:val="00FA4F65"/>
    <w:rsid w:val="00FA5858"/>
    <w:rsid w:val="00FA5DF0"/>
    <w:rsid w:val="00FA6891"/>
    <w:rsid w:val="00FB18FF"/>
    <w:rsid w:val="00FB3B16"/>
    <w:rsid w:val="00FB47DC"/>
    <w:rsid w:val="00FB4BE9"/>
    <w:rsid w:val="00FB4EAA"/>
    <w:rsid w:val="00FB7E4C"/>
    <w:rsid w:val="00FC04B0"/>
    <w:rsid w:val="00FC0D33"/>
    <w:rsid w:val="00FC0F65"/>
    <w:rsid w:val="00FC1EE7"/>
    <w:rsid w:val="00FC340F"/>
    <w:rsid w:val="00FC4622"/>
    <w:rsid w:val="00FC5C7E"/>
    <w:rsid w:val="00FD03E3"/>
    <w:rsid w:val="00FD117A"/>
    <w:rsid w:val="00FD25D4"/>
    <w:rsid w:val="00FD2B68"/>
    <w:rsid w:val="00FD2C96"/>
    <w:rsid w:val="00FD45FA"/>
    <w:rsid w:val="00FD78B7"/>
    <w:rsid w:val="00FE1948"/>
    <w:rsid w:val="00FE2432"/>
    <w:rsid w:val="00FE31CD"/>
    <w:rsid w:val="00FE3342"/>
    <w:rsid w:val="00FF0A7F"/>
    <w:rsid w:val="00FF1512"/>
    <w:rsid w:val="00FF1564"/>
    <w:rsid w:val="00FF16B5"/>
    <w:rsid w:val="00FF2926"/>
    <w:rsid w:val="00FF3C06"/>
    <w:rsid w:val="00FF651E"/>
    <w:rsid w:val="017BCC56"/>
    <w:rsid w:val="01F0AF48"/>
    <w:rsid w:val="02F463E9"/>
    <w:rsid w:val="0529E5A6"/>
    <w:rsid w:val="073E9A8B"/>
    <w:rsid w:val="0B49ED46"/>
    <w:rsid w:val="0BA32E34"/>
    <w:rsid w:val="0D2FE663"/>
    <w:rsid w:val="0DB36190"/>
    <w:rsid w:val="0DCE39BA"/>
    <w:rsid w:val="0E8C3108"/>
    <w:rsid w:val="1151F65E"/>
    <w:rsid w:val="1238E6C3"/>
    <w:rsid w:val="12591860"/>
    <w:rsid w:val="139E5EB1"/>
    <w:rsid w:val="14B409EA"/>
    <w:rsid w:val="15B8AB48"/>
    <w:rsid w:val="178889C4"/>
    <w:rsid w:val="18126E88"/>
    <w:rsid w:val="18F90A46"/>
    <w:rsid w:val="19903A38"/>
    <w:rsid w:val="1AFAA154"/>
    <w:rsid w:val="1B85DBF0"/>
    <w:rsid w:val="1C752DE9"/>
    <w:rsid w:val="1CC76469"/>
    <w:rsid w:val="1D6348CB"/>
    <w:rsid w:val="1DB372FE"/>
    <w:rsid w:val="1E57BC6D"/>
    <w:rsid w:val="1ECE94F9"/>
    <w:rsid w:val="1F053523"/>
    <w:rsid w:val="1F06087C"/>
    <w:rsid w:val="1F707DF0"/>
    <w:rsid w:val="200876FA"/>
    <w:rsid w:val="21AE3272"/>
    <w:rsid w:val="22653239"/>
    <w:rsid w:val="23BE31AA"/>
    <w:rsid w:val="241DAFAD"/>
    <w:rsid w:val="26B46B6F"/>
    <w:rsid w:val="26B8E789"/>
    <w:rsid w:val="28DF6FC0"/>
    <w:rsid w:val="28FDBDA3"/>
    <w:rsid w:val="2C387AAA"/>
    <w:rsid w:val="2E995368"/>
    <w:rsid w:val="2EE9E6BA"/>
    <w:rsid w:val="307696F3"/>
    <w:rsid w:val="3207B4AB"/>
    <w:rsid w:val="330F0681"/>
    <w:rsid w:val="33349525"/>
    <w:rsid w:val="3379C847"/>
    <w:rsid w:val="345906BE"/>
    <w:rsid w:val="34D686A5"/>
    <w:rsid w:val="36C098BB"/>
    <w:rsid w:val="37280A5A"/>
    <w:rsid w:val="38958BB4"/>
    <w:rsid w:val="398EE907"/>
    <w:rsid w:val="39EF10B0"/>
    <w:rsid w:val="3A84E940"/>
    <w:rsid w:val="3B06B7A2"/>
    <w:rsid w:val="3B24D37E"/>
    <w:rsid w:val="3BBBEC0E"/>
    <w:rsid w:val="3BE370FA"/>
    <w:rsid w:val="3CC2BEB2"/>
    <w:rsid w:val="3CF81D2F"/>
    <w:rsid w:val="3D7A418A"/>
    <w:rsid w:val="3E99D2A5"/>
    <w:rsid w:val="40055FFF"/>
    <w:rsid w:val="423FCF82"/>
    <w:rsid w:val="424483EE"/>
    <w:rsid w:val="42F1286E"/>
    <w:rsid w:val="430016FE"/>
    <w:rsid w:val="44D6BE59"/>
    <w:rsid w:val="45934708"/>
    <w:rsid w:val="46772FAA"/>
    <w:rsid w:val="46F2EF0E"/>
    <w:rsid w:val="475EF14A"/>
    <w:rsid w:val="48580608"/>
    <w:rsid w:val="49661F4D"/>
    <w:rsid w:val="49C1FB5D"/>
    <w:rsid w:val="49C87118"/>
    <w:rsid w:val="4BFB5A31"/>
    <w:rsid w:val="4E9E0734"/>
    <w:rsid w:val="507FCAE9"/>
    <w:rsid w:val="509A1657"/>
    <w:rsid w:val="5288A329"/>
    <w:rsid w:val="55B577A1"/>
    <w:rsid w:val="570ECE1F"/>
    <w:rsid w:val="57781D5A"/>
    <w:rsid w:val="577D842E"/>
    <w:rsid w:val="5821EF12"/>
    <w:rsid w:val="592588BD"/>
    <w:rsid w:val="59F2D041"/>
    <w:rsid w:val="5A01E502"/>
    <w:rsid w:val="5B21E7EA"/>
    <w:rsid w:val="5D8C53FB"/>
    <w:rsid w:val="5DABA754"/>
    <w:rsid w:val="5DE8318B"/>
    <w:rsid w:val="5E5EE984"/>
    <w:rsid w:val="5E85FB38"/>
    <w:rsid w:val="5F37E3E6"/>
    <w:rsid w:val="60349ABA"/>
    <w:rsid w:val="61269DEF"/>
    <w:rsid w:val="624FCE87"/>
    <w:rsid w:val="62D60811"/>
    <w:rsid w:val="63988554"/>
    <w:rsid w:val="63B5DBC0"/>
    <w:rsid w:val="641C3DDE"/>
    <w:rsid w:val="64678043"/>
    <w:rsid w:val="649918F5"/>
    <w:rsid w:val="66CB3F7A"/>
    <w:rsid w:val="670B7286"/>
    <w:rsid w:val="6722D810"/>
    <w:rsid w:val="673B4E76"/>
    <w:rsid w:val="6853FA86"/>
    <w:rsid w:val="685F89E7"/>
    <w:rsid w:val="6924D6EC"/>
    <w:rsid w:val="6937AD54"/>
    <w:rsid w:val="6A3F7FD5"/>
    <w:rsid w:val="6A4CB0FF"/>
    <w:rsid w:val="6C469FB1"/>
    <w:rsid w:val="6DE43DE5"/>
    <w:rsid w:val="6E10142F"/>
    <w:rsid w:val="6FB2DCAB"/>
    <w:rsid w:val="71EE06B2"/>
    <w:rsid w:val="74864BA5"/>
    <w:rsid w:val="76FF5321"/>
    <w:rsid w:val="77767A87"/>
    <w:rsid w:val="7BFD7D51"/>
    <w:rsid w:val="7C02ED97"/>
    <w:rsid w:val="7D4D28AF"/>
    <w:rsid w:val="7DE81623"/>
    <w:rsid w:val="7EF79FDF"/>
    <w:rsid w:val="7F6B4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A314"/>
  <w15:chartTrackingRefBased/>
  <w15:docId w15:val="{F8AD7426-64B7-4EB2-A7AF-68B4990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515151"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6D"/>
    <w:pPr>
      <w:spacing w:line="276" w:lineRule="auto"/>
    </w:pPr>
    <w:rPr>
      <w:rFonts w:cs="Calibri"/>
    </w:rPr>
  </w:style>
  <w:style w:type="paragraph" w:styleId="Heading1">
    <w:name w:val="heading 1"/>
    <w:basedOn w:val="Normal"/>
    <w:next w:val="Heading2"/>
    <w:link w:val="Heading1Char"/>
    <w:qFormat/>
    <w:rsid w:val="00C765D0"/>
    <w:pPr>
      <w:keepNext/>
      <w:numPr>
        <w:numId w:val="5"/>
      </w:numPr>
      <w:pBdr>
        <w:top w:val="single" w:sz="2" w:space="2" w:color="0070C0"/>
      </w:pBdr>
      <w:spacing w:before="480" w:after="240"/>
      <w:outlineLvl w:val="0"/>
    </w:pPr>
    <w:rPr>
      <w:color w:val="0070C0"/>
      <w:sz w:val="28"/>
      <w:szCs w:val="40"/>
    </w:rPr>
  </w:style>
  <w:style w:type="paragraph" w:styleId="Heading2">
    <w:name w:val="heading 2"/>
    <w:basedOn w:val="Normal"/>
    <w:next w:val="BodyText"/>
    <w:link w:val="Heading2Char"/>
    <w:qFormat/>
    <w:rsid w:val="00834565"/>
    <w:pPr>
      <w:keepNext/>
      <w:numPr>
        <w:numId w:val="11"/>
      </w:numPr>
      <w:spacing w:before="240"/>
      <w:outlineLvl w:val="1"/>
    </w:pPr>
    <w:rPr>
      <w:b/>
      <w:color w:val="284B7B" w:themeColor="accent3" w:themeShade="80"/>
    </w:rPr>
  </w:style>
  <w:style w:type="paragraph" w:styleId="Heading3">
    <w:name w:val="heading 3"/>
    <w:basedOn w:val="Normal"/>
    <w:next w:val="BodyText"/>
    <w:link w:val="Heading3Char"/>
    <w:qFormat/>
    <w:rsid w:val="007C4AA6"/>
    <w:pPr>
      <w:spacing w:before="200" w:after="60"/>
      <w:ind w:left="360"/>
      <w:outlineLvl w:val="2"/>
    </w:pPr>
    <w:rPr>
      <w:b/>
      <w:bCs/>
    </w:rPr>
  </w:style>
  <w:style w:type="paragraph" w:styleId="Heading4">
    <w:name w:val="heading 4"/>
    <w:basedOn w:val="Normal"/>
    <w:link w:val="Heading4Char"/>
    <w:qFormat/>
    <w:rsid w:val="00D36C0A"/>
    <w:pPr>
      <w:keepNext/>
      <w:numPr>
        <w:ilvl w:val="3"/>
        <w:numId w:val="5"/>
      </w:numPr>
      <w:spacing w:before="240" w:after="120"/>
      <w:outlineLvl w:val="3"/>
    </w:pPr>
    <w:rPr>
      <w:i/>
      <w:color w:val="0070C0"/>
    </w:rPr>
  </w:style>
  <w:style w:type="paragraph" w:styleId="Heading5">
    <w:name w:val="heading 5"/>
    <w:basedOn w:val="Normal"/>
    <w:link w:val="Heading5Char"/>
    <w:qFormat/>
    <w:rsid w:val="00D36C0A"/>
    <w:pPr>
      <w:numPr>
        <w:ilvl w:val="4"/>
        <w:numId w:val="5"/>
      </w:numPr>
      <w:spacing w:before="120" w:after="60"/>
      <w:outlineLvl w:val="4"/>
    </w:pPr>
  </w:style>
  <w:style w:type="paragraph" w:styleId="Heading6">
    <w:name w:val="heading 6"/>
    <w:basedOn w:val="Normal"/>
    <w:link w:val="Heading6Char"/>
    <w:qFormat/>
    <w:rsid w:val="00B22CC2"/>
    <w:pPr>
      <w:numPr>
        <w:ilvl w:val="5"/>
        <w:numId w:val="5"/>
      </w:numPr>
      <w:spacing w:before="120" w:after="60"/>
      <w:outlineLvl w:val="5"/>
    </w:pPr>
  </w:style>
  <w:style w:type="paragraph" w:styleId="Heading7">
    <w:name w:val="heading 7"/>
    <w:basedOn w:val="Normal"/>
    <w:link w:val="Heading7Char"/>
    <w:qFormat/>
    <w:rsid w:val="00D36C0A"/>
    <w:pPr>
      <w:keepNext/>
      <w:numPr>
        <w:ilvl w:val="6"/>
        <w:numId w:val="5"/>
      </w:numPr>
      <w:spacing w:before="60"/>
      <w:outlineLvl w:val="6"/>
    </w:pPr>
  </w:style>
  <w:style w:type="paragraph" w:styleId="Heading8">
    <w:name w:val="heading 8"/>
    <w:basedOn w:val="Normal"/>
    <w:link w:val="Heading8Char"/>
    <w:qFormat/>
    <w:rsid w:val="00B22CC2"/>
    <w:pPr>
      <w:keepNext/>
      <w:numPr>
        <w:ilvl w:val="7"/>
        <w:numId w:val="5"/>
      </w:numPr>
      <w:spacing w:before="60"/>
      <w:outlineLvl w:val="7"/>
    </w:pPr>
    <w:rPr>
      <w:szCs w:val="20"/>
    </w:rPr>
  </w:style>
  <w:style w:type="paragraph" w:styleId="Heading9">
    <w:name w:val="heading 9"/>
    <w:aliases w:val="List 1"/>
    <w:basedOn w:val="Normal"/>
    <w:link w:val="Heading9Char"/>
    <w:uiPriority w:val="9"/>
    <w:qFormat/>
    <w:rsid w:val="00D36C0A"/>
    <w:pPr>
      <w:numPr>
        <w:ilvl w:val="8"/>
        <w:numId w:val="5"/>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36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0A"/>
    <w:rPr>
      <w:rFonts w:ascii="Segoe UI" w:hAnsi="Segoe UI" w:cs="Segoe UI"/>
      <w:color w:val="515151" w:themeColor="text1"/>
      <w:sz w:val="18"/>
      <w:szCs w:val="18"/>
    </w:rPr>
  </w:style>
  <w:style w:type="paragraph" w:customStyle="1" w:styleId="BodyText-Italic">
    <w:name w:val="Body Text - Italic"/>
    <w:basedOn w:val="BodyText"/>
    <w:uiPriority w:val="2"/>
    <w:rsid w:val="00D36C0A"/>
    <w:rPr>
      <w:i/>
    </w:rPr>
  </w:style>
  <w:style w:type="paragraph" w:customStyle="1" w:styleId="BodyText-Bold">
    <w:name w:val="Body Text - Bold"/>
    <w:basedOn w:val="BodyText"/>
    <w:uiPriority w:val="2"/>
    <w:rsid w:val="00D36C0A"/>
    <w:rPr>
      <w:b/>
    </w:rPr>
  </w:style>
  <w:style w:type="paragraph" w:styleId="BodyText">
    <w:name w:val="Body Text"/>
    <w:basedOn w:val="Normal"/>
    <w:link w:val="BodyTextChar"/>
    <w:uiPriority w:val="2"/>
    <w:qFormat/>
    <w:rsid w:val="00A12902"/>
    <w:pPr>
      <w:spacing w:line="240" w:lineRule="auto"/>
    </w:pPr>
    <w:rPr>
      <w:sz w:val="20"/>
    </w:rPr>
  </w:style>
  <w:style w:type="character" w:customStyle="1" w:styleId="BodyTextChar">
    <w:name w:val="Body Text Char"/>
    <w:basedOn w:val="DefaultParagraphFont"/>
    <w:link w:val="BodyText"/>
    <w:uiPriority w:val="2"/>
    <w:rsid w:val="00A12902"/>
    <w:rPr>
      <w:rFonts w:cs="Calibri"/>
      <w:sz w:val="20"/>
    </w:rPr>
  </w:style>
  <w:style w:type="paragraph" w:customStyle="1" w:styleId="BodyText-BoldItalic">
    <w:name w:val="Body Text - Bold Italic"/>
    <w:basedOn w:val="BodyText"/>
    <w:uiPriority w:val="2"/>
    <w:rsid w:val="00D36C0A"/>
    <w:rPr>
      <w:b/>
      <w:i/>
    </w:rPr>
  </w:style>
  <w:style w:type="paragraph" w:customStyle="1" w:styleId="BodyText2-Italic">
    <w:name w:val="Body Text 2 - Italic"/>
    <w:basedOn w:val="BodyText2"/>
    <w:uiPriority w:val="2"/>
    <w:rsid w:val="00D36C0A"/>
    <w:rPr>
      <w:i/>
    </w:rPr>
  </w:style>
  <w:style w:type="table" w:customStyle="1" w:styleId="BasicTable">
    <w:name w:val="Basic Table"/>
    <w:basedOn w:val="TableNormal"/>
    <w:uiPriority w:val="99"/>
    <w:rsid w:val="00D36C0A"/>
    <w:rPr>
      <w:rFonts w:cstheme="minorBidi"/>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115" w:type="dxa"/>
        <w:bottom w:w="86" w:type="dxa"/>
        <w:right w:w="115" w:type="dxa"/>
      </w:tblCellMar>
    </w:tblPr>
    <w:tcPr>
      <w:vAlign w:val="center"/>
    </w:tcPr>
  </w:style>
  <w:style w:type="table" w:customStyle="1" w:styleId="BlueBorderTable">
    <w:name w:val="Blue Border Table"/>
    <w:basedOn w:val="TableNormal"/>
    <w:uiPriority w:val="99"/>
    <w:rsid w:val="00D36C0A"/>
    <w:rPr>
      <w:rFonts w:cstheme="minorBidi"/>
      <w:sz w:val="24"/>
    </w:rPr>
    <w:tblPr>
      <w:tblStyleRowBandSize w:val="1"/>
      <w:tblStyleCol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44" w:type="dxa"/>
        <w:left w:w="144" w:type="dxa"/>
        <w:bottom w:w="144" w:type="dxa"/>
        <w:right w:w="144" w:type="dxa"/>
      </w:tblCellMar>
    </w:tblPr>
    <w:tcPr>
      <w:shd w:val="clear" w:color="auto" w:fill="auto"/>
      <w:vAlign w:val="center"/>
    </w:tcPr>
    <w:tblStylePr w:type="lastRow">
      <w:tblPr/>
      <w:tcPr>
        <w:shd w:val="clear" w:color="auto" w:fill="E5E5E5" w:themeFill="background2" w:themeFillTint="33"/>
      </w:tcPr>
    </w:tblStylePr>
  </w:style>
  <w:style w:type="paragraph" w:customStyle="1" w:styleId="DocTitle">
    <w:name w:val="Doc Title"/>
    <w:basedOn w:val="Normal"/>
    <w:uiPriority w:val="2"/>
    <w:rsid w:val="00D36C0A"/>
    <w:pPr>
      <w:spacing w:after="600"/>
    </w:pPr>
    <w:rPr>
      <w:rFonts w:asciiTheme="majorHAnsi" w:hAnsiTheme="majorHAnsi"/>
      <w:color w:val="0070C0"/>
      <w:sz w:val="52"/>
    </w:rPr>
  </w:style>
  <w:style w:type="paragraph" w:customStyle="1" w:styleId="DocTitleCover">
    <w:name w:val="Doc Title Cover"/>
    <w:basedOn w:val="DocTitle"/>
    <w:uiPriority w:val="2"/>
    <w:rsid w:val="00D36C0A"/>
    <w:pPr>
      <w:pBdr>
        <w:top w:val="single" w:sz="2" w:space="14" w:color="9F9F9F" w:themeColor="text2"/>
      </w:pBdr>
    </w:pPr>
    <w:rPr>
      <w:rFonts w:asciiTheme="minorHAnsi" w:hAnsiTheme="minorHAnsi"/>
      <w:sz w:val="80"/>
      <w:szCs w:val="80"/>
    </w:rPr>
  </w:style>
  <w:style w:type="paragraph" w:customStyle="1" w:styleId="BulletParagraph-1">
    <w:name w:val="Bullet Paragraph - 1"/>
    <w:basedOn w:val="Normal"/>
    <w:link w:val="BulletParagraph-1Char"/>
    <w:uiPriority w:val="1"/>
    <w:qFormat/>
    <w:rsid w:val="00D36C0A"/>
    <w:pPr>
      <w:numPr>
        <w:numId w:val="4"/>
      </w:numPr>
      <w:spacing w:before="120" w:after="60"/>
    </w:pPr>
  </w:style>
  <w:style w:type="character" w:customStyle="1" w:styleId="Heading1Char">
    <w:name w:val="Heading 1 Char"/>
    <w:basedOn w:val="DefaultParagraphFont"/>
    <w:link w:val="Heading1"/>
    <w:rsid w:val="00C765D0"/>
    <w:rPr>
      <w:rFonts w:cs="Calibri"/>
      <w:color w:val="0070C0"/>
      <w:sz w:val="28"/>
      <w:szCs w:val="40"/>
    </w:rPr>
  </w:style>
  <w:style w:type="character" w:customStyle="1" w:styleId="Heading2Char">
    <w:name w:val="Heading 2 Char"/>
    <w:basedOn w:val="DefaultParagraphFont"/>
    <w:link w:val="Heading2"/>
    <w:rsid w:val="00834565"/>
    <w:rPr>
      <w:rFonts w:cs="Calibri"/>
      <w:b/>
      <w:color w:val="284B7B" w:themeColor="accent3" w:themeShade="80"/>
    </w:rPr>
  </w:style>
  <w:style w:type="character" w:customStyle="1" w:styleId="Heading3Char">
    <w:name w:val="Heading 3 Char"/>
    <w:basedOn w:val="DefaultParagraphFont"/>
    <w:link w:val="Heading3"/>
    <w:rsid w:val="007C4AA6"/>
    <w:rPr>
      <w:rFonts w:cs="Calibri"/>
      <w:b/>
      <w:bCs/>
    </w:rPr>
  </w:style>
  <w:style w:type="character" w:customStyle="1" w:styleId="Heading7Char">
    <w:name w:val="Heading 7 Char"/>
    <w:basedOn w:val="DefaultParagraphFont"/>
    <w:link w:val="Heading7"/>
    <w:rsid w:val="00D36C0A"/>
    <w:rPr>
      <w:rFonts w:cs="Calibri"/>
    </w:rPr>
  </w:style>
  <w:style w:type="character" w:customStyle="1" w:styleId="Heading8Char">
    <w:name w:val="Heading 8 Char"/>
    <w:basedOn w:val="DefaultParagraphFont"/>
    <w:link w:val="Heading8"/>
    <w:rsid w:val="00B22CC2"/>
    <w:rPr>
      <w:rFonts w:cs="Calibri"/>
      <w:szCs w:val="20"/>
    </w:rPr>
  </w:style>
  <w:style w:type="character" w:customStyle="1" w:styleId="Heading9Char">
    <w:name w:val="Heading 9 Char"/>
    <w:aliases w:val="List 1 Char"/>
    <w:basedOn w:val="DefaultParagraphFont"/>
    <w:link w:val="Heading9"/>
    <w:uiPriority w:val="9"/>
    <w:rsid w:val="00D36C0A"/>
    <w:rPr>
      <w:rFonts w:cs="Calibri"/>
      <w:szCs w:val="20"/>
    </w:rPr>
  </w:style>
  <w:style w:type="numbering" w:customStyle="1" w:styleId="HeadingNum-List">
    <w:name w:val="Heading Num - List"/>
    <w:uiPriority w:val="99"/>
    <w:rsid w:val="00D36C0A"/>
    <w:pPr>
      <w:numPr>
        <w:numId w:val="1"/>
      </w:numPr>
    </w:pPr>
  </w:style>
  <w:style w:type="table" w:customStyle="1" w:styleId="ImageTable">
    <w:name w:val="Image Table"/>
    <w:basedOn w:val="TableNormal"/>
    <w:uiPriority w:val="99"/>
    <w:rsid w:val="00D36C0A"/>
    <w:pPr>
      <w:widowControl w:val="0"/>
      <w:jc w:val="center"/>
    </w:pPr>
    <w:rPr>
      <w:rFonts w:cstheme="minorBidi"/>
      <w:sz w:val="2"/>
    </w:rPr>
    <w:tblPr>
      <w:tblCellMar>
        <w:top w:w="29" w:type="dxa"/>
        <w:left w:w="29" w:type="dxa"/>
        <w:bottom w:w="29" w:type="dxa"/>
        <w:right w:w="29" w:type="dxa"/>
      </w:tblCellMar>
    </w:tblPr>
    <w:tcPr>
      <w:shd w:val="clear" w:color="auto" w:fill="auto"/>
      <w:vAlign w:val="center"/>
    </w:tcPr>
  </w:style>
  <w:style w:type="table" w:customStyle="1" w:styleId="InsetTable">
    <w:name w:val="Inset Table"/>
    <w:basedOn w:val="TableNormal"/>
    <w:uiPriority w:val="99"/>
    <w:rsid w:val="00D36C0A"/>
    <w:rPr>
      <w:rFonts w:cstheme="minorBidi"/>
    </w:rPr>
    <w:tblPr>
      <w:tblCellMar>
        <w:top w:w="259" w:type="dxa"/>
        <w:left w:w="259" w:type="dxa"/>
        <w:bottom w:w="259" w:type="dxa"/>
        <w:right w:w="259" w:type="dxa"/>
      </w:tblCellMar>
    </w:tblPr>
    <w:tcPr>
      <w:shd w:val="clear" w:color="auto" w:fill="F2F2F2" w:themeFill="background1" w:themeFillShade="F2"/>
    </w:tcPr>
  </w:style>
  <w:style w:type="table" w:customStyle="1" w:styleId="InvisibleTable">
    <w:name w:val="Invisible Table"/>
    <w:basedOn w:val="TableNormal"/>
    <w:uiPriority w:val="99"/>
    <w:rsid w:val="00D36C0A"/>
    <w:rPr>
      <w:rFonts w:cstheme="minorBidi"/>
    </w:rPr>
    <w:tblPr>
      <w:tblCellMar>
        <w:top w:w="58" w:type="dxa"/>
        <w:left w:w="115" w:type="dxa"/>
        <w:bottom w:w="58" w:type="dxa"/>
        <w:right w:w="115" w:type="dxa"/>
      </w:tblCellMar>
    </w:tblPr>
    <w:tcPr>
      <w:vAlign w:val="center"/>
    </w:tcPr>
  </w:style>
  <w:style w:type="paragraph" w:styleId="BodyText2">
    <w:name w:val="Body Text 2"/>
    <w:basedOn w:val="Normal"/>
    <w:link w:val="BodyText2Char"/>
    <w:uiPriority w:val="2"/>
    <w:rsid w:val="00D36C0A"/>
    <w:pPr>
      <w:spacing w:before="200" w:after="120"/>
      <w:ind w:left="360"/>
    </w:pPr>
  </w:style>
  <w:style w:type="character" w:customStyle="1" w:styleId="BodyText2Char">
    <w:name w:val="Body Text 2 Char"/>
    <w:basedOn w:val="DefaultParagraphFont"/>
    <w:link w:val="BodyText2"/>
    <w:uiPriority w:val="2"/>
    <w:rsid w:val="00D36C0A"/>
    <w:rPr>
      <w:rFonts w:ascii="Calibri" w:hAnsi="Calibri" w:cstheme="minorBidi"/>
      <w:color w:val="515151" w:themeColor="text1"/>
      <w:sz w:val="22"/>
    </w:rPr>
  </w:style>
  <w:style w:type="paragraph" w:customStyle="1" w:styleId="FooterText1">
    <w:name w:val="Footer Text 1"/>
    <w:basedOn w:val="Normal"/>
    <w:uiPriority w:val="99"/>
    <w:rsid w:val="00D36C0A"/>
    <w:rPr>
      <w:rFonts w:eastAsia="Gulim"/>
      <w:sz w:val="16"/>
      <w:szCs w:val="20"/>
    </w:rPr>
  </w:style>
  <w:style w:type="paragraph" w:customStyle="1" w:styleId="FooterText2">
    <w:name w:val="Footer Text 2"/>
    <w:basedOn w:val="Normal"/>
    <w:uiPriority w:val="99"/>
    <w:rsid w:val="00D36C0A"/>
    <w:pPr>
      <w:jc w:val="right"/>
    </w:pPr>
    <w:rPr>
      <w:rFonts w:eastAsia="Gulim"/>
      <w:b/>
      <w:color w:val="00B0F0"/>
      <w:sz w:val="20"/>
      <w:szCs w:val="20"/>
    </w:rPr>
  </w:style>
  <w:style w:type="character" w:customStyle="1" w:styleId="Heading4Char">
    <w:name w:val="Heading 4 Char"/>
    <w:basedOn w:val="DefaultParagraphFont"/>
    <w:link w:val="Heading4"/>
    <w:rsid w:val="00D36C0A"/>
    <w:rPr>
      <w:rFonts w:cs="Calibri"/>
      <w:i/>
      <w:color w:val="0070C0"/>
    </w:rPr>
  </w:style>
  <w:style w:type="character" w:customStyle="1" w:styleId="Heading5Char">
    <w:name w:val="Heading 5 Char"/>
    <w:basedOn w:val="DefaultParagraphFont"/>
    <w:link w:val="Heading5"/>
    <w:rsid w:val="00D36C0A"/>
    <w:rPr>
      <w:rFonts w:cs="Calibri"/>
    </w:rPr>
  </w:style>
  <w:style w:type="character" w:customStyle="1" w:styleId="Heading6Char">
    <w:name w:val="Heading 6 Char"/>
    <w:basedOn w:val="DefaultParagraphFont"/>
    <w:link w:val="Heading6"/>
    <w:rsid w:val="00B22CC2"/>
    <w:rPr>
      <w:rFonts w:cs="Calibri"/>
    </w:rPr>
  </w:style>
  <w:style w:type="paragraph" w:customStyle="1" w:styleId="BulletParagraph-2">
    <w:name w:val="Bullet Paragraph - 2"/>
    <w:basedOn w:val="Normal"/>
    <w:uiPriority w:val="1"/>
    <w:qFormat/>
    <w:rsid w:val="00D36C0A"/>
    <w:pPr>
      <w:numPr>
        <w:ilvl w:val="1"/>
        <w:numId w:val="4"/>
      </w:numPr>
      <w:spacing w:before="120" w:after="60"/>
    </w:pPr>
  </w:style>
  <w:style w:type="paragraph" w:customStyle="1" w:styleId="BodyText-BoldUnderline">
    <w:name w:val="Body Text - Bold Underline"/>
    <w:basedOn w:val="BodyText"/>
    <w:uiPriority w:val="2"/>
    <w:rsid w:val="00D36C0A"/>
    <w:rPr>
      <w:b/>
      <w:u w:val="single"/>
    </w:rPr>
  </w:style>
  <w:style w:type="paragraph" w:styleId="Caption">
    <w:name w:val="caption"/>
    <w:basedOn w:val="Normal"/>
    <w:next w:val="Normal"/>
    <w:uiPriority w:val="35"/>
    <w:unhideWhenUsed/>
    <w:rsid w:val="00B903EC"/>
    <w:pPr>
      <w:spacing w:after="120"/>
    </w:pPr>
    <w:rPr>
      <w:i/>
      <w:iCs/>
      <w:color w:val="135E83" w:themeColor="accent1" w:themeShade="80"/>
      <w:szCs w:val="18"/>
    </w:rPr>
  </w:style>
  <w:style w:type="character" w:styleId="CommentReference">
    <w:name w:val="annotation reference"/>
    <w:basedOn w:val="DefaultParagraphFont"/>
    <w:uiPriority w:val="99"/>
    <w:semiHidden/>
    <w:unhideWhenUsed/>
    <w:rsid w:val="00D36C0A"/>
    <w:rPr>
      <w:rFonts w:ascii="Calibri" w:hAnsi="Calibri" w:cs="Calibri"/>
      <w:color w:val="515151" w:themeColor="text1"/>
      <w:sz w:val="16"/>
      <w:szCs w:val="16"/>
    </w:rPr>
  </w:style>
  <w:style w:type="paragraph" w:styleId="CommentSubject">
    <w:name w:val="annotation subject"/>
    <w:basedOn w:val="Normal"/>
    <w:next w:val="Normal"/>
    <w:link w:val="CommentSubjectChar"/>
    <w:uiPriority w:val="99"/>
    <w:semiHidden/>
    <w:unhideWhenUsed/>
    <w:rsid w:val="00D36C0A"/>
    <w:rPr>
      <w:b/>
      <w:bCs/>
      <w:sz w:val="20"/>
      <w:szCs w:val="20"/>
    </w:rPr>
  </w:style>
  <w:style w:type="character" w:customStyle="1" w:styleId="CommentSubjectChar">
    <w:name w:val="Comment Subject Char"/>
    <w:basedOn w:val="DefaultParagraphFont"/>
    <w:link w:val="CommentSubject"/>
    <w:uiPriority w:val="99"/>
    <w:semiHidden/>
    <w:rsid w:val="00D36C0A"/>
    <w:rPr>
      <w:rFonts w:ascii="Calibri" w:hAnsi="Calibri" w:cstheme="minorBidi"/>
      <w:b/>
      <w:bCs/>
      <w:color w:val="515151" w:themeColor="text1"/>
      <w:sz w:val="20"/>
      <w:szCs w:val="20"/>
    </w:rPr>
  </w:style>
  <w:style w:type="paragraph" w:customStyle="1" w:styleId="BulletParagraph-3">
    <w:name w:val="Bullet Paragraph - 3"/>
    <w:basedOn w:val="Normal"/>
    <w:uiPriority w:val="1"/>
    <w:rsid w:val="00D36C0A"/>
    <w:pPr>
      <w:numPr>
        <w:ilvl w:val="2"/>
        <w:numId w:val="4"/>
      </w:numPr>
      <w:spacing w:before="120" w:after="60"/>
    </w:pPr>
  </w:style>
  <w:style w:type="numbering" w:customStyle="1" w:styleId="BulletParagraph-List">
    <w:name w:val="Bullet Paragraph - List"/>
    <w:uiPriority w:val="99"/>
    <w:rsid w:val="00D36C0A"/>
    <w:pPr>
      <w:numPr>
        <w:numId w:val="2"/>
      </w:numPr>
    </w:pPr>
  </w:style>
  <w:style w:type="paragraph" w:styleId="Footer">
    <w:name w:val="footer"/>
    <w:basedOn w:val="Normal"/>
    <w:link w:val="FooterChar"/>
    <w:uiPriority w:val="99"/>
    <w:rsid w:val="00D36C0A"/>
    <w:pPr>
      <w:tabs>
        <w:tab w:val="center" w:pos="4680"/>
        <w:tab w:val="right" w:pos="9360"/>
      </w:tabs>
    </w:pPr>
    <w:rPr>
      <w:sz w:val="2"/>
    </w:rPr>
  </w:style>
  <w:style w:type="character" w:customStyle="1" w:styleId="FooterChar">
    <w:name w:val="Footer Char"/>
    <w:basedOn w:val="DefaultParagraphFont"/>
    <w:link w:val="Footer"/>
    <w:uiPriority w:val="99"/>
    <w:rsid w:val="00D36C0A"/>
    <w:rPr>
      <w:rFonts w:ascii="Calibri" w:hAnsi="Calibri" w:cstheme="minorBidi"/>
      <w:color w:val="515151" w:themeColor="text1"/>
      <w:sz w:val="2"/>
    </w:rPr>
  </w:style>
  <w:style w:type="paragraph" w:customStyle="1" w:styleId="BodyText-Blue">
    <w:name w:val="Body Text - Blue"/>
    <w:basedOn w:val="BodyText"/>
    <w:uiPriority w:val="2"/>
    <w:rsid w:val="00D36C0A"/>
    <w:rPr>
      <w:color w:val="0070C0"/>
    </w:rPr>
  </w:style>
  <w:style w:type="paragraph" w:customStyle="1" w:styleId="BodyText-6ptSpacing">
    <w:name w:val="Body Text - 6pt Spacing"/>
    <w:basedOn w:val="BodyText"/>
    <w:uiPriority w:val="2"/>
    <w:rsid w:val="00D36C0A"/>
    <w:pPr>
      <w:spacing w:before="120"/>
    </w:pPr>
  </w:style>
  <w:style w:type="table" w:styleId="GridTable1Light-Accent1">
    <w:name w:val="Grid Table 1 Light Accent 1"/>
    <w:basedOn w:val="TableNormal"/>
    <w:uiPriority w:val="46"/>
    <w:rsid w:val="00D36C0A"/>
    <w:rPr>
      <w:rFonts w:asciiTheme="minorHAnsi" w:hAnsiTheme="minorHAnsi" w:cstheme="minorBidi"/>
      <w:color w:val="auto"/>
    </w:rPr>
    <w:tblPr>
      <w:tblStyleRowBandSize w:val="1"/>
      <w:tblStyleColBandSize w:val="1"/>
      <w:tblBorders>
        <w:top w:val="single" w:sz="4" w:space="0" w:color="B6DFF4" w:themeColor="accent1" w:themeTint="66"/>
        <w:left w:val="single" w:sz="4" w:space="0" w:color="B6DFF4" w:themeColor="accent1" w:themeTint="66"/>
        <w:bottom w:val="single" w:sz="4" w:space="0" w:color="B6DFF4" w:themeColor="accent1" w:themeTint="66"/>
        <w:right w:val="single" w:sz="4" w:space="0" w:color="B6DFF4" w:themeColor="accent1" w:themeTint="66"/>
        <w:insideH w:val="single" w:sz="4" w:space="0" w:color="B6DFF4" w:themeColor="accent1" w:themeTint="66"/>
        <w:insideV w:val="single" w:sz="4" w:space="0" w:color="B6DFF4" w:themeColor="accent1" w:themeTint="66"/>
      </w:tblBorders>
    </w:tblPr>
    <w:tblStylePr w:type="firstRow">
      <w:rPr>
        <w:b/>
        <w:bCs/>
      </w:rPr>
      <w:tblPr/>
      <w:tcPr>
        <w:tcBorders>
          <w:bottom w:val="single" w:sz="12" w:space="0" w:color="92CFEE" w:themeColor="accent1" w:themeTint="99"/>
        </w:tcBorders>
      </w:tcPr>
    </w:tblStylePr>
    <w:tblStylePr w:type="lastRow">
      <w:rPr>
        <w:b/>
        <w:bCs/>
      </w:rPr>
      <w:tblPr/>
      <w:tcPr>
        <w:tcBorders>
          <w:top w:val="double" w:sz="2" w:space="0" w:color="92CFE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D36C0A"/>
    <w:rPr>
      <w:rFonts w:asciiTheme="minorHAnsi" w:hAnsiTheme="minorHAnsi" w:cstheme="minorBidi"/>
      <w:color w:val="auto"/>
    </w:rPr>
    <w:tblPr>
      <w:tblStyleRowBandSize w:val="1"/>
      <w:tblStyleColBandSize w:val="1"/>
      <w:tblBorders>
        <w:top w:val="single" w:sz="2" w:space="0" w:color="969696" w:themeColor="text1" w:themeTint="99"/>
        <w:bottom w:val="single" w:sz="2" w:space="0" w:color="969696" w:themeColor="text1" w:themeTint="99"/>
        <w:insideH w:val="single" w:sz="2" w:space="0" w:color="969696" w:themeColor="text1" w:themeTint="99"/>
        <w:insideV w:val="single" w:sz="2" w:space="0" w:color="969696" w:themeColor="text1" w:themeTint="99"/>
      </w:tblBorders>
    </w:tblPr>
    <w:tblStylePr w:type="firstRow">
      <w:rPr>
        <w:b/>
        <w:bCs/>
      </w:rPr>
      <w:tblPr/>
      <w:tcPr>
        <w:tcBorders>
          <w:top w:val="nil"/>
          <w:bottom w:val="single" w:sz="12" w:space="0" w:color="969696" w:themeColor="text1" w:themeTint="99"/>
          <w:insideH w:val="nil"/>
          <w:insideV w:val="nil"/>
        </w:tcBorders>
        <w:shd w:val="clear" w:color="auto" w:fill="FFFFFF" w:themeFill="background1"/>
      </w:tcPr>
    </w:tblStylePr>
    <w:tblStylePr w:type="lastRow">
      <w:rPr>
        <w:b/>
        <w:bCs/>
      </w:rPr>
      <w:tblPr/>
      <w:tcPr>
        <w:tcBorders>
          <w:top w:val="double" w:sz="2" w:space="0" w:color="9696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2-Accent1">
    <w:name w:val="Grid Table 2 Accent 1"/>
    <w:basedOn w:val="TableNormal"/>
    <w:uiPriority w:val="47"/>
    <w:rsid w:val="00D36C0A"/>
    <w:rPr>
      <w:rFonts w:asciiTheme="minorHAnsi" w:hAnsiTheme="minorHAnsi" w:cstheme="minorBidi"/>
      <w:color w:val="auto"/>
    </w:rPr>
    <w:tblPr>
      <w:tblStyleRowBandSize w:val="1"/>
      <w:tblStyleColBandSize w:val="1"/>
      <w:tblBorders>
        <w:top w:val="single" w:sz="2" w:space="0" w:color="92CFEE" w:themeColor="accent1" w:themeTint="99"/>
        <w:bottom w:val="single" w:sz="2" w:space="0" w:color="92CFEE" w:themeColor="accent1" w:themeTint="99"/>
        <w:insideH w:val="single" w:sz="2" w:space="0" w:color="92CFEE" w:themeColor="accent1" w:themeTint="99"/>
        <w:insideV w:val="single" w:sz="2" w:space="0" w:color="92CFEE" w:themeColor="accent1" w:themeTint="99"/>
      </w:tblBorders>
    </w:tblPr>
    <w:tblStylePr w:type="firstRow">
      <w:rPr>
        <w:b/>
        <w:bCs/>
      </w:rPr>
      <w:tblPr/>
      <w:tcPr>
        <w:tcBorders>
          <w:top w:val="nil"/>
          <w:bottom w:val="single" w:sz="12" w:space="0" w:color="92CFEE" w:themeColor="accent1" w:themeTint="99"/>
          <w:insideH w:val="nil"/>
          <w:insideV w:val="nil"/>
        </w:tcBorders>
        <w:shd w:val="clear" w:color="auto" w:fill="FFFFFF" w:themeFill="background1"/>
      </w:tcPr>
    </w:tblStylePr>
    <w:tblStylePr w:type="lastRow">
      <w:rPr>
        <w:b/>
        <w:bCs/>
      </w:rPr>
      <w:tblPr/>
      <w:tcPr>
        <w:tcBorders>
          <w:top w:val="double" w:sz="2" w:space="0" w:color="92CF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F9" w:themeFill="accent1" w:themeFillTint="33"/>
      </w:tcPr>
    </w:tblStylePr>
    <w:tblStylePr w:type="band1Horz">
      <w:tblPr/>
      <w:tcPr>
        <w:shd w:val="clear" w:color="auto" w:fill="DAEFF9" w:themeFill="accent1" w:themeFillTint="33"/>
      </w:tcPr>
    </w:tblStylePr>
  </w:style>
  <w:style w:type="table" w:styleId="GridTable2-Accent3">
    <w:name w:val="Grid Table 2 Accent 3"/>
    <w:basedOn w:val="TableNormal"/>
    <w:uiPriority w:val="47"/>
    <w:rsid w:val="00D36C0A"/>
    <w:rPr>
      <w:rFonts w:asciiTheme="minorHAnsi" w:hAnsiTheme="minorHAnsi" w:cstheme="minorBidi"/>
      <w:color w:val="auto"/>
    </w:rPr>
    <w:tblPr>
      <w:tblStyleRowBandSize w:val="1"/>
      <w:tblStyleColBandSize w:val="1"/>
      <w:tblBorders>
        <w:top w:val="single" w:sz="2" w:space="0" w:color="ACC3E4" w:themeColor="accent3" w:themeTint="99"/>
        <w:bottom w:val="single" w:sz="2" w:space="0" w:color="ACC3E4" w:themeColor="accent3" w:themeTint="99"/>
        <w:insideH w:val="single" w:sz="2" w:space="0" w:color="ACC3E4" w:themeColor="accent3" w:themeTint="99"/>
        <w:insideV w:val="single" w:sz="2" w:space="0" w:color="ACC3E4" w:themeColor="accent3" w:themeTint="99"/>
      </w:tblBorders>
    </w:tblPr>
    <w:tblStylePr w:type="firstRow">
      <w:rPr>
        <w:b/>
        <w:bCs/>
      </w:rPr>
      <w:tblPr/>
      <w:tcPr>
        <w:tcBorders>
          <w:top w:val="nil"/>
          <w:bottom w:val="single" w:sz="12" w:space="0" w:color="ACC3E4" w:themeColor="accent3" w:themeTint="99"/>
          <w:insideH w:val="nil"/>
          <w:insideV w:val="nil"/>
        </w:tcBorders>
        <w:shd w:val="clear" w:color="auto" w:fill="FFFFFF" w:themeFill="background1"/>
      </w:tcPr>
    </w:tblStylePr>
    <w:tblStylePr w:type="lastRow">
      <w:rPr>
        <w:b/>
        <w:bCs/>
      </w:rPr>
      <w:tblPr/>
      <w:tcPr>
        <w:tcBorders>
          <w:top w:val="double" w:sz="2" w:space="0" w:color="ACC3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BF6" w:themeFill="accent3" w:themeFillTint="33"/>
      </w:tcPr>
    </w:tblStylePr>
    <w:tblStylePr w:type="band1Horz">
      <w:tblPr/>
      <w:tcPr>
        <w:shd w:val="clear" w:color="auto" w:fill="E3EBF6" w:themeFill="accent3" w:themeFillTint="33"/>
      </w:tcPr>
    </w:tblStylePr>
  </w:style>
  <w:style w:type="paragraph" w:styleId="Header">
    <w:name w:val="header"/>
    <w:basedOn w:val="Normal"/>
    <w:link w:val="HeaderChar"/>
    <w:uiPriority w:val="99"/>
    <w:rsid w:val="00D36C0A"/>
    <w:pPr>
      <w:tabs>
        <w:tab w:val="center" w:pos="4680"/>
        <w:tab w:val="right" w:pos="9360"/>
      </w:tabs>
    </w:pPr>
  </w:style>
  <w:style w:type="character" w:customStyle="1" w:styleId="HeaderChar">
    <w:name w:val="Header Char"/>
    <w:basedOn w:val="DefaultParagraphFont"/>
    <w:link w:val="Header"/>
    <w:uiPriority w:val="99"/>
    <w:rsid w:val="00D36C0A"/>
    <w:rPr>
      <w:rFonts w:ascii="Calibri" w:hAnsi="Calibri" w:cstheme="minorBidi"/>
      <w:color w:val="515151" w:themeColor="text1"/>
      <w:sz w:val="22"/>
    </w:rPr>
  </w:style>
  <w:style w:type="paragraph" w:customStyle="1" w:styleId="BodyText-Underline">
    <w:name w:val="Body Text - Underline"/>
    <w:basedOn w:val="BodyText"/>
    <w:uiPriority w:val="2"/>
    <w:rsid w:val="00D36C0A"/>
    <w:rPr>
      <w:u w:val="single"/>
    </w:rPr>
  </w:style>
  <w:style w:type="character" w:styleId="Hyperlink">
    <w:name w:val="Hyperlink"/>
    <w:basedOn w:val="DefaultParagraphFont"/>
    <w:uiPriority w:val="99"/>
    <w:rsid w:val="00D36C0A"/>
    <w:rPr>
      <w:rFonts w:ascii="Calibri" w:hAnsi="Calibri" w:cs="Calibri"/>
      <w:color w:val="1B6AA3" w:themeColor="hyperlink"/>
      <w:sz w:val="22"/>
      <w:u w:val="single"/>
    </w:rPr>
  </w:style>
  <w:style w:type="table" w:customStyle="1" w:styleId="BandedBlueTable">
    <w:name w:val="Banded Blue Table"/>
    <w:basedOn w:val="TableNormal"/>
    <w:uiPriority w:val="99"/>
    <w:rsid w:val="00D36C0A"/>
    <w:rPr>
      <w:rFonts w:cstheme="minorBidi"/>
    </w:rPr>
    <w:tblPr>
      <w:tblStyleRowBandSize w:val="1"/>
      <w:tblBorders>
        <w:top w:val="single" w:sz="4" w:space="0" w:color="92CFEE" w:themeColor="accent1" w:themeTint="99"/>
        <w:left w:val="single" w:sz="4" w:space="0" w:color="92CFEE" w:themeColor="accent1" w:themeTint="99"/>
        <w:bottom w:val="single" w:sz="4" w:space="0" w:color="92CFEE" w:themeColor="accent1" w:themeTint="99"/>
        <w:right w:val="single" w:sz="4" w:space="0" w:color="92CFEE" w:themeColor="accent1" w:themeTint="99"/>
        <w:insideH w:val="single" w:sz="4" w:space="0" w:color="92CFEE" w:themeColor="accent1" w:themeTint="99"/>
        <w:insideV w:val="single" w:sz="4" w:space="0" w:color="92CFEE" w:themeColor="accent1" w:themeTint="99"/>
      </w:tblBorders>
      <w:tblCellMar>
        <w:top w:w="86" w:type="dxa"/>
        <w:left w:w="115" w:type="dxa"/>
        <w:bottom w:w="86" w:type="dxa"/>
        <w:right w:w="115" w:type="dxa"/>
      </w:tblCellMar>
    </w:tblPr>
    <w:tblStylePr w:type="firstRow">
      <w:rPr>
        <w:b/>
        <w:color w:val="FFFFFF" w:themeColor="background1"/>
        <w:sz w:val="20"/>
      </w:rPr>
      <w:tblPr/>
      <w:tcPr>
        <w:shd w:val="clear" w:color="auto" w:fill="1D8CC4" w:themeFill="accent1" w:themeFillShade="BF"/>
      </w:tcPr>
    </w:tblStylePr>
    <w:tblStylePr w:type="band2Horz">
      <w:tblPr/>
      <w:tcPr>
        <w:shd w:val="clear" w:color="auto" w:fill="DAEFF9" w:themeFill="accent1" w:themeFillTint="33"/>
      </w:tcPr>
    </w:tblStylePr>
  </w:style>
  <w:style w:type="table" w:customStyle="1" w:styleId="BandedGreyTable">
    <w:name w:val="Banded Grey Table"/>
    <w:basedOn w:val="TableNormal"/>
    <w:uiPriority w:val="99"/>
    <w:rsid w:val="00D36C0A"/>
    <w:rPr>
      <w:rFonts w:cstheme="minorBidi"/>
      <w:color w:val="auto"/>
    </w:rPr>
    <w:tblPr>
      <w:tblStyleRowBandSize w:val="1"/>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6" w:type="dxa"/>
        <w:left w:w="115" w:type="dxa"/>
        <w:bottom w:w="86" w:type="dxa"/>
        <w:right w:w="115" w:type="dxa"/>
      </w:tblCellMar>
    </w:tblPr>
    <w:tcPr>
      <w:shd w:val="clear" w:color="auto" w:fill="auto"/>
      <w:vAlign w:val="center"/>
    </w:tcPr>
    <w:tblStylePr w:type="firstRow">
      <w:pPr>
        <w:jc w:val="left"/>
      </w:pPr>
      <w:rPr>
        <w:rFonts w:ascii="Calibri" w:hAnsi="Calibri"/>
        <w:b/>
        <w:i w:val="0"/>
        <w:color w:val="FFFFFF" w:themeColor="background1"/>
        <w:sz w:val="20"/>
      </w:rPr>
      <w:tblPr/>
      <w:tcPr>
        <w:shd w:val="clear" w:color="auto" w:fill="9F9F9F" w:themeFill="text2"/>
      </w:tcPr>
    </w:tblStylePr>
    <w:tblStylePr w:type="band1Horz">
      <w:pPr>
        <w:jc w:val="left"/>
      </w:pPr>
      <w:rPr>
        <w:rFonts w:ascii="Calibri" w:hAnsi="Calibri"/>
        <w:color w:val="515151" w:themeColor="text1"/>
        <w:sz w:val="22"/>
      </w:rPr>
      <w:tblPr/>
      <w:tcPr>
        <w:shd w:val="clear" w:color="auto" w:fill="FFFFFF" w:themeFill="background1"/>
      </w:tcPr>
    </w:tblStylePr>
    <w:tblStylePr w:type="band2Horz">
      <w:pPr>
        <w:jc w:val="left"/>
      </w:pPr>
      <w:rPr>
        <w:rFonts w:ascii="Calibri" w:hAnsi="Calibri"/>
        <w:color w:val="515151" w:themeColor="text1"/>
        <w:sz w:val="22"/>
      </w:rPr>
      <w:tblPr/>
      <w:tcPr>
        <w:shd w:val="clear" w:color="auto" w:fill="F2F2F2" w:themeFill="background1" w:themeFillShade="F2"/>
      </w:tcPr>
    </w:tblStylePr>
  </w:style>
  <w:style w:type="paragraph" w:customStyle="1" w:styleId="BulletList-1">
    <w:name w:val="Bullet List - 1"/>
    <w:basedOn w:val="Normal"/>
    <w:uiPriority w:val="1"/>
    <w:qFormat/>
    <w:rsid w:val="00D36C0A"/>
    <w:pPr>
      <w:tabs>
        <w:tab w:val="num" w:pos="720"/>
      </w:tabs>
      <w:ind w:left="720" w:hanging="360"/>
      <w:contextualSpacing/>
    </w:pPr>
    <w:rPr>
      <w:rFonts w:cs="Times New Roman"/>
    </w:rPr>
  </w:style>
  <w:style w:type="table" w:styleId="ListTable1Light-Accent3">
    <w:name w:val="List Table 1 Light Accent 3"/>
    <w:basedOn w:val="TableNormal"/>
    <w:uiPriority w:val="46"/>
    <w:rsid w:val="00D36C0A"/>
    <w:rPr>
      <w:rFonts w:asciiTheme="minorHAnsi" w:hAnsiTheme="minorHAnsi" w:cstheme="minorBidi"/>
      <w:color w:val="auto"/>
    </w:rPr>
    <w:tblPr>
      <w:tblStyleRowBandSize w:val="1"/>
      <w:tblStyleColBandSize w:val="1"/>
    </w:tblPr>
    <w:tblStylePr w:type="firstRow">
      <w:rPr>
        <w:b/>
        <w:bCs/>
      </w:rPr>
      <w:tblPr/>
      <w:tcPr>
        <w:tcBorders>
          <w:bottom w:val="single" w:sz="4" w:space="0" w:color="ACC3E4" w:themeColor="accent3" w:themeTint="99"/>
        </w:tcBorders>
      </w:tcPr>
    </w:tblStylePr>
    <w:tblStylePr w:type="lastRow">
      <w:rPr>
        <w:b/>
        <w:bCs/>
      </w:rPr>
      <w:tblPr/>
      <w:tcPr>
        <w:tcBorders>
          <w:top w:val="single" w:sz="4" w:space="0" w:color="ACC3E4" w:themeColor="accent3" w:themeTint="99"/>
        </w:tcBorders>
      </w:tcPr>
    </w:tblStylePr>
    <w:tblStylePr w:type="firstCol">
      <w:rPr>
        <w:b/>
        <w:bCs/>
      </w:rPr>
    </w:tblStylePr>
    <w:tblStylePr w:type="lastCol">
      <w:rPr>
        <w:b/>
        <w:bCs/>
      </w:rPr>
    </w:tblStylePr>
    <w:tblStylePr w:type="band1Vert">
      <w:tblPr/>
      <w:tcPr>
        <w:shd w:val="clear" w:color="auto" w:fill="E3EBF6" w:themeFill="accent3" w:themeFillTint="33"/>
      </w:tcPr>
    </w:tblStylePr>
    <w:tblStylePr w:type="band1Horz">
      <w:tblPr/>
      <w:tcPr>
        <w:shd w:val="clear" w:color="auto" w:fill="E3EBF6" w:themeFill="accent3" w:themeFillTint="33"/>
      </w:tcPr>
    </w:tblStylePr>
  </w:style>
  <w:style w:type="table" w:styleId="PlainTable1">
    <w:name w:val="Plain Table 1"/>
    <w:basedOn w:val="TableNormal"/>
    <w:uiPriority w:val="41"/>
    <w:rsid w:val="00D36C0A"/>
    <w:rPr>
      <w:rFonts w:ascii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36C0A"/>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vAlign w:val="center"/>
    </w:tcPr>
  </w:style>
  <w:style w:type="paragraph" w:styleId="TOC1">
    <w:name w:val="toc 1"/>
    <w:basedOn w:val="Normal"/>
    <w:next w:val="Normal"/>
    <w:autoRedefine/>
    <w:uiPriority w:val="39"/>
    <w:unhideWhenUsed/>
    <w:rsid w:val="002D7B4D"/>
    <w:pPr>
      <w:keepNext/>
      <w:tabs>
        <w:tab w:val="left" w:pos="360"/>
        <w:tab w:val="right" w:leader="dot" w:pos="9350"/>
      </w:tabs>
      <w:spacing w:before="240" w:after="120"/>
      <w:ind w:left="360" w:hanging="360"/>
    </w:pPr>
    <w:rPr>
      <w:rFonts w:asciiTheme="minorHAnsi" w:hAnsiTheme="minorHAnsi"/>
      <w:noProof/>
      <w:color w:val="0070C0"/>
      <w:sz w:val="24"/>
    </w:rPr>
  </w:style>
  <w:style w:type="paragraph" w:styleId="TOC2">
    <w:name w:val="toc 2"/>
    <w:basedOn w:val="Normal"/>
    <w:next w:val="Normal"/>
    <w:autoRedefine/>
    <w:uiPriority w:val="39"/>
    <w:unhideWhenUsed/>
    <w:rsid w:val="00D36C0A"/>
    <w:pPr>
      <w:tabs>
        <w:tab w:val="right" w:leader="dot" w:pos="9350"/>
      </w:tabs>
      <w:spacing w:after="60"/>
      <w:ind w:left="1080" w:hanging="720"/>
    </w:pPr>
    <w:rPr>
      <w:noProof/>
    </w:rPr>
  </w:style>
  <w:style w:type="paragraph" w:styleId="TOC3">
    <w:name w:val="toc 3"/>
    <w:basedOn w:val="Normal"/>
    <w:next w:val="Normal"/>
    <w:autoRedefine/>
    <w:uiPriority w:val="39"/>
    <w:unhideWhenUsed/>
    <w:rsid w:val="00D36C0A"/>
    <w:pPr>
      <w:keepLines/>
      <w:spacing w:after="60"/>
      <w:ind w:left="1440" w:hanging="720"/>
    </w:pPr>
    <w:rPr>
      <w:rFonts w:asciiTheme="minorHAnsi" w:hAnsiTheme="minorHAnsi"/>
      <w:sz w:val="20"/>
    </w:rPr>
  </w:style>
  <w:style w:type="paragraph" w:styleId="TOCHeading">
    <w:name w:val="TOC Heading"/>
    <w:basedOn w:val="Normal"/>
    <w:next w:val="Normal"/>
    <w:uiPriority w:val="2"/>
    <w:rsid w:val="00D36C0A"/>
    <w:pPr>
      <w:pBdr>
        <w:top w:val="single" w:sz="2" w:space="6" w:color="9F9F9F" w:themeColor="text2"/>
      </w:pBdr>
      <w:spacing w:before="480" w:after="480"/>
    </w:pPr>
    <w:rPr>
      <w:color w:val="0070C0"/>
      <w:sz w:val="32"/>
      <w:szCs w:val="28"/>
    </w:rPr>
  </w:style>
  <w:style w:type="paragraph" w:customStyle="1" w:styleId="BulletList-2">
    <w:name w:val="Bullet List - 2"/>
    <w:basedOn w:val="Normal"/>
    <w:uiPriority w:val="1"/>
    <w:qFormat/>
    <w:rsid w:val="00846B0F"/>
    <w:pPr>
      <w:numPr>
        <w:ilvl w:val="1"/>
        <w:numId w:val="15"/>
      </w:numPr>
    </w:pPr>
    <w:rPr>
      <w:rFonts w:cs="Times New Roman"/>
    </w:rPr>
  </w:style>
  <w:style w:type="paragraph" w:customStyle="1" w:styleId="BulletList-3">
    <w:name w:val="Bullet List - 3"/>
    <w:basedOn w:val="Normal"/>
    <w:uiPriority w:val="1"/>
    <w:rsid w:val="00D36C0A"/>
    <w:pPr>
      <w:tabs>
        <w:tab w:val="num" w:pos="1368"/>
      </w:tabs>
      <w:ind w:left="1368" w:hanging="288"/>
    </w:pPr>
    <w:rPr>
      <w:rFonts w:cs="Times New Roman"/>
    </w:rPr>
  </w:style>
  <w:style w:type="paragraph" w:styleId="Revision">
    <w:name w:val="Revision"/>
    <w:hidden/>
    <w:uiPriority w:val="99"/>
    <w:semiHidden/>
    <w:rsid w:val="00D36C0A"/>
    <w:rPr>
      <w:rFonts w:cstheme="minorBidi"/>
      <w:sz w:val="24"/>
    </w:rPr>
  </w:style>
  <w:style w:type="character" w:styleId="PlaceholderText">
    <w:name w:val="Placeholder Text"/>
    <w:basedOn w:val="DefaultParagraphFont"/>
    <w:uiPriority w:val="99"/>
    <w:semiHidden/>
    <w:rsid w:val="00D36C0A"/>
    <w:rPr>
      <w:rFonts w:ascii="Calibri" w:hAnsi="Calibri" w:cs="Calibri"/>
      <w:color w:val="808080"/>
      <w:sz w:val="22"/>
    </w:rPr>
  </w:style>
  <w:style w:type="numbering" w:customStyle="1" w:styleId="BulletList-List">
    <w:name w:val="Bullet List - List"/>
    <w:uiPriority w:val="99"/>
    <w:rsid w:val="00D36C0A"/>
    <w:pPr>
      <w:numPr>
        <w:numId w:val="3"/>
      </w:numPr>
    </w:p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
    <w:basedOn w:val="Normal"/>
    <w:link w:val="FootnoteTextChar"/>
    <w:uiPriority w:val="99"/>
    <w:unhideWhenUsed/>
    <w:rsid w:val="00677CA3"/>
    <w:pPr>
      <w:spacing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
    <w:basedOn w:val="DefaultParagraphFont"/>
    <w:link w:val="FootnoteText"/>
    <w:uiPriority w:val="99"/>
    <w:rsid w:val="00677CA3"/>
    <w:rPr>
      <w:rFonts w:cs="Calibri"/>
      <w:sz w:val="20"/>
      <w:szCs w:val="20"/>
    </w:rPr>
  </w:style>
  <w:style w:type="character" w:styleId="FootnoteReference">
    <w:name w:val="footnote reference"/>
    <w:aliases w:val="o"/>
    <w:basedOn w:val="DefaultParagraphFont"/>
    <w:uiPriority w:val="99"/>
    <w:semiHidden/>
    <w:unhideWhenUsed/>
    <w:rsid w:val="00677CA3"/>
    <w:rPr>
      <w:vertAlign w:val="superscript"/>
    </w:rPr>
  </w:style>
  <w:style w:type="character" w:styleId="UnresolvedMention">
    <w:name w:val="Unresolved Mention"/>
    <w:basedOn w:val="DefaultParagraphFont"/>
    <w:uiPriority w:val="99"/>
    <w:unhideWhenUsed/>
    <w:rsid w:val="00677CA3"/>
    <w:rPr>
      <w:color w:val="605E5C"/>
      <w:shd w:val="clear" w:color="auto" w:fill="E1DFDD"/>
    </w:rPr>
  </w:style>
  <w:style w:type="table" w:customStyle="1" w:styleId="BlueGreyTable">
    <w:name w:val="Blue Grey Table"/>
    <w:basedOn w:val="TableNormal"/>
    <w:uiPriority w:val="99"/>
    <w:rsid w:val="0019316A"/>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86" w:type="dxa"/>
        <w:right w:w="115" w:type="dxa"/>
      </w:tblCellMar>
    </w:tblPr>
    <w:tcPr>
      <w:vAlign w:val="center"/>
    </w:tcPr>
    <w:tblStylePr w:type="firstRow">
      <w:pPr>
        <w:jc w:val="left"/>
      </w:pPr>
      <w:rPr>
        <w:b/>
        <w:color w:val="FFFFFF" w:themeColor="background1"/>
        <w:sz w:val="20"/>
      </w:rPr>
      <w:tblPr/>
      <w:trPr>
        <w:tblHeader/>
      </w:trPr>
      <w:tcPr>
        <w:shd w:val="clear" w:color="auto" w:fill="1D8CC4" w:themeFill="accent1" w:themeFillShade="BF"/>
        <w:vAlign w:val="center"/>
      </w:tcPr>
    </w:tblStylePr>
    <w:tblStylePr w:type="firstCol">
      <w:tblPr/>
      <w:tcPr>
        <w:shd w:val="clear" w:color="auto" w:fill="F2F2F2" w:themeFill="background1" w:themeFillShade="F2"/>
      </w:tcPr>
    </w:tblStylePr>
    <w:tblStylePr w:type="band2Horz">
      <w:tblPr/>
      <w:tcPr>
        <w:shd w:val="clear" w:color="auto" w:fill="DAEFF9" w:themeFill="accent1" w:themeFillTint="33"/>
      </w:tcPr>
    </w:tblStylePr>
  </w:style>
  <w:style w:type="paragraph" w:styleId="ListParagraph">
    <w:name w:val="List Paragraph"/>
    <w:aliases w:val="List Indent,List Paragraph_AP,TT - Numbered List Paragraph,Nexant List Paragraph,Bullet Styles para"/>
    <w:basedOn w:val="Normal"/>
    <w:link w:val="ListParagraphChar"/>
    <w:uiPriority w:val="34"/>
    <w:qFormat/>
    <w:rsid w:val="0010506B"/>
    <w:pPr>
      <w:ind w:left="720"/>
      <w:contextualSpacing/>
    </w:pPr>
  </w:style>
  <w:style w:type="paragraph" w:styleId="CommentText">
    <w:name w:val="annotation text"/>
    <w:basedOn w:val="Normal"/>
    <w:link w:val="CommentTextChar"/>
    <w:uiPriority w:val="99"/>
    <w:unhideWhenUsed/>
    <w:rsid w:val="0010506B"/>
    <w:pPr>
      <w:spacing w:line="240" w:lineRule="auto"/>
    </w:pPr>
    <w:rPr>
      <w:sz w:val="20"/>
      <w:szCs w:val="20"/>
    </w:rPr>
  </w:style>
  <w:style w:type="character" w:customStyle="1" w:styleId="CommentTextChar">
    <w:name w:val="Comment Text Char"/>
    <w:basedOn w:val="DefaultParagraphFont"/>
    <w:link w:val="CommentText"/>
    <w:uiPriority w:val="99"/>
    <w:rsid w:val="0010506B"/>
    <w:rPr>
      <w:rFonts w:cs="Calibri"/>
      <w:sz w:val="20"/>
      <w:szCs w:val="20"/>
    </w:rPr>
  </w:style>
  <w:style w:type="paragraph" w:customStyle="1" w:styleId="Body1">
    <w:name w:val="Body 1"/>
    <w:basedOn w:val="BalloonText"/>
    <w:link w:val="Body1Char"/>
    <w:qFormat/>
    <w:rsid w:val="0003369B"/>
    <w:pPr>
      <w:widowControl w:val="0"/>
      <w:overflowPunct w:val="0"/>
      <w:autoSpaceDE w:val="0"/>
      <w:autoSpaceDN w:val="0"/>
      <w:adjustRightInd w:val="0"/>
      <w:spacing w:after="240"/>
      <w:textAlignment w:val="baseline"/>
    </w:pPr>
    <w:rPr>
      <w:rFonts w:asciiTheme="minorHAnsi" w:eastAsia="Times New Roman" w:hAnsiTheme="minorHAnsi" w:cs="Arial"/>
      <w:color w:val="auto"/>
      <w:sz w:val="22"/>
      <w:szCs w:val="22"/>
      <w:lang w:eastAsia="x-none"/>
    </w:rPr>
  </w:style>
  <w:style w:type="character" w:customStyle="1" w:styleId="Body1Char">
    <w:name w:val="Body 1 Char"/>
    <w:basedOn w:val="DefaultParagraphFont"/>
    <w:link w:val="Body1"/>
    <w:rsid w:val="0003369B"/>
    <w:rPr>
      <w:rFonts w:asciiTheme="minorHAnsi" w:eastAsia="Times New Roman" w:hAnsiTheme="minorHAnsi" w:cs="Arial"/>
      <w:color w:val="auto"/>
      <w:lang w:eastAsia="x-none"/>
    </w:rPr>
  </w:style>
  <w:style w:type="character" w:styleId="Mention">
    <w:name w:val="Mention"/>
    <w:basedOn w:val="DefaultParagraphFont"/>
    <w:uiPriority w:val="99"/>
    <w:unhideWhenUsed/>
    <w:rPr>
      <w:color w:val="2B579A"/>
      <w:shd w:val="clear" w:color="auto" w:fill="E6E6E6"/>
    </w:rPr>
  </w:style>
  <w:style w:type="paragraph" w:customStyle="1" w:styleId="Addressee">
    <w:name w:val="Addressee"/>
    <w:basedOn w:val="Normal"/>
    <w:next w:val="Title"/>
    <w:autoRedefine/>
    <w:qFormat/>
    <w:rsid w:val="002D7B4D"/>
    <w:pPr>
      <w:tabs>
        <w:tab w:val="left" w:pos="360"/>
      </w:tabs>
      <w:suppressAutoHyphens/>
      <w:adjustRightInd w:val="0"/>
      <w:spacing w:before="120"/>
    </w:pPr>
    <w:rPr>
      <w:rFonts w:eastAsia="Times New Roman" w:cs="Times New Roman"/>
      <w:b/>
      <w:color w:val="0070C0"/>
      <w:sz w:val="72"/>
      <w:szCs w:val="72"/>
    </w:rPr>
  </w:style>
  <w:style w:type="paragraph" w:customStyle="1" w:styleId="Jobtitle">
    <w:name w:val="Job title"/>
    <w:basedOn w:val="Normal"/>
    <w:next w:val="Normal"/>
    <w:autoRedefine/>
    <w:qFormat/>
    <w:rsid w:val="002F2179"/>
    <w:pPr>
      <w:suppressAutoHyphens/>
      <w:adjustRightInd w:val="0"/>
    </w:pPr>
    <w:rPr>
      <w:rFonts w:eastAsia="Times New Roman" w:cs="Times New Roman"/>
      <w:i/>
      <w:color w:val="282828" w:themeColor="text1" w:themeShade="80"/>
      <w:sz w:val="40"/>
      <w:szCs w:val="40"/>
    </w:rPr>
  </w:style>
  <w:style w:type="paragraph" w:styleId="Title">
    <w:name w:val="Title"/>
    <w:basedOn w:val="Normal"/>
    <w:next w:val="Normal"/>
    <w:link w:val="TitleChar"/>
    <w:uiPriority w:val="10"/>
    <w:rsid w:val="002F2179"/>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2179"/>
    <w:rPr>
      <w:rFonts w:asciiTheme="majorHAnsi" w:eastAsiaTheme="majorEastAsia" w:hAnsiTheme="majorHAnsi" w:cstheme="majorBidi"/>
      <w:color w:val="auto"/>
      <w:spacing w:val="-10"/>
      <w:kern w:val="28"/>
      <w:sz w:val="56"/>
      <w:szCs w:val="56"/>
    </w:rPr>
  </w:style>
  <w:style w:type="paragraph" w:customStyle="1" w:styleId="BodyText1">
    <w:name w:val="Body Text1"/>
    <w:basedOn w:val="Normal"/>
    <w:qFormat/>
    <w:rsid w:val="00200AF2"/>
    <w:pPr>
      <w:spacing w:after="180"/>
    </w:pPr>
    <w:rPr>
      <w:rFonts w:ascii="Arial" w:hAnsi="Arial" w:cstheme="minorBidi"/>
      <w:color w:val="auto"/>
    </w:rPr>
  </w:style>
  <w:style w:type="paragraph" w:customStyle="1" w:styleId="BulletList">
    <w:name w:val="Bullet List"/>
    <w:basedOn w:val="BodyText"/>
    <w:qFormat/>
    <w:rsid w:val="00200AF2"/>
    <w:pPr>
      <w:numPr>
        <w:numId w:val="7"/>
      </w:numPr>
      <w:spacing w:after="60"/>
    </w:pPr>
    <w:rPr>
      <w:rFonts w:ascii="Arial" w:eastAsia="Times New Roman" w:hAnsi="Arial" w:cs="Arial"/>
      <w:color w:val="auto"/>
      <w:sz w:val="24"/>
      <w:szCs w:val="20"/>
    </w:rPr>
  </w:style>
  <w:style w:type="character" w:customStyle="1" w:styleId="BalloonTextChar1">
    <w:name w:val="Balloon Text Char1"/>
    <w:semiHidden/>
    <w:locked/>
    <w:rsid w:val="0067410D"/>
    <w:rPr>
      <w:lang w:val="x-none" w:eastAsia="x-none"/>
    </w:rPr>
  </w:style>
  <w:style w:type="character" w:customStyle="1" w:styleId="normaltextrun">
    <w:name w:val="normaltextrun"/>
    <w:basedOn w:val="DefaultParagraphFont"/>
    <w:rsid w:val="0067410D"/>
  </w:style>
  <w:style w:type="paragraph" w:customStyle="1" w:styleId="paragraph">
    <w:name w:val="paragraph"/>
    <w:basedOn w:val="Normal"/>
    <w:rsid w:val="0067410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7410D"/>
  </w:style>
  <w:style w:type="character" w:customStyle="1" w:styleId="ListParagraphChar">
    <w:name w:val="List Paragraph Char"/>
    <w:aliases w:val="List Indent Char,List Paragraph_AP Char,TT - Numbered List Paragraph Char,Nexant List Paragraph Char,Bullet Styles para Char"/>
    <w:basedOn w:val="DefaultParagraphFont"/>
    <w:link w:val="ListParagraph"/>
    <w:uiPriority w:val="34"/>
    <w:rsid w:val="005C63BE"/>
    <w:rPr>
      <w:rFonts w:cs="Calibri"/>
    </w:rPr>
  </w:style>
  <w:style w:type="character" w:customStyle="1" w:styleId="BulletParagraph-1Char">
    <w:name w:val="Bullet Paragraph - 1 Char"/>
    <w:basedOn w:val="BodyTextChar"/>
    <w:link w:val="BulletParagraph-1"/>
    <w:uiPriority w:val="1"/>
    <w:rsid w:val="00CA5480"/>
    <w:rPr>
      <w:rFonts w:cs="Calibri"/>
      <w:sz w:val="20"/>
    </w:rPr>
  </w:style>
  <w:style w:type="paragraph" w:customStyle="1" w:styleId="Title1">
    <w:name w:val="Title1"/>
    <w:basedOn w:val="Addressee"/>
    <w:link w:val="Title1Char"/>
    <w:qFormat/>
    <w:rsid w:val="00B50660"/>
  </w:style>
  <w:style w:type="character" w:customStyle="1" w:styleId="Title1Char">
    <w:name w:val="Title1 Char"/>
    <w:basedOn w:val="DefaultParagraphFont"/>
    <w:link w:val="Title1"/>
    <w:rsid w:val="00B50660"/>
    <w:rPr>
      <w:rFonts w:eastAsia="Times New Roman"/>
      <w:b/>
      <w:color w:val="0070C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18689">
      <w:bodyDiv w:val="1"/>
      <w:marLeft w:val="0"/>
      <w:marRight w:val="0"/>
      <w:marTop w:val="0"/>
      <w:marBottom w:val="0"/>
      <w:divBdr>
        <w:top w:val="none" w:sz="0" w:space="0" w:color="auto"/>
        <w:left w:val="none" w:sz="0" w:space="0" w:color="auto"/>
        <w:bottom w:val="none" w:sz="0" w:space="0" w:color="auto"/>
        <w:right w:val="none" w:sz="0" w:space="0" w:color="auto"/>
      </w:divBdr>
    </w:div>
    <w:div w:id="761489932">
      <w:bodyDiv w:val="1"/>
      <w:marLeft w:val="0"/>
      <w:marRight w:val="0"/>
      <w:marTop w:val="0"/>
      <w:marBottom w:val="0"/>
      <w:divBdr>
        <w:top w:val="none" w:sz="0" w:space="0" w:color="auto"/>
        <w:left w:val="none" w:sz="0" w:space="0" w:color="auto"/>
        <w:bottom w:val="none" w:sz="0" w:space="0" w:color="auto"/>
        <w:right w:val="none" w:sz="0" w:space="0" w:color="auto"/>
      </w:divBdr>
      <w:divsChild>
        <w:div w:id="1304963152">
          <w:marLeft w:val="0"/>
          <w:marRight w:val="0"/>
          <w:marTop w:val="0"/>
          <w:marBottom w:val="0"/>
          <w:divBdr>
            <w:top w:val="none" w:sz="0" w:space="0" w:color="auto"/>
            <w:left w:val="none" w:sz="0" w:space="0" w:color="auto"/>
            <w:bottom w:val="none" w:sz="0" w:space="0" w:color="auto"/>
            <w:right w:val="none" w:sz="0" w:space="0" w:color="auto"/>
          </w:divBdr>
        </w:div>
        <w:div w:id="1988707043">
          <w:marLeft w:val="0"/>
          <w:marRight w:val="0"/>
          <w:marTop w:val="0"/>
          <w:marBottom w:val="0"/>
          <w:divBdr>
            <w:top w:val="none" w:sz="0" w:space="0" w:color="auto"/>
            <w:left w:val="none" w:sz="0" w:space="0" w:color="auto"/>
            <w:bottom w:val="none" w:sz="0" w:space="0" w:color="auto"/>
            <w:right w:val="none" w:sz="0" w:space="0" w:color="auto"/>
          </w:divBdr>
        </w:div>
      </w:divsChild>
    </w:div>
    <w:div w:id="869803359">
      <w:bodyDiv w:val="1"/>
      <w:marLeft w:val="0"/>
      <w:marRight w:val="0"/>
      <w:marTop w:val="0"/>
      <w:marBottom w:val="0"/>
      <w:divBdr>
        <w:top w:val="none" w:sz="0" w:space="0" w:color="auto"/>
        <w:left w:val="none" w:sz="0" w:space="0" w:color="auto"/>
        <w:bottom w:val="none" w:sz="0" w:space="0" w:color="auto"/>
        <w:right w:val="none" w:sz="0" w:space="0" w:color="auto"/>
      </w:divBdr>
      <w:divsChild>
        <w:div w:id="140274537">
          <w:marLeft w:val="0"/>
          <w:marRight w:val="0"/>
          <w:marTop w:val="0"/>
          <w:marBottom w:val="0"/>
          <w:divBdr>
            <w:top w:val="none" w:sz="0" w:space="0" w:color="auto"/>
            <w:left w:val="none" w:sz="0" w:space="0" w:color="auto"/>
            <w:bottom w:val="none" w:sz="0" w:space="0" w:color="auto"/>
            <w:right w:val="none" w:sz="0" w:space="0" w:color="auto"/>
          </w:divBdr>
        </w:div>
      </w:divsChild>
    </w:div>
    <w:div w:id="987393054">
      <w:bodyDiv w:val="1"/>
      <w:marLeft w:val="0"/>
      <w:marRight w:val="0"/>
      <w:marTop w:val="0"/>
      <w:marBottom w:val="0"/>
      <w:divBdr>
        <w:top w:val="none" w:sz="0" w:space="0" w:color="auto"/>
        <w:left w:val="none" w:sz="0" w:space="0" w:color="auto"/>
        <w:bottom w:val="none" w:sz="0" w:space="0" w:color="auto"/>
        <w:right w:val="none" w:sz="0" w:space="0" w:color="auto"/>
      </w:divBdr>
      <w:divsChild>
        <w:div w:id="1570529763">
          <w:marLeft w:val="0"/>
          <w:marRight w:val="0"/>
          <w:marTop w:val="0"/>
          <w:marBottom w:val="120"/>
          <w:divBdr>
            <w:top w:val="none" w:sz="0" w:space="0" w:color="auto"/>
            <w:left w:val="none" w:sz="0" w:space="0" w:color="auto"/>
            <w:bottom w:val="none" w:sz="0" w:space="0" w:color="auto"/>
            <w:right w:val="none" w:sz="0" w:space="0" w:color="auto"/>
          </w:divBdr>
          <w:divsChild>
            <w:div w:id="13797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174">
      <w:bodyDiv w:val="1"/>
      <w:marLeft w:val="0"/>
      <w:marRight w:val="0"/>
      <w:marTop w:val="0"/>
      <w:marBottom w:val="0"/>
      <w:divBdr>
        <w:top w:val="none" w:sz="0" w:space="0" w:color="auto"/>
        <w:left w:val="none" w:sz="0" w:space="0" w:color="auto"/>
        <w:bottom w:val="none" w:sz="0" w:space="0" w:color="auto"/>
        <w:right w:val="none" w:sz="0" w:space="0" w:color="auto"/>
      </w:divBdr>
    </w:div>
    <w:div w:id="1507596947">
      <w:bodyDiv w:val="1"/>
      <w:marLeft w:val="0"/>
      <w:marRight w:val="0"/>
      <w:marTop w:val="0"/>
      <w:marBottom w:val="0"/>
      <w:divBdr>
        <w:top w:val="none" w:sz="0" w:space="0" w:color="auto"/>
        <w:left w:val="none" w:sz="0" w:space="0" w:color="auto"/>
        <w:bottom w:val="none" w:sz="0" w:space="0" w:color="auto"/>
        <w:right w:val="none" w:sz="0" w:space="0" w:color="auto"/>
      </w:divBdr>
      <w:divsChild>
        <w:div w:id="2072921202">
          <w:marLeft w:val="0"/>
          <w:marRight w:val="0"/>
          <w:marTop w:val="0"/>
          <w:marBottom w:val="0"/>
          <w:divBdr>
            <w:top w:val="none" w:sz="0" w:space="0" w:color="auto"/>
            <w:left w:val="none" w:sz="0" w:space="0" w:color="auto"/>
            <w:bottom w:val="none" w:sz="0" w:space="0" w:color="auto"/>
            <w:right w:val="none" w:sz="0" w:space="0" w:color="auto"/>
          </w:divBdr>
        </w:div>
      </w:divsChild>
    </w:div>
    <w:div w:id="1612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cade\StandardCov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942337E804F72A9625F1C70930949"/>
        <w:category>
          <w:name w:val="General"/>
          <w:gallery w:val="placeholder"/>
        </w:category>
        <w:types>
          <w:type w:val="bbPlcHdr"/>
        </w:types>
        <w:behaviors>
          <w:behavior w:val="content"/>
        </w:behaviors>
        <w:guid w:val="{EB5D0F77-36B2-4A57-97C6-4C70BC76AD13}"/>
      </w:docPartPr>
      <w:docPartBody>
        <w:p w:rsidR="00ED7514" w:rsidRDefault="00ED7514">
          <w:pPr>
            <w:pStyle w:val="E53942337E804F72A9625F1C70930949"/>
          </w:pPr>
          <w:r w:rsidRPr="0034204E">
            <w:rPr>
              <w:b/>
              <w:color w:val="000000" w:themeColor="text1" w:themeShade="BF"/>
              <w:position w:val="6"/>
              <w:sz w:val="18"/>
            </w:rPr>
            <w:t>[Company Name]</w:t>
          </w:r>
        </w:p>
      </w:docPartBody>
    </w:docPart>
    <w:docPart>
      <w:docPartPr>
        <w:name w:val="E0233FFD1BE84027BD3F5CF0DFA7C4C7"/>
        <w:category>
          <w:name w:val="General"/>
          <w:gallery w:val="placeholder"/>
        </w:category>
        <w:types>
          <w:type w:val="bbPlcHdr"/>
        </w:types>
        <w:behaviors>
          <w:behavior w:val="content"/>
        </w:behaviors>
        <w:guid w:val="{ABA1198A-37CF-417C-90B0-1A31753249D8}"/>
      </w:docPartPr>
      <w:docPartBody>
        <w:p w:rsidR="00ED7514" w:rsidRDefault="00ED7514">
          <w:pPr>
            <w:pStyle w:val="E0233FFD1BE84027BD3F5CF0DFA7C4C7"/>
          </w:pPr>
          <w:r w:rsidRPr="0034204E">
            <w:rPr>
              <w:b/>
              <w:color w:val="000000" w:themeColor="text1" w:themeShade="BF"/>
              <w:position w:val="6"/>
              <w:sz w:val="18"/>
            </w:rPr>
            <w:t>[Company Name]</w:t>
          </w:r>
        </w:p>
      </w:docPartBody>
    </w:docPart>
    <w:docPart>
      <w:docPartPr>
        <w:name w:val="E2E439C9954E4D4B9217B02147C7E7AE"/>
        <w:category>
          <w:name w:val="General"/>
          <w:gallery w:val="placeholder"/>
        </w:category>
        <w:types>
          <w:type w:val="bbPlcHdr"/>
        </w:types>
        <w:behaviors>
          <w:behavior w:val="content"/>
        </w:behaviors>
        <w:guid w:val="{87020BF7-5F57-4232-84CB-3557FCA6AE46}"/>
      </w:docPartPr>
      <w:docPartBody>
        <w:p w:rsidR="00ED7514" w:rsidRDefault="00ED7514">
          <w:pPr>
            <w:pStyle w:val="E2E439C9954E4D4B9217B02147C7E7AE"/>
          </w:pPr>
          <w:r w:rsidRPr="0034204E">
            <w:rPr>
              <w:b/>
              <w:color w:val="000000" w:themeColor="text1" w:themeShade="BF"/>
              <w:position w:val="6"/>
              <w:sz w:val="18"/>
            </w:rPr>
            <w:t>[Company Name]</w:t>
          </w:r>
        </w:p>
      </w:docPartBody>
    </w:docPart>
    <w:docPart>
      <w:docPartPr>
        <w:name w:val="672C562D0CDC4EC3B5B6D7BDFD391612"/>
        <w:category>
          <w:name w:val="General"/>
          <w:gallery w:val="placeholder"/>
        </w:category>
        <w:types>
          <w:type w:val="bbPlcHdr"/>
        </w:types>
        <w:behaviors>
          <w:behavior w:val="content"/>
        </w:behaviors>
        <w:guid w:val="{450F6D05-8159-42CF-83DC-E50AF6CBE593}"/>
      </w:docPartPr>
      <w:docPartBody>
        <w:p w:rsidR="00ED7514" w:rsidRDefault="00ED7514">
          <w:pPr>
            <w:pStyle w:val="672C562D0CDC4EC3B5B6D7BDFD391612"/>
          </w:pPr>
          <w:r w:rsidRPr="0034204E">
            <w:rPr>
              <w:b/>
              <w:color w:val="000000" w:themeColor="text1" w:themeShade="BF"/>
              <w:position w:val="6"/>
              <w:sz w:val="18"/>
            </w:rPr>
            <w:t>[Company Name]</w:t>
          </w:r>
        </w:p>
      </w:docPartBody>
    </w:docPart>
    <w:docPart>
      <w:docPartPr>
        <w:name w:val="90EE7ED53B9A4E5491DCE0421BB81F94"/>
        <w:category>
          <w:name w:val="General"/>
          <w:gallery w:val="placeholder"/>
        </w:category>
        <w:types>
          <w:type w:val="bbPlcHdr"/>
        </w:types>
        <w:behaviors>
          <w:behavior w:val="content"/>
        </w:behaviors>
        <w:guid w:val="{6F0C954D-5AC7-47AD-9C43-A18C6BEB4001}"/>
      </w:docPartPr>
      <w:docPartBody>
        <w:p w:rsidR="00287A7A" w:rsidRDefault="00ED7514">
          <w:pPr>
            <w:pStyle w:val="90EE7ED53B9A4E5491DCE0421BB81F94"/>
          </w:pPr>
          <w:r w:rsidRPr="0034204E">
            <w:rPr>
              <w:b/>
              <w:color w:val="000000" w:themeColor="text1" w:themeShade="BF"/>
              <w:position w:val="6"/>
              <w:sz w:val="18"/>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83"/>
    <w:rsid w:val="00287A7A"/>
    <w:rsid w:val="002F3EBD"/>
    <w:rsid w:val="00396C33"/>
    <w:rsid w:val="003E5441"/>
    <w:rsid w:val="00445D83"/>
    <w:rsid w:val="00494EB0"/>
    <w:rsid w:val="0049753A"/>
    <w:rsid w:val="004B0AC6"/>
    <w:rsid w:val="004F7BBE"/>
    <w:rsid w:val="005F6998"/>
    <w:rsid w:val="0073762D"/>
    <w:rsid w:val="007F21FB"/>
    <w:rsid w:val="00903367"/>
    <w:rsid w:val="009B5A0B"/>
    <w:rsid w:val="009B6BC0"/>
    <w:rsid w:val="009D569E"/>
    <w:rsid w:val="00E72342"/>
    <w:rsid w:val="00ED7514"/>
    <w:rsid w:val="00FE5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Calibri" w:hAnsi="Calibri" w:cs="Calibri"/>
      <w:color w:val="808080"/>
      <w:sz w:val="22"/>
    </w:rPr>
  </w:style>
  <w:style w:type="paragraph" w:customStyle="1" w:styleId="E53942337E804F72A9625F1C70930949">
    <w:name w:val="E53942337E804F72A9625F1C70930949"/>
  </w:style>
  <w:style w:type="paragraph" w:customStyle="1" w:styleId="E0233FFD1BE84027BD3F5CF0DFA7C4C7">
    <w:name w:val="E0233FFD1BE84027BD3F5CF0DFA7C4C7"/>
  </w:style>
  <w:style w:type="paragraph" w:customStyle="1" w:styleId="E2E439C9954E4D4B9217B02147C7E7AE">
    <w:name w:val="E2E439C9954E4D4B9217B02147C7E7AE"/>
  </w:style>
  <w:style w:type="paragraph" w:customStyle="1" w:styleId="672C562D0CDC4EC3B5B6D7BDFD391612">
    <w:name w:val="672C562D0CDC4EC3B5B6D7BDFD391612"/>
  </w:style>
  <w:style w:type="paragraph" w:customStyle="1" w:styleId="90EE7ED53B9A4E5491DCE0421BB81F94">
    <w:name w:val="90EE7ED53B9A4E5491DCE0421BB81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ascadeColors">
      <a:dk1>
        <a:srgbClr val="515151"/>
      </a:dk1>
      <a:lt1>
        <a:srgbClr val="FFFFFF"/>
      </a:lt1>
      <a:dk2>
        <a:srgbClr val="9F9F9F"/>
      </a:dk2>
      <a:lt2>
        <a:srgbClr val="7F7F7F"/>
      </a:lt2>
      <a:accent1>
        <a:srgbClr val="4AB1E4"/>
      </a:accent1>
      <a:accent2>
        <a:srgbClr val="71B15F"/>
      </a:accent2>
      <a:accent3>
        <a:srgbClr val="759DD2"/>
      </a:accent3>
      <a:accent4>
        <a:srgbClr val="05AB8D"/>
      </a:accent4>
      <a:accent5>
        <a:srgbClr val="FBB817"/>
      </a:accent5>
      <a:accent6>
        <a:srgbClr val="F7931D"/>
      </a:accent6>
      <a:hlink>
        <a:srgbClr val="1B6AA3"/>
      </a:hlink>
      <a:folHlink>
        <a:srgbClr val="0597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45AF70CFBBB448171CAFFBF2235E5" ma:contentTypeVersion="7" ma:contentTypeDescription="Create a new document." ma:contentTypeScope="" ma:versionID="257be3a47c49403ba6afb05a8a0b91cd">
  <xsd:schema xmlns:xsd="http://www.w3.org/2001/XMLSchema" xmlns:xs="http://www.w3.org/2001/XMLSchema" xmlns:p="http://schemas.microsoft.com/office/2006/metadata/properties" xmlns:ns2="890cc672-84f3-4aec-b41b-ee50de89ea9b" xmlns:ns3="c6147c4f-22a9-438a-897a-44a3dd2fc69f" targetNamespace="http://schemas.microsoft.com/office/2006/metadata/properties" ma:root="true" ma:fieldsID="5395a2b210f847e2331c29070451aaef" ns2:_="" ns3:_="">
    <xsd:import namespace="890cc672-84f3-4aec-b41b-ee50de89ea9b"/>
    <xsd:import namespace="c6147c4f-22a9-438a-897a-44a3dd2fc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i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c672-84f3-4aec-b41b-ee50de89e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ind" ma:index="14" nillable="true" ma:displayName="Kind" ma:format="Dropdown" ma:internalName="Ki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47c4f-22a9-438a-897a-44a3dd2fc6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ind xmlns="890cc672-84f3-4aec-b41b-ee50de89ea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AA088-7A01-42F2-8EFC-281C6761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c672-84f3-4aec-b41b-ee50de89ea9b"/>
    <ds:schemaRef ds:uri="c6147c4f-22a9-438a-897a-44a3dd2fc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2DB9-18AB-4262-9637-5C0CA8023D09}">
  <ds:schemaRefs>
    <ds:schemaRef ds:uri="http://schemas.openxmlformats.org/officeDocument/2006/bibliography"/>
  </ds:schemaRefs>
</ds:datastoreItem>
</file>

<file path=customXml/itemProps3.xml><?xml version="1.0" encoding="utf-8"?>
<ds:datastoreItem xmlns:ds="http://schemas.openxmlformats.org/officeDocument/2006/customXml" ds:itemID="{ADF38C69-A887-402D-969D-A85B5CE95E60}">
  <ds:schemaRefs>
    <ds:schemaRef ds:uri="http://schemas.microsoft.com/office/2006/metadata/properties"/>
    <ds:schemaRef ds:uri="http://schemas.microsoft.com/office/infopath/2007/PartnerControls"/>
    <ds:schemaRef ds:uri="890cc672-84f3-4aec-b41b-ee50de89ea9b"/>
  </ds:schemaRefs>
</ds:datastoreItem>
</file>

<file path=customXml/itemProps4.xml><?xml version="1.0" encoding="utf-8"?>
<ds:datastoreItem xmlns:ds="http://schemas.openxmlformats.org/officeDocument/2006/customXml" ds:itemID="{12B4A86B-050E-403C-85ED-6CE07FBE1C28}">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StandardCoverTemplate.dotx</Template>
  <TotalTime>11</TotalTime>
  <Pages>19</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ISOP Implementation Plan</vt:lpstr>
    </vt:vector>
  </TitlesOfParts>
  <Company>ISOP Implementation Plan</Company>
  <LinksUpToDate>false</LinksUpToDate>
  <CharactersWithSpaces>25704</CharactersWithSpaces>
  <SharedDoc>false</SharedDoc>
  <HLinks>
    <vt:vector size="18" baseType="variant">
      <vt:variant>
        <vt:i4>1966136</vt:i4>
      </vt:variant>
      <vt:variant>
        <vt:i4>14</vt:i4>
      </vt:variant>
      <vt:variant>
        <vt:i4>0</vt:i4>
      </vt:variant>
      <vt:variant>
        <vt:i4>5</vt:i4>
      </vt:variant>
      <vt:variant>
        <vt:lpwstr/>
      </vt:variant>
      <vt:variant>
        <vt:lpwstr>_Toc54955119</vt:lpwstr>
      </vt:variant>
      <vt:variant>
        <vt:i4>1048633</vt:i4>
      </vt:variant>
      <vt:variant>
        <vt:i4>8</vt:i4>
      </vt:variant>
      <vt:variant>
        <vt:i4>0</vt:i4>
      </vt:variant>
      <vt:variant>
        <vt:i4>5</vt:i4>
      </vt:variant>
      <vt:variant>
        <vt:lpwstr/>
      </vt:variant>
      <vt:variant>
        <vt:lpwstr>_Toc54955107</vt:lpwstr>
      </vt:variant>
      <vt:variant>
        <vt:i4>1048624</vt:i4>
      </vt:variant>
      <vt:variant>
        <vt:i4>2</vt:i4>
      </vt:variant>
      <vt:variant>
        <vt:i4>0</vt:i4>
      </vt:variant>
      <vt:variant>
        <vt:i4>5</vt:i4>
      </vt:variant>
      <vt:variant>
        <vt:lpwstr/>
      </vt:variant>
      <vt:variant>
        <vt:lpwstr>_Toc54955096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ISOP Implementation Plan</dc:title>
  <dc:subject>2020</dc:subject>
  <dc:creator>Samuel Newman</dc:creator>
  <cp:keywords/>
  <dc:description/>
  <cp:lastModifiedBy>Courtney Yan</cp:lastModifiedBy>
  <cp:revision>27</cp:revision>
  <cp:lastPrinted>2020-12-01T01:03:00Z</cp:lastPrinted>
  <dcterms:created xsi:type="dcterms:W3CDTF">2020-12-01T00:35:00Z</dcterms:created>
  <dcterms:modified xsi:type="dcterms:W3CDTF">2020-12-01T01:03:00Z</dcterms:modified>
  <cp:category/>
  <cp:contentStatus>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CascadeTheme 011</vt:lpwstr>
  </property>
  <property fmtid="{D5CDD505-2E9C-101B-9397-08002B2CF9AE}" pid="3" name="ContentTypeId">
    <vt:lpwstr>0x0101004B745AF70CFBBB448171CAFFBF2235E5</vt:lpwstr>
  </property>
</Properties>
</file>