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FC9DA" w14:textId="77777777" w:rsidR="00F01448" w:rsidRPr="00733B79" w:rsidRDefault="00F01448" w:rsidP="00F01448">
      <w:pPr>
        <w:pStyle w:val="Title"/>
        <w:jc w:val="center"/>
        <w:rPr>
          <w:rFonts w:ascii="Arial" w:hAnsi="Arial" w:cs="Arial"/>
          <w:sz w:val="52"/>
          <w:szCs w:val="52"/>
        </w:rPr>
      </w:pPr>
      <w:bookmarkStart w:id="0" w:name="_Toc2048559517"/>
      <w:bookmarkStart w:id="1" w:name="_Toc173831180"/>
      <w:bookmarkStart w:id="2" w:name="_Hlk103180529"/>
      <w:r>
        <w:rPr>
          <w:noProof/>
        </w:rPr>
        <w:drawing>
          <wp:inline distT="114300" distB="114300" distL="114300" distR="114300" wp14:anchorId="22A7EE1F" wp14:editId="47843CE0">
            <wp:extent cx="2304521" cy="638175"/>
            <wp:effectExtent l="0" t="0" r="0" b="0"/>
            <wp:docPr id="20" name="image21.png" descr="A black and grey logo&#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21.png" descr="A black and grey logo&#10;&#10;Description automatically generated"/>
                    <pic:cNvPicPr preferRelativeResize="0"/>
                  </pic:nvPicPr>
                  <pic:blipFill>
                    <a:blip r:embed="rId11" cstate="print">
                      <a:extLst>
                        <a:ext uri="{28A0092B-C50C-407E-A947-70E740481C1C}">
                          <a14:useLocalDpi xmlns:a14="http://schemas.microsoft.com/office/drawing/2010/main" val="0"/>
                        </a:ext>
                      </a:extLst>
                    </a:blip>
                    <a:srcRect t="12022" b="12022"/>
                    <a:stretch>
                      <a:fillRect/>
                    </a:stretch>
                  </pic:blipFill>
                  <pic:spPr>
                    <a:xfrm>
                      <a:off x="0" y="0"/>
                      <a:ext cx="2342085" cy="648577"/>
                    </a:xfrm>
                    <a:prstGeom prst="rect">
                      <a:avLst/>
                    </a:prstGeom>
                    <a:ln/>
                  </pic:spPr>
                </pic:pic>
              </a:graphicData>
            </a:graphic>
          </wp:inline>
        </w:drawing>
      </w:r>
    </w:p>
    <w:p w14:paraId="375F76A1" w14:textId="77777777" w:rsidR="00F01448" w:rsidRPr="00733B79" w:rsidRDefault="00F01448" w:rsidP="00F01448"/>
    <w:p w14:paraId="6456CE6F" w14:textId="77777777" w:rsidR="00F01448" w:rsidRPr="00733B79" w:rsidRDefault="00F01448" w:rsidP="00F01448">
      <w:pPr>
        <w:pStyle w:val="Title"/>
        <w:jc w:val="center"/>
        <w:rPr>
          <w:rFonts w:ascii="Arial" w:hAnsi="Arial" w:cs="Arial"/>
          <w:sz w:val="52"/>
          <w:szCs w:val="52"/>
        </w:rPr>
      </w:pPr>
      <w:r w:rsidRPr="00733B79">
        <w:rPr>
          <w:rFonts w:ascii="Arial" w:hAnsi="Arial" w:cs="Arial"/>
          <w:sz w:val="52"/>
          <w:szCs w:val="52"/>
        </w:rPr>
        <w:t>Measured Savings Program for Summer Reliability</w:t>
      </w:r>
    </w:p>
    <w:p w14:paraId="713A7141" w14:textId="77777777" w:rsidR="00F01448" w:rsidRPr="00733B79" w:rsidRDefault="00F01448" w:rsidP="00F01448"/>
    <w:p w14:paraId="6A17D142" w14:textId="2AE02325" w:rsidR="00F01448" w:rsidRDefault="00F01448" w:rsidP="00F01448">
      <w:pPr>
        <w:pStyle w:val="Title"/>
        <w:jc w:val="center"/>
        <w:rPr>
          <w:rFonts w:ascii="Arial" w:hAnsi="Arial" w:cs="Arial"/>
          <w:sz w:val="52"/>
          <w:szCs w:val="52"/>
        </w:rPr>
      </w:pPr>
      <w:r>
        <w:rPr>
          <w:rFonts w:ascii="Arial" w:hAnsi="Arial" w:cs="Arial"/>
          <w:sz w:val="52"/>
          <w:szCs w:val="52"/>
        </w:rPr>
        <w:t xml:space="preserve">Measurement and Verification Plan </w:t>
      </w:r>
    </w:p>
    <w:p w14:paraId="69B6E8EF" w14:textId="46BB4491" w:rsidR="00F01448" w:rsidRPr="00F01448" w:rsidRDefault="00F01448" w:rsidP="00F01448">
      <w:pPr>
        <w:jc w:val="center"/>
      </w:pPr>
      <w:r>
        <w:t>Subsection</w:t>
      </w:r>
      <w:r w:rsidR="00CE1310">
        <w:t xml:space="preserve"> of</w:t>
      </w:r>
      <w:r>
        <w:t xml:space="preserve"> Program Management Plan</w:t>
      </w:r>
    </w:p>
    <w:p w14:paraId="2EC3BA8D" w14:textId="77777777" w:rsidR="00F01448" w:rsidRPr="00733B79" w:rsidRDefault="00F01448" w:rsidP="00F01448"/>
    <w:p w14:paraId="25D88A71" w14:textId="77777777" w:rsidR="00F01448" w:rsidRPr="00733B79" w:rsidRDefault="00F01448" w:rsidP="00F01448"/>
    <w:p w14:paraId="7F43D502" w14:textId="77777777" w:rsidR="00F01448" w:rsidRPr="00733B79" w:rsidRDefault="00F01448" w:rsidP="00F01448"/>
    <w:p w14:paraId="684FA443" w14:textId="77777777" w:rsidR="00F01448" w:rsidRPr="00733B79" w:rsidRDefault="00F01448" w:rsidP="00F01448"/>
    <w:p w14:paraId="525D85F7" w14:textId="77777777" w:rsidR="00F01448" w:rsidRPr="00733B79" w:rsidRDefault="00F01448" w:rsidP="00F01448"/>
    <w:p w14:paraId="68E93696" w14:textId="77777777" w:rsidR="00F01448" w:rsidRPr="00733B79" w:rsidRDefault="00F01448" w:rsidP="00F01448"/>
    <w:p w14:paraId="55DFFADF" w14:textId="77777777" w:rsidR="00F01448" w:rsidRPr="00733B79" w:rsidRDefault="00F01448" w:rsidP="00F01448"/>
    <w:p w14:paraId="0CA829D0" w14:textId="77777777" w:rsidR="00F01448" w:rsidRPr="00733B79" w:rsidRDefault="00F01448" w:rsidP="00F01448"/>
    <w:p w14:paraId="2A58BA26" w14:textId="77777777" w:rsidR="00F01448" w:rsidRPr="00733B79" w:rsidRDefault="00F01448" w:rsidP="00F01448"/>
    <w:p w14:paraId="28EA1661" w14:textId="77777777" w:rsidR="00F01448" w:rsidRPr="00733B79" w:rsidRDefault="00F01448" w:rsidP="00F01448"/>
    <w:p w14:paraId="37694129" w14:textId="77777777" w:rsidR="00F01448" w:rsidRPr="00733B79" w:rsidRDefault="00F01448" w:rsidP="00F01448"/>
    <w:p w14:paraId="5BF58507" w14:textId="77777777" w:rsidR="00F01448" w:rsidRPr="00733B79" w:rsidRDefault="00F01448" w:rsidP="00F01448"/>
    <w:p w14:paraId="74FD5427" w14:textId="77777777" w:rsidR="00F01448" w:rsidRPr="00733B79" w:rsidRDefault="00F01448" w:rsidP="00F01448"/>
    <w:p w14:paraId="35924A9D" w14:textId="77777777" w:rsidR="00F01448" w:rsidRPr="00733B79" w:rsidRDefault="00F01448" w:rsidP="00F01448"/>
    <w:p w14:paraId="484538FC" w14:textId="4E5BF870" w:rsidR="00F01448" w:rsidRPr="00733B79" w:rsidRDefault="00F01448" w:rsidP="00F01448">
      <w:pPr>
        <w:jc w:val="center"/>
      </w:pPr>
      <w:r w:rsidRPr="00733B79">
        <w:t xml:space="preserve">Updated: </w:t>
      </w:r>
      <w:r w:rsidRPr="00733B79">
        <w:fldChar w:fldCharType="begin"/>
      </w:r>
      <w:r w:rsidRPr="00733B79">
        <w:instrText xml:space="preserve"> DATE \@ "MMMM d, yyyy" </w:instrText>
      </w:r>
      <w:r w:rsidRPr="00733B79">
        <w:fldChar w:fldCharType="separate"/>
      </w:r>
      <w:r w:rsidR="00D56616">
        <w:rPr>
          <w:noProof/>
        </w:rPr>
        <w:t>August 12, 2024</w:t>
      </w:r>
      <w:r w:rsidRPr="00733B79">
        <w:fldChar w:fldCharType="end"/>
      </w:r>
    </w:p>
    <w:p w14:paraId="1FB21DD9" w14:textId="77777777" w:rsidR="00F01448" w:rsidRDefault="00F01448" w:rsidP="00704B15">
      <w:pPr>
        <w:pStyle w:val="Heading1"/>
        <w:numPr>
          <w:ilvl w:val="0"/>
          <w:numId w:val="0"/>
        </w:numPr>
        <w:rPr>
          <w:rFonts w:cs="Arial"/>
        </w:rPr>
      </w:pPr>
      <w:r>
        <w:rPr>
          <w:rFonts w:cs="Arial"/>
        </w:rPr>
        <w:br w:type="page"/>
      </w:r>
    </w:p>
    <w:p w14:paraId="094B8DAF" w14:textId="5748D221" w:rsidR="00CB6593" w:rsidRPr="00733B79" w:rsidRDefault="00060B36" w:rsidP="00704B15">
      <w:pPr>
        <w:pStyle w:val="Heading1"/>
        <w:numPr>
          <w:ilvl w:val="0"/>
          <w:numId w:val="0"/>
        </w:numPr>
        <w:rPr>
          <w:rFonts w:cs="Arial"/>
        </w:rPr>
      </w:pPr>
      <w:r>
        <w:rPr>
          <w:rFonts w:cs="Arial"/>
        </w:rPr>
        <w:lastRenderedPageBreak/>
        <w:t>Definitions</w:t>
      </w:r>
      <w:bookmarkEnd w:id="0"/>
      <w:bookmarkEnd w:id="1"/>
    </w:p>
    <w:p w14:paraId="47CB7DA5" w14:textId="47588858" w:rsidR="00A642AB" w:rsidRPr="00704B15" w:rsidRDefault="00A642AB" w:rsidP="003479FC">
      <w:r>
        <w:rPr>
          <w:rFonts w:eastAsia="Arial"/>
          <w:b/>
          <w:bCs/>
        </w:rPr>
        <w:t>Advanced Metering Infrastructure (AMI)</w:t>
      </w:r>
      <w:r w:rsidR="00D077C3">
        <w:rPr>
          <w:rFonts w:eastAsia="Arial"/>
          <w:b/>
          <w:bCs/>
        </w:rPr>
        <w:t xml:space="preserve"> Data</w:t>
      </w:r>
      <w:r>
        <w:rPr>
          <w:rFonts w:eastAsia="Arial"/>
          <w:b/>
          <w:bCs/>
        </w:rPr>
        <w:t>:</w:t>
      </w:r>
      <w:r>
        <w:rPr>
          <w:rFonts w:eastAsia="Arial"/>
        </w:rPr>
        <w:t xml:space="preserve"> </w:t>
      </w:r>
      <w:r w:rsidR="00D077C3">
        <w:rPr>
          <w:rFonts w:eastAsia="Arial"/>
        </w:rPr>
        <w:t>M</w:t>
      </w:r>
      <w:r w:rsidR="00D077C3" w:rsidRPr="00733B79">
        <w:t>eter interval data used for baselining and performance tracking. AMI data is provided in an hourly intervals for electric</w:t>
      </w:r>
      <w:r w:rsidR="00D077C3">
        <w:t xml:space="preserve"> and daily intervals for gas.</w:t>
      </w:r>
    </w:p>
    <w:p w14:paraId="59716D91" w14:textId="5B0914BA" w:rsidR="0053066E" w:rsidRPr="00704B15" w:rsidRDefault="0053066E" w:rsidP="00704B15">
      <w:pPr>
        <w:pStyle w:val="Body1"/>
        <w:spacing w:after="0"/>
        <w:rPr>
          <w:lang w:val="en-US"/>
        </w:rPr>
      </w:pPr>
      <w:r w:rsidRPr="00704B15">
        <w:rPr>
          <w:b/>
          <w:bCs/>
          <w:lang w:val="en-US"/>
        </w:rPr>
        <w:t xml:space="preserve">Aggregator Portal: </w:t>
      </w:r>
      <w:r w:rsidRPr="00704B15">
        <w:rPr>
          <w:lang w:val="en-US"/>
        </w:rPr>
        <w:t>Password-protected website providing Aggregators program resources and links to tools, including application checklists</w:t>
      </w:r>
      <w:r w:rsidR="001B75B3">
        <w:rPr>
          <w:lang w:val="en-US"/>
        </w:rPr>
        <w:t xml:space="preserve">, eligibility tools, </w:t>
      </w:r>
      <w:r w:rsidR="00AB27CD">
        <w:rPr>
          <w:lang w:val="en-US"/>
        </w:rPr>
        <w:t xml:space="preserve">project value estimator tool, and </w:t>
      </w:r>
      <w:r w:rsidR="000F0025">
        <w:rPr>
          <w:lang w:val="en-US"/>
        </w:rPr>
        <w:t>application platform, once available</w:t>
      </w:r>
      <w:r w:rsidRPr="00704B15">
        <w:rPr>
          <w:lang w:val="en-US"/>
        </w:rPr>
        <w:t xml:space="preserve">. </w:t>
      </w:r>
    </w:p>
    <w:p w14:paraId="48D2D4E0" w14:textId="2950FA7F" w:rsidR="00BE411F" w:rsidRDefault="00BE411F" w:rsidP="00704B15">
      <w:pPr>
        <w:pStyle w:val="Body1"/>
        <w:spacing w:after="0"/>
        <w:rPr>
          <w:b/>
          <w:bCs/>
          <w:lang w:val="en-US"/>
        </w:rPr>
      </w:pPr>
      <w:r w:rsidRPr="00BE411F">
        <w:rPr>
          <w:b/>
          <w:bCs/>
          <w:lang w:val="en-US"/>
        </w:rPr>
        <w:t xml:space="preserve">Automated Application Portal: </w:t>
      </w:r>
      <w:r w:rsidR="00092F92">
        <w:rPr>
          <w:lang w:val="en-US"/>
        </w:rPr>
        <w:t>Implementer’s</w:t>
      </w:r>
      <w:r w:rsidRPr="00704B15">
        <w:rPr>
          <w:lang w:val="en-US"/>
        </w:rPr>
        <w:t xml:space="preserve"> </w:t>
      </w:r>
      <w:r>
        <w:rPr>
          <w:lang w:val="en-US"/>
        </w:rPr>
        <w:t>c</w:t>
      </w:r>
      <w:r w:rsidRPr="00704B15">
        <w:rPr>
          <w:lang w:val="en-US"/>
        </w:rPr>
        <w:t>entralized, cloud-based portal for Aggregators to submit and track project application materials.</w:t>
      </w:r>
      <w:r w:rsidR="00571E41">
        <w:rPr>
          <w:lang w:val="en-US"/>
        </w:rPr>
        <w:t xml:space="preserve">  </w:t>
      </w:r>
    </w:p>
    <w:p w14:paraId="73B9518D" w14:textId="77777777" w:rsidR="00F372A8" w:rsidRPr="00733B79" w:rsidRDefault="00F372A8" w:rsidP="00704B15">
      <w:pPr>
        <w:pStyle w:val="Body1"/>
        <w:spacing w:after="0"/>
      </w:pPr>
      <w:r w:rsidRPr="00733B79">
        <w:rPr>
          <w:b/>
          <w:bCs/>
          <w:lang w:val="en-US"/>
        </w:rPr>
        <w:t xml:space="preserve">Avoided Costs: </w:t>
      </w:r>
      <w:r w:rsidRPr="00733B79">
        <w:rPr>
          <w:lang w:val="en-US"/>
        </w:rPr>
        <w:t xml:space="preserve">Avoided costs refers to the incremental costs avoided by the investor-owned utility when it purchases power from qualifying facilities, implements demand-side management, such as EE or demand-response programs, or otherwise defers or avoids generation from existing/new utility supply-side investments or energy purchases in the market. Avoided costs also encompass the deferral or avoidance of transmission and distribution-related costs. (D.08-01-006) </w:t>
      </w:r>
    </w:p>
    <w:p w14:paraId="277A96E5" w14:textId="77777777" w:rsidR="00F372A8" w:rsidRPr="00733B79" w:rsidRDefault="00F372A8" w:rsidP="00704B15">
      <w:pPr>
        <w:pStyle w:val="Body1"/>
        <w:spacing w:after="0"/>
        <w:rPr>
          <w:rFonts w:eastAsia="Arial"/>
          <w:lang w:val="en-US"/>
        </w:rPr>
      </w:pPr>
      <w:r w:rsidRPr="00733B79">
        <w:rPr>
          <w:rFonts w:eastAsia="Arial"/>
          <w:b/>
          <w:bCs/>
          <w:lang w:val="en-US"/>
        </w:rPr>
        <w:t>Behavioral, Retro-commissioning, and Operational (BRO) Measures:</w:t>
      </w:r>
      <w:r w:rsidRPr="00733B79">
        <w:rPr>
          <w:rFonts w:eastAsia="Arial"/>
          <w:lang w:val="en-US"/>
        </w:rPr>
        <w:t xml:space="preserve"> The BRO category includes measures that either restore or improve EE and can be reasonably expected to produce multi-year savings. BRO measures include information or educational programs that influence energy-related practices (behavioral), activities and installations that restore equipment performance to its nominal efficiency (i.e., rated, intended, or original efficiency (retro-commissioning)) but do not enhance the measure’s nominal efficiency, and measures that improve the efficient operation of installed equipment (operational). (Statewide Deemed Workpaper Rulebook 2019)</w:t>
      </w:r>
    </w:p>
    <w:p w14:paraId="2BBCDEC8" w14:textId="38056AC2" w:rsidR="00CC6663" w:rsidRPr="00704B15" w:rsidRDefault="00CC6663" w:rsidP="4BDFE4E5">
      <w:pPr>
        <w:pStyle w:val="BalloonText"/>
        <w:rPr>
          <w:rFonts w:ascii="Arial" w:hAnsi="Arial" w:cs="Arial"/>
          <w:sz w:val="22"/>
          <w:szCs w:val="22"/>
          <w:lang w:val="en-US"/>
        </w:rPr>
      </w:pPr>
      <w:r>
        <w:rPr>
          <w:rFonts w:ascii="Arial" w:hAnsi="Arial" w:cs="Arial"/>
          <w:b/>
          <w:bCs/>
          <w:sz w:val="22"/>
          <w:szCs w:val="22"/>
          <w:lang w:val="en-US"/>
        </w:rPr>
        <w:t>Cohort:</w:t>
      </w:r>
      <w:r w:rsidR="00CA28E9">
        <w:rPr>
          <w:rFonts w:ascii="Arial" w:hAnsi="Arial" w:cs="Arial"/>
          <w:sz w:val="22"/>
          <w:szCs w:val="22"/>
          <w:lang w:val="en-US"/>
        </w:rPr>
        <w:t xml:space="preserve"> </w:t>
      </w:r>
      <w:r w:rsidR="00A7103E">
        <w:rPr>
          <w:rFonts w:ascii="Arial" w:hAnsi="Arial" w:cs="Arial"/>
          <w:sz w:val="22"/>
          <w:szCs w:val="22"/>
          <w:lang w:val="en-US"/>
        </w:rPr>
        <w:t>For Population-based projects, a</w:t>
      </w:r>
      <w:r w:rsidR="006052EE">
        <w:rPr>
          <w:rFonts w:ascii="Arial" w:hAnsi="Arial" w:cs="Arial"/>
          <w:sz w:val="22"/>
          <w:szCs w:val="22"/>
          <w:lang w:val="en-US"/>
        </w:rPr>
        <w:t xml:space="preserve"> group of projects that </w:t>
      </w:r>
      <w:r w:rsidR="007A61EA">
        <w:rPr>
          <w:rFonts w:ascii="Arial" w:hAnsi="Arial" w:cs="Arial"/>
          <w:sz w:val="22"/>
          <w:szCs w:val="22"/>
          <w:lang w:val="en-US"/>
        </w:rPr>
        <w:t>started M&amp;V</w:t>
      </w:r>
      <w:r w:rsidR="009440F2">
        <w:rPr>
          <w:rFonts w:ascii="Arial" w:hAnsi="Arial" w:cs="Arial"/>
          <w:sz w:val="22"/>
          <w:szCs w:val="22"/>
          <w:lang w:val="en-US"/>
        </w:rPr>
        <w:t xml:space="preserve"> during the same year and </w:t>
      </w:r>
      <w:r w:rsidR="00CD37EE">
        <w:rPr>
          <w:rFonts w:ascii="Arial" w:hAnsi="Arial" w:cs="Arial"/>
          <w:sz w:val="22"/>
          <w:szCs w:val="22"/>
          <w:lang w:val="en-US"/>
        </w:rPr>
        <w:t xml:space="preserve">quarter.  </w:t>
      </w:r>
      <w:r w:rsidR="00D51EA7" w:rsidRPr="00D51EA7">
        <w:rPr>
          <w:rFonts w:ascii="Arial" w:hAnsi="Arial" w:cs="Arial"/>
          <w:sz w:val="22"/>
          <w:szCs w:val="22"/>
          <w:lang w:val="en-US"/>
        </w:rPr>
        <w:t xml:space="preserve">As each quarterly cohort completes M&amp;V, </w:t>
      </w:r>
      <w:r w:rsidR="00D51EA7">
        <w:rPr>
          <w:rFonts w:ascii="Arial" w:hAnsi="Arial" w:cs="Arial"/>
          <w:sz w:val="22"/>
          <w:szCs w:val="22"/>
          <w:lang w:val="en-US"/>
        </w:rPr>
        <w:t>the AESC Team</w:t>
      </w:r>
      <w:r w:rsidR="00D51EA7" w:rsidRPr="00D51EA7">
        <w:rPr>
          <w:rFonts w:ascii="Arial" w:hAnsi="Arial" w:cs="Arial"/>
          <w:sz w:val="22"/>
          <w:szCs w:val="22"/>
          <w:lang w:val="en-US"/>
        </w:rPr>
        <w:t xml:space="preserve"> will true up each quarterly cohort at the end of that cohort</w:t>
      </w:r>
      <w:r w:rsidR="003A7CA6">
        <w:rPr>
          <w:rFonts w:ascii="Arial" w:hAnsi="Arial" w:cs="Arial"/>
          <w:sz w:val="22"/>
          <w:szCs w:val="22"/>
          <w:lang w:val="en-US"/>
        </w:rPr>
        <w:t>’</w:t>
      </w:r>
      <w:r w:rsidR="00D51EA7" w:rsidRPr="00D51EA7">
        <w:rPr>
          <w:rFonts w:ascii="Arial" w:hAnsi="Arial" w:cs="Arial"/>
          <w:sz w:val="22"/>
          <w:szCs w:val="22"/>
          <w:lang w:val="en-US"/>
        </w:rPr>
        <w:t>s performance period.</w:t>
      </w:r>
    </w:p>
    <w:p w14:paraId="24FB8EA8" w14:textId="299DF496" w:rsidR="00F372A8" w:rsidRPr="00704B15" w:rsidRDefault="00F372A8" w:rsidP="4BDFE4E5">
      <w:pPr>
        <w:pStyle w:val="BalloonText"/>
        <w:rPr>
          <w:rFonts w:ascii="Arial" w:hAnsi="Arial" w:cs="Arial"/>
          <w:sz w:val="22"/>
          <w:szCs w:val="22"/>
          <w:lang w:val="en-US"/>
        </w:rPr>
      </w:pPr>
      <w:r w:rsidRPr="00704B15">
        <w:rPr>
          <w:rFonts w:ascii="Arial" w:hAnsi="Arial" w:cs="Arial"/>
          <w:b/>
          <w:bCs/>
          <w:sz w:val="22"/>
          <w:szCs w:val="22"/>
          <w:lang w:val="en-US"/>
        </w:rPr>
        <w:t xml:space="preserve">Community Choice Aggregators (“CCAs”): </w:t>
      </w:r>
      <w:r w:rsidRPr="00704B15">
        <w:rPr>
          <w:rFonts w:ascii="Arial" w:hAnsi="Arial" w:cs="Arial"/>
          <w:sz w:val="22"/>
          <w:szCs w:val="22"/>
          <w:lang w:val="en-US"/>
        </w:rPr>
        <w:t>Organizations created by local governments pursuant to Assembly Bill 117 for procuring power and administering energy efficiency programs on behalf of local citizens.</w:t>
      </w:r>
    </w:p>
    <w:p w14:paraId="494D5258" w14:textId="77777777" w:rsidR="00F372A8" w:rsidRPr="00733B79" w:rsidRDefault="00F372A8" w:rsidP="00F372A8">
      <w:r w:rsidRPr="00733B79">
        <w:rPr>
          <w:b/>
        </w:rPr>
        <w:t xml:space="preserve">Cost Effectiveness: </w:t>
      </w:r>
      <w:r w:rsidRPr="00733B79">
        <w:t>An indicator of the relative performance or economic attractiveness of any EE investment or practice when compared to the costs of energy produced and delivered in the absence of such an investment.</w:t>
      </w:r>
    </w:p>
    <w:p w14:paraId="2230BE22" w14:textId="1D955C16" w:rsidR="00F372A8" w:rsidRPr="00733B79" w:rsidRDefault="00F372A8" w:rsidP="00F372A8">
      <w:r w:rsidRPr="00733B79">
        <w:rPr>
          <w:b/>
        </w:rPr>
        <w:t xml:space="preserve">Customer: </w:t>
      </w:r>
      <w:r w:rsidRPr="00733B79">
        <w:t xml:space="preserve">Any person or entity that pays an electric and/or gas bill to </w:t>
      </w:r>
      <w:r w:rsidR="00415877">
        <w:t>PG&amp;E</w:t>
      </w:r>
      <w:r w:rsidRPr="00733B79">
        <w:t xml:space="preserve"> and that is the ultimate consumer of goods and services including energy efficiency products, services, or practices.</w:t>
      </w:r>
    </w:p>
    <w:p w14:paraId="42FAD99F" w14:textId="582E0176" w:rsidR="00F372A8" w:rsidRPr="00704B15" w:rsidRDefault="00F372A8" w:rsidP="2AC8AE5A">
      <w:pPr>
        <w:pStyle w:val="BalloonText"/>
        <w:rPr>
          <w:rFonts w:ascii="Arial" w:hAnsi="Arial" w:cs="Arial"/>
          <w:sz w:val="22"/>
          <w:szCs w:val="22"/>
          <w:lang w:val="en-US"/>
        </w:rPr>
      </w:pPr>
      <w:r w:rsidRPr="2AC8AE5A">
        <w:rPr>
          <w:rFonts w:ascii="Arial" w:hAnsi="Arial" w:cs="Arial"/>
          <w:b/>
          <w:bCs/>
          <w:sz w:val="22"/>
          <w:szCs w:val="22"/>
          <w:lang w:val="en-US"/>
        </w:rPr>
        <w:t xml:space="preserve">Customer Incentive: </w:t>
      </w:r>
      <w:r w:rsidRPr="2AC8AE5A">
        <w:rPr>
          <w:rFonts w:ascii="Arial" w:hAnsi="Arial" w:cs="Arial"/>
          <w:sz w:val="22"/>
          <w:szCs w:val="22"/>
          <w:lang w:val="en-US"/>
        </w:rPr>
        <w:t>Financial or non-financial support (</w:t>
      </w:r>
      <w:r w:rsidR="002B5929" w:rsidRPr="2AC8AE5A">
        <w:rPr>
          <w:rFonts w:ascii="Arial" w:hAnsi="Arial" w:cs="Arial"/>
          <w:sz w:val="22"/>
          <w:szCs w:val="22"/>
          <w:lang w:val="en-US"/>
        </w:rPr>
        <w:t xml:space="preserve">e.g. </w:t>
      </w:r>
      <w:r w:rsidR="003C31C8" w:rsidRPr="2AC8AE5A">
        <w:rPr>
          <w:rFonts w:ascii="Arial" w:hAnsi="Arial" w:cs="Arial"/>
          <w:sz w:val="22"/>
          <w:szCs w:val="22"/>
          <w:lang w:val="en-US"/>
        </w:rPr>
        <w:t>price reductions, mon</w:t>
      </w:r>
      <w:r w:rsidR="00786272" w:rsidRPr="2AC8AE5A">
        <w:rPr>
          <w:rFonts w:ascii="Arial" w:hAnsi="Arial" w:cs="Arial"/>
          <w:sz w:val="22"/>
          <w:szCs w:val="22"/>
          <w:lang w:val="en-US"/>
        </w:rPr>
        <w:t>e</w:t>
      </w:r>
      <w:r w:rsidR="00D97A76" w:rsidRPr="2AC8AE5A">
        <w:rPr>
          <w:rFonts w:ascii="Arial" w:hAnsi="Arial" w:cs="Arial"/>
          <w:sz w:val="22"/>
          <w:szCs w:val="22"/>
          <w:lang w:val="en-US"/>
        </w:rPr>
        <w:t>tary incentive</w:t>
      </w:r>
      <w:r w:rsidR="00D10953" w:rsidRPr="2AC8AE5A">
        <w:rPr>
          <w:rFonts w:ascii="Arial" w:hAnsi="Arial" w:cs="Arial"/>
          <w:sz w:val="22"/>
          <w:szCs w:val="22"/>
          <w:lang w:val="en-US"/>
        </w:rPr>
        <w:t>s</w:t>
      </w:r>
      <w:r w:rsidRPr="2AC8AE5A">
        <w:rPr>
          <w:rFonts w:ascii="Arial" w:hAnsi="Arial" w:cs="Arial"/>
          <w:sz w:val="22"/>
          <w:szCs w:val="22"/>
          <w:lang w:val="en-US"/>
        </w:rPr>
        <w:t xml:space="preserve">, financing options such as low interest or zero interest loans) provided to a customer to motivate the customers to install energy efficient measures, adopt energy efficiency practices or undertake energy efficiency projects. </w:t>
      </w:r>
    </w:p>
    <w:p w14:paraId="2C7B763D" w14:textId="77777777" w:rsidR="00F372A8" w:rsidRPr="00733B79" w:rsidRDefault="00F372A8" w:rsidP="00F372A8">
      <w:r w:rsidRPr="00733B79">
        <w:rPr>
          <w:b/>
        </w:rPr>
        <w:t xml:space="preserve">Customer Participation Information: </w:t>
      </w:r>
      <w:r w:rsidRPr="00733B79">
        <w:t>Information that is collected by the Program in support of the customer participating in the Program.</w:t>
      </w:r>
    </w:p>
    <w:p w14:paraId="1773D4F5" w14:textId="77777777" w:rsidR="00F372A8" w:rsidRPr="00733B79" w:rsidRDefault="00F372A8" w:rsidP="00F372A8">
      <w:r w:rsidRPr="00733B79">
        <w:rPr>
          <w:b/>
        </w:rPr>
        <w:t xml:space="preserve">Customer Sector: </w:t>
      </w:r>
      <w:r w:rsidRPr="00733B79">
        <w:t>Residential, Commercial, Industrial, Agricultural, and Public.</w:t>
      </w:r>
    </w:p>
    <w:p w14:paraId="51BD89D4" w14:textId="77777777" w:rsidR="00F372A8" w:rsidRDefault="00F372A8" w:rsidP="00F372A8">
      <w:r w:rsidRPr="00733B79">
        <w:rPr>
          <w:b/>
        </w:rPr>
        <w:t xml:space="preserve">Customer Segment/Sub-segment: </w:t>
      </w:r>
      <w:r w:rsidRPr="00733B79">
        <w:t>Grouping of like customers within an individual customer sector based on the North American Industry Classification System (“NAICS”) code.</w:t>
      </w:r>
    </w:p>
    <w:p w14:paraId="41AB9267" w14:textId="6355CA04" w:rsidR="008B6F23" w:rsidRPr="008B6F23" w:rsidRDefault="008B6F23" w:rsidP="00F372A8">
      <w:pPr>
        <w:rPr>
          <w:bCs/>
        </w:rPr>
      </w:pPr>
      <w:r w:rsidRPr="00704B15">
        <w:rPr>
          <w:b/>
        </w:rPr>
        <w:t>Customer Site Eligibility Tool (</w:t>
      </w:r>
      <w:r>
        <w:rPr>
          <w:b/>
        </w:rPr>
        <w:t>CSET</w:t>
      </w:r>
      <w:r w:rsidRPr="00704B15">
        <w:rPr>
          <w:b/>
        </w:rPr>
        <w:t xml:space="preserve">): </w:t>
      </w:r>
      <w:r w:rsidR="00092F92">
        <w:rPr>
          <w:bCs/>
        </w:rPr>
        <w:t>Implementer’s</w:t>
      </w:r>
      <w:r>
        <w:rPr>
          <w:b/>
        </w:rPr>
        <w:t xml:space="preserve"> </w:t>
      </w:r>
      <w:r w:rsidRPr="00704B15">
        <w:rPr>
          <w:bCs/>
        </w:rPr>
        <w:t>Tool</w:t>
      </w:r>
      <w:r>
        <w:rPr>
          <w:b/>
        </w:rPr>
        <w:t xml:space="preserve"> </w:t>
      </w:r>
      <w:r>
        <w:rPr>
          <w:bCs/>
        </w:rPr>
        <w:t>used to</w:t>
      </w:r>
      <w:r w:rsidRPr="008B6F23">
        <w:rPr>
          <w:bCs/>
        </w:rPr>
        <w:t xml:space="preserve"> identif</w:t>
      </w:r>
      <w:r>
        <w:rPr>
          <w:bCs/>
        </w:rPr>
        <w:t>y</w:t>
      </w:r>
      <w:r w:rsidRPr="008B6F23">
        <w:rPr>
          <w:bCs/>
        </w:rPr>
        <w:t xml:space="preserve"> if a site meets program requirements including</w:t>
      </w:r>
      <w:r>
        <w:rPr>
          <w:bCs/>
        </w:rPr>
        <w:t xml:space="preserve"> </w:t>
      </w:r>
      <w:r w:rsidRPr="008B6F23">
        <w:rPr>
          <w:bCs/>
        </w:rPr>
        <w:t xml:space="preserve">CV(RMSE), data sufficiency, and lack of program double dip. </w:t>
      </w:r>
    </w:p>
    <w:p w14:paraId="4AC54373" w14:textId="16A776AA" w:rsidR="00F372A8" w:rsidRPr="00733B79" w:rsidRDefault="00F372A8" w:rsidP="00F372A8">
      <w:r w:rsidRPr="00733B79">
        <w:rPr>
          <w:b/>
          <w:bCs/>
        </w:rPr>
        <w:t>Day</w:t>
      </w:r>
      <w:r w:rsidRPr="00733B79">
        <w:t>: Unless otherwise specified, reference to a “day” means a calendar day.</w:t>
      </w:r>
    </w:p>
    <w:p w14:paraId="7E18B523" w14:textId="4F921132" w:rsidR="00A374E3" w:rsidRPr="00733B79" w:rsidRDefault="00F372A8" w:rsidP="00F372A8">
      <w:r w:rsidRPr="00733B79">
        <w:rPr>
          <w:b/>
        </w:rPr>
        <w:lastRenderedPageBreak/>
        <w:t>Demand Response (“DR”):</w:t>
      </w:r>
      <w:r w:rsidRPr="00733B79">
        <w:t xml:space="preserve"> </w:t>
      </w:r>
      <w:r w:rsidRPr="00733B79">
        <w:rPr>
          <w:bCs/>
        </w:rPr>
        <w:t xml:space="preserve">Demand Response </w:t>
      </w:r>
      <w:r w:rsidRPr="00733B79">
        <w:t>is short-term changes in electricity usage by end-use customers from their normal consumption patterns. Demand response may be in response to</w:t>
      </w:r>
      <w:r w:rsidR="00A374E3">
        <w:t>:</w:t>
      </w:r>
    </w:p>
    <w:p w14:paraId="522A4244" w14:textId="0708009A" w:rsidR="00A374E3" w:rsidRPr="00733B79" w:rsidRDefault="00F372A8" w:rsidP="003479FC">
      <w:pPr>
        <w:pStyle w:val="ListParagraph"/>
        <w:numPr>
          <w:ilvl w:val="0"/>
          <w:numId w:val="104"/>
        </w:numPr>
      </w:pPr>
      <w:r w:rsidRPr="00733B79">
        <w:t>changes in the price of electricity; or</w:t>
      </w:r>
    </w:p>
    <w:p w14:paraId="34F4A6A9" w14:textId="0E4ADCF1" w:rsidR="00A374E3" w:rsidRPr="00733B79" w:rsidRDefault="00F372A8" w:rsidP="003479FC">
      <w:pPr>
        <w:pStyle w:val="ListParagraph"/>
        <w:numPr>
          <w:ilvl w:val="0"/>
          <w:numId w:val="104"/>
        </w:numPr>
      </w:pPr>
      <w:r w:rsidRPr="00733B79">
        <w:t>participation in programs or services designed to modify electricity use; or</w:t>
      </w:r>
    </w:p>
    <w:p w14:paraId="0EFF8C7B" w14:textId="690ABD8D" w:rsidR="00A374E3" w:rsidRPr="00733B79" w:rsidRDefault="00F372A8" w:rsidP="003479FC">
      <w:pPr>
        <w:pStyle w:val="ListParagraph"/>
        <w:numPr>
          <w:ilvl w:val="0"/>
          <w:numId w:val="104"/>
        </w:numPr>
      </w:pPr>
      <w:r w:rsidRPr="00733B79">
        <w:t>in response to wholesale market prices, or</w:t>
      </w:r>
    </w:p>
    <w:p w14:paraId="0E6B990E" w14:textId="77777777" w:rsidR="00F372A8" w:rsidRPr="00733B79" w:rsidRDefault="00F372A8" w:rsidP="003479FC">
      <w:pPr>
        <w:pStyle w:val="ListParagraph"/>
        <w:numPr>
          <w:ilvl w:val="0"/>
          <w:numId w:val="104"/>
        </w:numPr>
      </w:pPr>
      <w:r w:rsidRPr="00733B79">
        <w:t>when system reliability is jeopardized.</w:t>
      </w:r>
    </w:p>
    <w:p w14:paraId="15F8FE82" w14:textId="77777777" w:rsidR="00F372A8" w:rsidRPr="00733B79" w:rsidRDefault="00F372A8" w:rsidP="001A7AA3">
      <w:r w:rsidRPr="00733B79">
        <w:rPr>
          <w:b/>
        </w:rPr>
        <w:t>Disadvantaged Communities (DAC)</w:t>
      </w:r>
      <w:r w:rsidRPr="00733B79">
        <w:rPr>
          <w:rStyle w:val="FootnoteReference"/>
          <w:b/>
        </w:rPr>
        <w:footnoteReference w:id="2"/>
      </w:r>
      <w:r w:rsidRPr="00733B79">
        <w:rPr>
          <w:b/>
        </w:rPr>
        <w:t xml:space="preserve">: </w:t>
      </w:r>
      <w:r w:rsidRPr="00733B79">
        <w:t>Pursuant to Section 39711 of the Health and Safety Code, the California Environmental Protection Agency (“CalEPA”) developed a means for identifying disadvantaged communities, which may include, but are not limited to 1) Areas disproportionately affected by environmental pollution and other hazards that can lead to negative public health effects, exposure, or environmental degradation, and/or 2) Areas with concentrations of people that are of low income, high unemployment, low levels of homeownership, high rent burden, sensitive populations, or low levels of educational attainment. Specific DAC criteria is as follows:</w:t>
      </w:r>
    </w:p>
    <w:p w14:paraId="0C486F63" w14:textId="77777777" w:rsidR="00F372A8" w:rsidRPr="00704B15" w:rsidRDefault="00F372A8" w:rsidP="001A7AA3">
      <w:pPr>
        <w:pStyle w:val="BalloonText"/>
        <w:widowControl w:val="0"/>
        <w:numPr>
          <w:ilvl w:val="0"/>
          <w:numId w:val="47"/>
        </w:numPr>
        <w:overflowPunct w:val="0"/>
        <w:autoSpaceDE w:val="0"/>
        <w:autoSpaceDN w:val="0"/>
        <w:adjustRightInd w:val="0"/>
        <w:spacing w:line="276" w:lineRule="auto"/>
        <w:textAlignment w:val="baseline"/>
        <w:rPr>
          <w:rFonts w:ascii="Arial" w:hAnsi="Arial" w:cs="Arial"/>
          <w:sz w:val="22"/>
          <w:szCs w:val="22"/>
          <w:lang w:val="en-US"/>
        </w:rPr>
      </w:pPr>
      <w:bookmarkStart w:id="3" w:name="_Hlk123650551"/>
      <w:r w:rsidRPr="00704B15">
        <w:rPr>
          <w:rFonts w:ascii="Arial" w:hAnsi="Arial" w:cs="Arial"/>
          <w:sz w:val="22"/>
          <w:szCs w:val="22"/>
          <w:lang w:val="en-US"/>
        </w:rPr>
        <w:t xml:space="preserve">Census tracts with the highest 25% of overall scores in </w:t>
      </w:r>
      <w:proofErr w:type="spellStart"/>
      <w:r w:rsidRPr="00704B15">
        <w:rPr>
          <w:rFonts w:ascii="Arial" w:hAnsi="Arial" w:cs="Arial"/>
          <w:sz w:val="22"/>
          <w:szCs w:val="22"/>
          <w:lang w:val="en-US"/>
        </w:rPr>
        <w:t>CalEnviroScreen</w:t>
      </w:r>
      <w:proofErr w:type="spellEnd"/>
      <w:r w:rsidRPr="00704B15">
        <w:rPr>
          <w:rFonts w:ascii="Arial" w:hAnsi="Arial" w:cs="Arial"/>
          <w:sz w:val="22"/>
          <w:szCs w:val="22"/>
          <w:lang w:val="en-US"/>
        </w:rPr>
        <w:t xml:space="preserve"> 4.0, or</w:t>
      </w:r>
    </w:p>
    <w:p w14:paraId="51E5D83E" w14:textId="77777777" w:rsidR="00F372A8" w:rsidRPr="00704B15" w:rsidRDefault="00F372A8" w:rsidP="001A7AA3">
      <w:pPr>
        <w:pStyle w:val="BalloonText"/>
        <w:widowControl w:val="0"/>
        <w:numPr>
          <w:ilvl w:val="0"/>
          <w:numId w:val="47"/>
        </w:numPr>
        <w:overflowPunct w:val="0"/>
        <w:autoSpaceDE w:val="0"/>
        <w:autoSpaceDN w:val="0"/>
        <w:adjustRightInd w:val="0"/>
        <w:spacing w:line="276" w:lineRule="auto"/>
        <w:textAlignment w:val="baseline"/>
        <w:rPr>
          <w:rFonts w:ascii="Arial" w:hAnsi="Arial" w:cs="Arial"/>
          <w:sz w:val="22"/>
          <w:szCs w:val="22"/>
          <w:lang w:val="en-US"/>
        </w:rPr>
      </w:pPr>
      <w:r w:rsidRPr="00704B15">
        <w:rPr>
          <w:rFonts w:ascii="Arial" w:hAnsi="Arial" w:cs="Arial"/>
          <w:sz w:val="22"/>
          <w:szCs w:val="22"/>
          <w:lang w:val="en-US"/>
        </w:rPr>
        <w:t xml:space="preserve">Census tracts with the highest 5% of pollution burden indicator scores in </w:t>
      </w:r>
      <w:proofErr w:type="spellStart"/>
      <w:r w:rsidRPr="00704B15">
        <w:rPr>
          <w:rFonts w:ascii="Arial" w:hAnsi="Arial" w:cs="Arial"/>
          <w:sz w:val="22"/>
          <w:szCs w:val="22"/>
          <w:lang w:val="en-US"/>
        </w:rPr>
        <w:t>CalEnviroScreen</w:t>
      </w:r>
      <w:proofErr w:type="spellEnd"/>
      <w:r w:rsidRPr="00704B15">
        <w:rPr>
          <w:rFonts w:ascii="Arial" w:hAnsi="Arial" w:cs="Arial"/>
          <w:sz w:val="22"/>
          <w:szCs w:val="22"/>
          <w:lang w:val="en-US"/>
        </w:rPr>
        <w:t xml:space="preserve"> 4.0 and that also do not have an overall score, or </w:t>
      </w:r>
    </w:p>
    <w:p w14:paraId="79A5B3F6" w14:textId="77777777" w:rsidR="00F372A8" w:rsidRPr="00704B15" w:rsidRDefault="00F372A8" w:rsidP="001A7AA3">
      <w:pPr>
        <w:pStyle w:val="BalloonText"/>
        <w:widowControl w:val="0"/>
        <w:numPr>
          <w:ilvl w:val="0"/>
          <w:numId w:val="47"/>
        </w:numPr>
        <w:overflowPunct w:val="0"/>
        <w:autoSpaceDE w:val="0"/>
        <w:autoSpaceDN w:val="0"/>
        <w:adjustRightInd w:val="0"/>
        <w:spacing w:line="276" w:lineRule="auto"/>
        <w:textAlignment w:val="baseline"/>
        <w:rPr>
          <w:rFonts w:ascii="Arial" w:hAnsi="Arial" w:cs="Arial"/>
          <w:sz w:val="22"/>
          <w:szCs w:val="22"/>
          <w:lang w:val="en-US"/>
        </w:rPr>
      </w:pPr>
      <w:r w:rsidRPr="00704B15">
        <w:rPr>
          <w:rFonts w:ascii="Arial" w:hAnsi="Arial" w:cs="Arial"/>
          <w:sz w:val="22"/>
          <w:szCs w:val="22"/>
          <w:lang w:val="en-US"/>
        </w:rPr>
        <w:t xml:space="preserve">Census tracts designated as DACs by CalEPA in 2017 using </w:t>
      </w:r>
      <w:proofErr w:type="spellStart"/>
      <w:r w:rsidRPr="00704B15">
        <w:rPr>
          <w:rFonts w:ascii="Arial" w:hAnsi="Arial" w:cs="Arial"/>
          <w:sz w:val="22"/>
          <w:szCs w:val="22"/>
          <w:lang w:val="en-US"/>
        </w:rPr>
        <w:t>CalEnviroScreen</w:t>
      </w:r>
      <w:proofErr w:type="spellEnd"/>
      <w:r w:rsidRPr="00704B15">
        <w:rPr>
          <w:rFonts w:ascii="Arial" w:hAnsi="Arial" w:cs="Arial"/>
          <w:sz w:val="22"/>
          <w:szCs w:val="22"/>
          <w:lang w:val="en-US"/>
        </w:rPr>
        <w:t xml:space="preserve"> 3.0, or</w:t>
      </w:r>
    </w:p>
    <w:bookmarkEnd w:id="3"/>
    <w:p w14:paraId="64F5E4B8" w14:textId="77777777" w:rsidR="00F372A8" w:rsidRPr="00704B15" w:rsidRDefault="00F372A8" w:rsidP="00704B15">
      <w:pPr>
        <w:pStyle w:val="BalloonText"/>
        <w:widowControl w:val="0"/>
        <w:numPr>
          <w:ilvl w:val="0"/>
          <w:numId w:val="47"/>
        </w:numPr>
        <w:overflowPunct w:val="0"/>
        <w:autoSpaceDE w:val="0"/>
        <w:autoSpaceDN w:val="0"/>
        <w:adjustRightInd w:val="0"/>
        <w:spacing w:line="276" w:lineRule="auto"/>
        <w:textAlignment w:val="baseline"/>
        <w:rPr>
          <w:rFonts w:ascii="Arial" w:hAnsi="Arial" w:cs="Arial"/>
          <w:sz w:val="22"/>
          <w:szCs w:val="22"/>
          <w:lang w:val="en-US"/>
        </w:rPr>
      </w:pPr>
      <w:r w:rsidRPr="00704B15">
        <w:rPr>
          <w:rFonts w:ascii="Arial" w:hAnsi="Arial" w:cs="Arial"/>
          <w:sz w:val="22"/>
          <w:szCs w:val="22"/>
          <w:lang w:val="en-US"/>
        </w:rPr>
        <w:t>Lands under federally recognized tribes</w:t>
      </w:r>
    </w:p>
    <w:p w14:paraId="1AC1CCC0" w14:textId="77777777" w:rsidR="00F372A8" w:rsidRPr="00704B15" w:rsidRDefault="00F372A8" w:rsidP="00F372A8">
      <w:pPr>
        <w:pStyle w:val="BalloonText"/>
        <w:rPr>
          <w:rFonts w:ascii="Arial" w:hAnsi="Arial" w:cs="Arial"/>
          <w:sz w:val="22"/>
          <w:szCs w:val="22"/>
          <w:lang w:val="en-US"/>
        </w:rPr>
      </w:pPr>
      <w:r w:rsidRPr="00704B15">
        <w:rPr>
          <w:rFonts w:ascii="Arial" w:hAnsi="Arial" w:cs="Arial"/>
          <w:b/>
          <w:sz w:val="22"/>
          <w:szCs w:val="22"/>
        </w:rPr>
        <w:t xml:space="preserve">Double Dipping: </w:t>
      </w:r>
      <w:r w:rsidRPr="00704B15">
        <w:rPr>
          <w:rFonts w:ascii="Arial" w:hAnsi="Arial" w:cs="Arial"/>
          <w:sz w:val="22"/>
          <w:szCs w:val="22"/>
        </w:rPr>
        <w:t xml:space="preserve">This term is applied when a customer receives financial incentives from multiple CPUC-funded energy efficiency programs and the corresponding energy savings </w:t>
      </w:r>
      <w:r w:rsidRPr="00704B15">
        <w:rPr>
          <w:rFonts w:ascii="Arial" w:hAnsi="Arial" w:cs="Arial"/>
          <w:sz w:val="22"/>
          <w:szCs w:val="22"/>
          <w:lang w:val="en-US"/>
        </w:rPr>
        <w:t xml:space="preserve">and/or TSB </w:t>
      </w:r>
      <w:r w:rsidRPr="00704B15">
        <w:rPr>
          <w:rFonts w:ascii="Arial" w:hAnsi="Arial" w:cs="Arial"/>
          <w:sz w:val="22"/>
          <w:szCs w:val="22"/>
        </w:rPr>
        <w:t>are reported multiple times to the CPUC for the same activity</w:t>
      </w:r>
      <w:r w:rsidRPr="00704B15">
        <w:rPr>
          <w:rFonts w:ascii="Arial" w:hAnsi="Arial" w:cs="Arial"/>
          <w:sz w:val="22"/>
          <w:szCs w:val="22"/>
          <w:lang w:val="en-US"/>
        </w:rPr>
        <w:t>.</w:t>
      </w:r>
    </w:p>
    <w:p w14:paraId="17D8A6D6" w14:textId="00753FB3" w:rsidR="00F372A8" w:rsidRPr="00704B15" w:rsidRDefault="00F372A8" w:rsidP="00F372A8">
      <w:pPr>
        <w:pStyle w:val="BalloonText"/>
        <w:rPr>
          <w:rFonts w:ascii="Arial" w:hAnsi="Arial" w:cs="Arial"/>
          <w:sz w:val="22"/>
          <w:szCs w:val="22"/>
          <w:lang w:val="en-US"/>
        </w:rPr>
      </w:pPr>
      <w:r w:rsidRPr="00704B15">
        <w:rPr>
          <w:rFonts w:ascii="Arial" w:hAnsi="Arial" w:cs="Arial"/>
          <w:b/>
          <w:sz w:val="22"/>
          <w:szCs w:val="22"/>
          <w:lang w:val="en-US"/>
        </w:rPr>
        <w:t xml:space="preserve">Effective Useful Life (“EUL”): </w:t>
      </w:r>
      <w:r w:rsidRPr="00704B15">
        <w:rPr>
          <w:rFonts w:ascii="Arial" w:hAnsi="Arial" w:cs="Arial"/>
          <w:sz w:val="22"/>
          <w:szCs w:val="22"/>
          <w:lang w:val="en-US"/>
        </w:rPr>
        <w:t>An estimate of the median number of years that the measures installed under the program are still in place and operable.</w:t>
      </w:r>
      <w:r w:rsidR="002650BD" w:rsidRPr="69F57E58">
        <w:rPr>
          <w:rFonts w:ascii="Arial" w:hAnsi="Arial" w:cs="Arial"/>
          <w:sz w:val="22"/>
          <w:szCs w:val="22"/>
          <w:lang w:val="en-US"/>
        </w:rPr>
        <w:t xml:space="preserve"> For MSSR, Project TSB will be based on weighted EUL, which is the </w:t>
      </w:r>
      <w:r w:rsidR="00184ABA" w:rsidRPr="69F57E58">
        <w:rPr>
          <w:rFonts w:ascii="Arial" w:hAnsi="Arial" w:cs="Arial"/>
          <w:sz w:val="22"/>
          <w:szCs w:val="22"/>
          <w:lang w:val="en-US"/>
        </w:rPr>
        <w:t xml:space="preserve">average of EUL of all measures installed at the site weighted by Energy Savings for each of the measures.  </w:t>
      </w:r>
    </w:p>
    <w:p w14:paraId="6D852559" w14:textId="77777777" w:rsidR="00F372A8" w:rsidRPr="00733B79" w:rsidRDefault="00F372A8" w:rsidP="00F372A8">
      <w:r w:rsidRPr="00733B79">
        <w:rPr>
          <w:b/>
        </w:rPr>
        <w:t>Energy Efficiency (“EE”):</w:t>
      </w:r>
      <w:r w:rsidRPr="00733B79">
        <w:t xml:space="preserve"> Activities or programs that stimulate customers to reduce customer energy use by making investments in more efficient equipment or controls that reduce energy use while maintaining a comparable level of service as perceived by the customer.</w:t>
      </w:r>
    </w:p>
    <w:p w14:paraId="27F6BDB8" w14:textId="77777777" w:rsidR="00F372A8" w:rsidRPr="00704B15" w:rsidRDefault="00F372A8" w:rsidP="4BDFE4E5">
      <w:pPr>
        <w:pStyle w:val="BalloonText"/>
        <w:rPr>
          <w:rFonts w:ascii="Arial" w:hAnsi="Arial" w:cs="Arial"/>
          <w:b/>
          <w:bCs/>
          <w:sz w:val="22"/>
          <w:szCs w:val="22"/>
          <w:lang w:val="en-US"/>
        </w:rPr>
      </w:pPr>
      <w:r w:rsidRPr="00704B15">
        <w:rPr>
          <w:rFonts w:ascii="Arial" w:hAnsi="Arial" w:cs="Arial"/>
          <w:b/>
          <w:bCs/>
          <w:sz w:val="22"/>
          <w:szCs w:val="22"/>
          <w:lang w:val="en-US"/>
        </w:rPr>
        <w:t xml:space="preserve">Energy Insight (“EI”): </w:t>
      </w:r>
      <w:r w:rsidRPr="00704B15">
        <w:rPr>
          <w:rFonts w:ascii="Arial" w:hAnsi="Arial" w:cs="Arial"/>
          <w:sz w:val="22"/>
          <w:szCs w:val="22"/>
          <w:lang w:val="en-US"/>
        </w:rPr>
        <w:t>PG&amp;E’s customized Customer Relationship Manager (“CRM”) platform used for documentation of energy efficiency projects, documenting customer interactions and workflow for customer service resolution.</w:t>
      </w:r>
      <w:r w:rsidRPr="00704B15">
        <w:rPr>
          <w:rFonts w:ascii="Arial" w:hAnsi="Arial" w:cs="Arial"/>
          <w:b/>
          <w:bCs/>
          <w:sz w:val="22"/>
          <w:szCs w:val="22"/>
          <w:lang w:val="en-US"/>
        </w:rPr>
        <w:t xml:space="preserve">  </w:t>
      </w:r>
    </w:p>
    <w:p w14:paraId="3FD91562" w14:textId="77777777" w:rsidR="00F372A8" w:rsidRPr="00733B79" w:rsidRDefault="00F372A8" w:rsidP="004A3A5F">
      <w:r w:rsidRPr="00733B79">
        <w:rPr>
          <w:b/>
          <w:bCs/>
        </w:rPr>
        <w:t>Energy Savings:</w:t>
      </w:r>
      <w:r w:rsidRPr="00733B79">
        <w:t xml:space="preserve"> The level of reduced energy use (or savings) resulting from the installation of an energy efficiency measure or the adoption of an energy efficiency practice, subject to the condition that the level of service after the investment is made is comparable to the baseline level of service. The level of service may be expressed in such ways as the volume of a refrigerator, temperature levels, production output of a manufacturing facility, or lighting level per square foot. </w:t>
      </w:r>
    </w:p>
    <w:p w14:paraId="19E5EAC7" w14:textId="7CB16E7C" w:rsidR="005174E6" w:rsidRPr="00733B79" w:rsidRDefault="00987EF2" w:rsidP="004A3A5F">
      <w:r>
        <w:rPr>
          <w:rFonts w:eastAsia="Arial"/>
          <w:b/>
          <w:bCs/>
        </w:rPr>
        <w:t xml:space="preserve">Enrolled </w:t>
      </w:r>
      <w:r w:rsidRPr="007F3C67">
        <w:rPr>
          <w:b/>
        </w:rPr>
        <w:t>Aggregator</w:t>
      </w:r>
      <w:r w:rsidRPr="00704B15">
        <w:rPr>
          <w:b/>
        </w:rPr>
        <w:t xml:space="preserve"> </w:t>
      </w:r>
      <w:r w:rsidR="00497B3A" w:rsidRPr="00704B15">
        <w:rPr>
          <w:b/>
        </w:rPr>
        <w:t>(</w:t>
      </w:r>
      <w:r w:rsidR="00497B3A" w:rsidRPr="00704B15">
        <w:rPr>
          <w:bCs/>
        </w:rPr>
        <w:t xml:space="preserve">interchangeable with </w:t>
      </w:r>
      <w:r w:rsidR="00497B3A" w:rsidRPr="00704B15">
        <w:rPr>
          <w:b/>
        </w:rPr>
        <w:t>“Aggregator</w:t>
      </w:r>
      <w:r w:rsidR="00497B3A">
        <w:rPr>
          <w:b/>
        </w:rPr>
        <w:t>”</w:t>
      </w:r>
      <w:r w:rsidR="00497B3A" w:rsidRPr="00497B3A">
        <w:rPr>
          <w:b/>
        </w:rPr>
        <w:t xml:space="preserve"> </w:t>
      </w:r>
      <w:r w:rsidR="00497B3A" w:rsidRPr="00704B15">
        <w:rPr>
          <w:bCs/>
        </w:rPr>
        <w:t>through PMP</w:t>
      </w:r>
      <w:r w:rsidR="00497B3A" w:rsidRPr="00704B15">
        <w:rPr>
          <w:b/>
        </w:rPr>
        <w:t>)</w:t>
      </w:r>
      <w:r w:rsidR="00497B3A">
        <w:rPr>
          <w:bCs/>
        </w:rPr>
        <w:t xml:space="preserve"> </w:t>
      </w:r>
      <w:r w:rsidRPr="00772781">
        <w:rPr>
          <w:bCs/>
        </w:rPr>
        <w:t xml:space="preserve">– </w:t>
      </w:r>
      <w:r w:rsidRPr="008F0880">
        <w:t>Trade professional, contractor, or project developer who has signed an agreement with MSSR to identify and enroll customers to implement energy efficiency projects that will be measured in the MSSR. Enrolled Aggregators receive incentive payments for the customers’ projects.</w:t>
      </w:r>
      <w:r w:rsidR="00497B3A">
        <w:t xml:space="preserve">  </w:t>
      </w:r>
    </w:p>
    <w:p w14:paraId="06162CC4" w14:textId="77777777" w:rsidR="00F372A8" w:rsidRPr="00733B79" w:rsidRDefault="00F372A8" w:rsidP="00F372A8">
      <w:r w:rsidRPr="00733B79">
        <w:rPr>
          <w:b/>
        </w:rPr>
        <w:t>Evaluation, Measurement and Verification (“EM&amp;V”):</w:t>
      </w:r>
      <w:r w:rsidRPr="00733B79">
        <w:t xml:space="preserve"> Activities that evaluate, monitor, measure and verify performance or other aspects of EE programs or their market environment.</w:t>
      </w:r>
    </w:p>
    <w:p w14:paraId="1BC01EB7" w14:textId="77777777" w:rsidR="00F372A8" w:rsidRPr="00704B15" w:rsidRDefault="00F372A8" w:rsidP="00F372A8">
      <w:pPr>
        <w:pStyle w:val="BalloonText"/>
        <w:rPr>
          <w:rFonts w:ascii="Arial" w:hAnsi="Arial" w:cs="Arial"/>
          <w:sz w:val="22"/>
          <w:szCs w:val="22"/>
        </w:rPr>
      </w:pPr>
      <w:r w:rsidRPr="00704B15">
        <w:rPr>
          <w:rFonts w:ascii="Arial" w:hAnsi="Arial" w:cs="Arial"/>
          <w:b/>
          <w:sz w:val="22"/>
          <w:szCs w:val="22"/>
        </w:rPr>
        <w:lastRenderedPageBreak/>
        <w:t xml:space="preserve">Ex-Ante Savings: </w:t>
      </w:r>
      <w:r w:rsidRPr="00704B15">
        <w:rPr>
          <w:rFonts w:ascii="Arial" w:hAnsi="Arial" w:cs="Arial"/>
          <w:sz w:val="22"/>
          <w:szCs w:val="22"/>
        </w:rPr>
        <w:t>Estimated savings values calculated based on assumptions prior to the evaluation of the portfolio cycle. These savings reflect the IOU reported savings, which are trued up with final evaluation.</w:t>
      </w:r>
    </w:p>
    <w:p w14:paraId="34671F35" w14:textId="7DEA4583" w:rsidR="00F372A8" w:rsidRPr="00733B79" w:rsidRDefault="00F372A8" w:rsidP="00F372A8">
      <w:r w:rsidRPr="00733B79">
        <w:rPr>
          <w:b/>
        </w:rPr>
        <w:t xml:space="preserve">Fuel Substitution: </w:t>
      </w:r>
      <w:r w:rsidRPr="00733B79">
        <w:t>Fuel substitution measures involve projects where all or a portion of the existing energy use is converted from one CPUC-regulated fuel to another CPUC-regulated fuel (e.g., conversion from a natural gas appliance to an electric appliance).</w:t>
      </w:r>
      <w:r w:rsidR="001E63BB">
        <w:t xml:space="preserve">  </w:t>
      </w:r>
    </w:p>
    <w:p w14:paraId="73250E17" w14:textId="77777777" w:rsidR="00F372A8" w:rsidRPr="00704B15" w:rsidRDefault="00F372A8" w:rsidP="4BDFE4E5">
      <w:pPr>
        <w:pStyle w:val="BalloonText"/>
        <w:rPr>
          <w:rFonts w:ascii="Arial" w:hAnsi="Arial" w:cs="Arial"/>
          <w:sz w:val="28"/>
          <w:szCs w:val="28"/>
          <w:lang w:val="en-US"/>
        </w:rPr>
      </w:pPr>
      <w:r w:rsidRPr="00704B15">
        <w:rPr>
          <w:rFonts w:ascii="Arial" w:hAnsi="Arial" w:cs="Arial"/>
          <w:b/>
          <w:bCs/>
          <w:sz w:val="22"/>
          <w:szCs w:val="22"/>
          <w:lang w:val="en-US"/>
        </w:rPr>
        <w:t xml:space="preserve">Gross Savings: </w:t>
      </w:r>
      <w:r w:rsidRPr="00704B15">
        <w:rPr>
          <w:rFonts w:ascii="Arial" w:hAnsi="Arial" w:cs="Arial"/>
          <w:sz w:val="22"/>
          <w:szCs w:val="22"/>
        </w:rPr>
        <w:t>Gross savings count the energy savings from installed energy efficiency measures irrespective of whether or not those savings are from free riders, i.e., those customers who would have installed the measure(s) even without the financial incentives offered under the program. Gross savings are adjusted by a net-to-gross ratio to produce net savings, that is, to remove the savings associated with free riders.</w:t>
      </w:r>
    </w:p>
    <w:p w14:paraId="377BDFD0" w14:textId="3F14568C" w:rsidR="00F372A8" w:rsidRPr="00733B79" w:rsidRDefault="00F372A8" w:rsidP="00F372A8">
      <w:pPr>
        <w:rPr>
          <w:rFonts w:eastAsia="Arial"/>
        </w:rPr>
      </w:pPr>
      <w:r w:rsidRPr="00733B79">
        <w:rPr>
          <w:rFonts w:eastAsia="Arial"/>
          <w:b/>
        </w:rPr>
        <w:t xml:space="preserve">Implementation Plan (“IP”): </w:t>
      </w:r>
      <w:bookmarkStart w:id="4" w:name="_Hlk123824349"/>
      <w:r w:rsidRPr="00733B79">
        <w:t xml:space="preserve">A detailed description of a program that includes program theory and design, goals and budgets, logic models, planned processes, program activities and EM&amp;V, and program performance metrics, developed by Program Administrators and stakeholders to detail program and implementation strategies </w:t>
      </w:r>
      <w:r w:rsidRPr="00733B79">
        <w:rPr>
          <w:rFonts w:eastAsia="Arial"/>
        </w:rPr>
        <w:t xml:space="preserve">required by the CPUC. </w:t>
      </w:r>
      <w:bookmarkEnd w:id="4"/>
    </w:p>
    <w:p w14:paraId="655EA460" w14:textId="77777777" w:rsidR="00F372A8" w:rsidRPr="00733B79" w:rsidRDefault="00F372A8" w:rsidP="00F372A8">
      <w:pPr>
        <w:rPr>
          <w:rFonts w:eastAsia="Arial"/>
          <w:b/>
        </w:rPr>
      </w:pPr>
      <w:r w:rsidRPr="00733B79">
        <w:rPr>
          <w:rFonts w:eastAsia="Arial"/>
          <w:b/>
        </w:rPr>
        <w:t xml:space="preserve">Install or Installation: </w:t>
      </w:r>
      <w:r w:rsidRPr="00733B79">
        <w:rPr>
          <w:rFonts w:eastAsia="Arial"/>
          <w:bCs/>
        </w:rPr>
        <w:t>T</w:t>
      </w:r>
      <w:r w:rsidRPr="00704B15">
        <w:rPr>
          <w:rStyle w:val="cf01"/>
          <w:rFonts w:ascii="Arial" w:hAnsi="Arial" w:cs="Arial"/>
          <w:sz w:val="22"/>
          <w:szCs w:val="22"/>
        </w:rPr>
        <w:t xml:space="preserve">he activities necessary to effectuate a Project, which may include development, construction, installation, implementation, or other activity necessary to effectuate a Measure, and may include removal of or reconfiguration of a </w:t>
      </w:r>
      <w:r w:rsidRPr="00704B15">
        <w:rPr>
          <w:rStyle w:val="cf11"/>
          <w:rFonts w:ascii="Arial" w:hAnsi="Arial" w:cs="Arial"/>
          <w:sz w:val="22"/>
          <w:szCs w:val="22"/>
        </w:rPr>
        <w:t>facility or of certain existing equipment</w:t>
      </w:r>
      <w:r w:rsidRPr="00733B79">
        <w:rPr>
          <w:rFonts w:eastAsia="Arial"/>
        </w:rPr>
        <w:t>.</w:t>
      </w:r>
    </w:p>
    <w:p w14:paraId="7AD4E9D0" w14:textId="77777777" w:rsidR="00F372A8" w:rsidRPr="00704B15" w:rsidRDefault="00F372A8" w:rsidP="00F372A8">
      <w:pPr>
        <w:pStyle w:val="BalloonText"/>
        <w:rPr>
          <w:rFonts w:ascii="Arial" w:hAnsi="Arial" w:cs="Arial"/>
          <w:sz w:val="22"/>
          <w:szCs w:val="22"/>
          <w:lang w:val="en-US"/>
        </w:rPr>
      </w:pPr>
      <w:r w:rsidRPr="00704B15">
        <w:rPr>
          <w:rFonts w:ascii="Arial" w:hAnsi="Arial" w:cs="Arial"/>
          <w:b/>
          <w:sz w:val="22"/>
          <w:szCs w:val="22"/>
          <w:lang w:val="en-US"/>
        </w:rPr>
        <w:t xml:space="preserve">Integrated Demand Side Management (“IDSM”): </w:t>
      </w:r>
      <w:r w:rsidRPr="00704B15">
        <w:rPr>
          <w:rFonts w:ascii="Arial" w:hAnsi="Arial" w:cs="Arial"/>
          <w:color w:val="000000" w:themeColor="text1"/>
          <w:sz w:val="22"/>
          <w:szCs w:val="22"/>
          <w:lang w:val="en-US"/>
        </w:rPr>
        <w:t>Energy efficiency</w:t>
      </w:r>
      <w:r w:rsidRPr="00704B15">
        <w:rPr>
          <w:rFonts w:ascii="Arial" w:hAnsi="Arial" w:cs="Arial"/>
          <w:color w:val="000000" w:themeColor="text1"/>
          <w:sz w:val="22"/>
          <w:szCs w:val="22"/>
        </w:rPr>
        <w:t>, energy conservation, demand response, advanced metering, and distributed generation technologies are offered as elements of an integrated solution that supports energy and carbon reduction goals immediately, and eventually water and other resource conservation goals in the future</w:t>
      </w:r>
      <w:r w:rsidRPr="00704B15">
        <w:rPr>
          <w:rFonts w:ascii="Arial" w:hAnsi="Arial" w:cs="Arial"/>
          <w:sz w:val="22"/>
          <w:szCs w:val="22"/>
          <w:lang w:val="en-US"/>
        </w:rPr>
        <w:t>.</w:t>
      </w:r>
    </w:p>
    <w:p w14:paraId="551AC2D4" w14:textId="77777777" w:rsidR="00F372A8" w:rsidRDefault="00F372A8" w:rsidP="00F372A8">
      <w:pPr>
        <w:pStyle w:val="BalloonText"/>
        <w:rPr>
          <w:rFonts w:ascii="Arial" w:eastAsia="Arial" w:hAnsi="Arial" w:cs="Arial"/>
          <w:sz w:val="22"/>
          <w:szCs w:val="22"/>
        </w:rPr>
      </w:pPr>
      <w:r w:rsidRPr="00704B15">
        <w:rPr>
          <w:rFonts w:ascii="Arial" w:eastAsia="Arial" w:hAnsi="Arial" w:cs="Arial"/>
          <w:b/>
          <w:sz w:val="22"/>
          <w:szCs w:val="22"/>
          <w:lang w:val="en-US"/>
        </w:rPr>
        <w:t>Investor-Owned Utilities (“IOUs”):</w:t>
      </w:r>
      <w:r w:rsidRPr="00704B15">
        <w:rPr>
          <w:rFonts w:ascii="Arial" w:eastAsia="Arial" w:hAnsi="Arial" w:cs="Arial"/>
          <w:sz w:val="22"/>
          <w:szCs w:val="22"/>
        </w:rPr>
        <w:t xml:space="preserve"> Refers to either of the following entities - Pacific Gas and Electric Company, Southern California Edison Company, Southern California Gas Company, and San Diego Gas &amp; Electric Company.</w:t>
      </w:r>
    </w:p>
    <w:p w14:paraId="19FACB70" w14:textId="78164DEB" w:rsidR="00C169F2" w:rsidRPr="00C169F2" w:rsidRDefault="00C169F2" w:rsidP="00704B15">
      <w:pPr>
        <w:pStyle w:val="Body1"/>
        <w:spacing w:after="0" w:line="240" w:lineRule="auto"/>
      </w:pPr>
      <w:r w:rsidRPr="008F0880">
        <w:rPr>
          <w:b/>
          <w:bCs/>
        </w:rPr>
        <w:t>Lifecycle Summer Peak kW:</w:t>
      </w:r>
      <w:r w:rsidRPr="008F0880">
        <w:t xml:space="preserve"> EUL* Summer Peak kW, where Summer Peak kW is during the summer peak period of 4 p.m. to 9 p.m., June 1 and September 30. </w:t>
      </w:r>
    </w:p>
    <w:p w14:paraId="6B191AF8" w14:textId="77777777" w:rsidR="00F372A8" w:rsidRPr="00733B79" w:rsidRDefault="00F372A8" w:rsidP="00F372A8">
      <w:pPr>
        <w:rPr>
          <w:rFonts w:eastAsia="Arial"/>
          <w:b/>
        </w:rPr>
      </w:pPr>
      <w:r w:rsidRPr="00733B79">
        <w:rPr>
          <w:rFonts w:eastAsia="Arial"/>
          <w:b/>
        </w:rPr>
        <w:t xml:space="preserve">Market Barrier: </w:t>
      </w:r>
      <w:r w:rsidRPr="00733B79">
        <w:rPr>
          <w:rFonts w:eastAsia="Arial"/>
        </w:rPr>
        <w:t>Any characteristic of the market for an energy-related product, service, or practice that helps to explain the gap between the actual level of investment in, or practice of, energy efficiency and an increased level that would appear to be cost-beneficial.</w:t>
      </w:r>
    </w:p>
    <w:p w14:paraId="3D2C939B" w14:textId="77777777" w:rsidR="00F372A8" w:rsidRPr="00733B79" w:rsidRDefault="00F372A8" w:rsidP="00F372A8">
      <w:r w:rsidRPr="00733B79">
        <w:rPr>
          <w:b/>
        </w:rPr>
        <w:t xml:space="preserve">Measure: </w:t>
      </w:r>
      <w:r w:rsidRPr="00733B79">
        <w:t xml:space="preserve">An energy using appliance, equipment, control system, or practice whose installation or implementation results in reduced energy use (purchased from the distribution utility) which maintaining a comparable or higher level of energy service as perceived by the customer. In all cases energy efficiency measures decrease the amount of energy used to provide a specific service or to accomplish a specific amount of work (e.g., kWh per cubic foot of a refrigerator held at a specific temperature, </w:t>
      </w:r>
      <w:proofErr w:type="spellStart"/>
      <w:r w:rsidRPr="00733B79">
        <w:t>therms</w:t>
      </w:r>
      <w:proofErr w:type="spellEnd"/>
      <w:r w:rsidRPr="00733B79">
        <w:t xml:space="preserve"> per gallon of hot water at a specific temperature, etc.). For the purpose of these Rules, solar-powered, non-generating technologies are eligible energy efficiency measures (Decision 09-12-022, OP 1).</w:t>
      </w:r>
    </w:p>
    <w:p w14:paraId="7227705B" w14:textId="5DC80228" w:rsidR="00F372A8" w:rsidRPr="00704B15" w:rsidRDefault="00F372A8" w:rsidP="00F372A8">
      <w:pPr>
        <w:pStyle w:val="BalloonText"/>
        <w:rPr>
          <w:rFonts w:ascii="Arial" w:hAnsi="Arial" w:cs="Arial"/>
          <w:sz w:val="22"/>
          <w:szCs w:val="22"/>
          <w:lang w:val="en-US"/>
        </w:rPr>
      </w:pPr>
      <w:bookmarkStart w:id="5" w:name="_Hlk123650683"/>
      <w:r w:rsidRPr="00704B15">
        <w:rPr>
          <w:rFonts w:ascii="Arial" w:hAnsi="Arial" w:cs="Arial"/>
          <w:b/>
          <w:sz w:val="22"/>
          <w:szCs w:val="22"/>
        </w:rPr>
        <w:t xml:space="preserve">Measure Package: </w:t>
      </w:r>
      <w:r w:rsidRPr="00704B15">
        <w:rPr>
          <w:rFonts w:ascii="Arial" w:hAnsi="Arial" w:cs="Arial"/>
          <w:sz w:val="22"/>
          <w:szCs w:val="22"/>
        </w:rPr>
        <w:t>Documentation prepared by the program administrators or program implementers that documents the data, methodologies, and rationale used to develop ex-ante estimates that are not already fully contained in the Electronic Technical Reference Manual (</w:t>
      </w:r>
      <w:proofErr w:type="spellStart"/>
      <w:r w:rsidRPr="00704B15">
        <w:rPr>
          <w:rFonts w:ascii="Arial" w:hAnsi="Arial" w:cs="Arial"/>
          <w:sz w:val="22"/>
          <w:szCs w:val="22"/>
        </w:rPr>
        <w:t>eTRM</w:t>
      </w:r>
      <w:proofErr w:type="spellEnd"/>
      <w:r w:rsidRPr="00704B15">
        <w:rPr>
          <w:rFonts w:ascii="Arial" w:hAnsi="Arial" w:cs="Arial"/>
          <w:sz w:val="22"/>
          <w:szCs w:val="22"/>
        </w:rPr>
        <w:t xml:space="preserve">). </w:t>
      </w:r>
    </w:p>
    <w:bookmarkEnd w:id="5"/>
    <w:p w14:paraId="1FD3A41C" w14:textId="77777777" w:rsidR="00704B15" w:rsidRDefault="00F372A8">
      <w:pPr>
        <w:rPr>
          <w:rFonts w:eastAsia="Arial"/>
        </w:rPr>
      </w:pPr>
      <w:r w:rsidRPr="00733B79">
        <w:rPr>
          <w:rFonts w:eastAsia="Arial"/>
          <w:b/>
        </w:rPr>
        <w:t xml:space="preserve">Measurement &amp; Verification (“M&amp;V”): </w:t>
      </w:r>
      <w:r w:rsidRPr="00733B79">
        <w:rPr>
          <w:rFonts w:eastAsia="Arial"/>
        </w:rPr>
        <w:t xml:space="preserve">Data collection, monitoring and analysis activities associated with the calculation of gross energy and peak demand savings from individual customer sites or projects. </w:t>
      </w:r>
    </w:p>
    <w:p w14:paraId="347DBB9B" w14:textId="5D5EFB18" w:rsidR="00F372A8" w:rsidRPr="00704B15" w:rsidRDefault="00F372A8" w:rsidP="00704B15">
      <w:pPr>
        <w:rPr>
          <w:color w:val="2B579A"/>
          <w:shd w:val="clear" w:color="auto" w:fill="E6E6E6"/>
        </w:rPr>
      </w:pPr>
      <w:r w:rsidRPr="00B3209D">
        <w:rPr>
          <w:b/>
        </w:rPr>
        <w:t xml:space="preserve">Meter-based: </w:t>
      </w:r>
      <w:r w:rsidRPr="009961CF">
        <w:t>A platform/ruleset that quantifies energy savings and/or TSB through analysis of a site’s normalized metered energy consumption and can be substantiated to a specific time and geographic location.</w:t>
      </w:r>
    </w:p>
    <w:p w14:paraId="5692F5F6" w14:textId="77777777" w:rsidR="00F372A8" w:rsidRPr="00733B79" w:rsidRDefault="00F372A8" w:rsidP="00F372A8">
      <w:pPr>
        <w:rPr>
          <w:rFonts w:eastAsia="Arial"/>
        </w:rPr>
      </w:pPr>
      <w:r w:rsidRPr="00733B79">
        <w:rPr>
          <w:rFonts w:eastAsia="Arial"/>
          <w:b/>
        </w:rPr>
        <w:t>Net Savings:</w:t>
      </w:r>
      <w:r w:rsidRPr="00733B79">
        <w:rPr>
          <w:rFonts w:eastAsia="Arial"/>
        </w:rPr>
        <w:t xml:space="preserve"> Program savings exclusive of free ridership savings. Net savings is calculated by multiplying gross savings by the net to gross ratio.</w:t>
      </w:r>
    </w:p>
    <w:p w14:paraId="5EF2B13C" w14:textId="77777777" w:rsidR="00F372A8" w:rsidRDefault="00F372A8" w:rsidP="00F372A8">
      <w:pPr>
        <w:pStyle w:val="BalloonText"/>
        <w:rPr>
          <w:rFonts w:ascii="Arial" w:eastAsia="Arial" w:hAnsi="Arial" w:cs="Arial"/>
          <w:sz w:val="22"/>
          <w:szCs w:val="22"/>
        </w:rPr>
      </w:pPr>
      <w:r w:rsidRPr="00704B15">
        <w:rPr>
          <w:rFonts w:ascii="Arial" w:eastAsia="Arial" w:hAnsi="Arial" w:cs="Arial"/>
          <w:b/>
          <w:sz w:val="22"/>
          <w:szCs w:val="22"/>
        </w:rPr>
        <w:lastRenderedPageBreak/>
        <w:t>Net-to-Gross Ratio</w:t>
      </w:r>
      <w:r w:rsidRPr="00704B15">
        <w:rPr>
          <w:rFonts w:ascii="Arial" w:eastAsia="Arial" w:hAnsi="Arial" w:cs="Arial"/>
          <w:sz w:val="22"/>
          <w:szCs w:val="22"/>
        </w:rPr>
        <w:t xml:space="preserve">: </w:t>
      </w:r>
      <w:bookmarkStart w:id="6" w:name="_Hlk123824585"/>
      <w:r w:rsidRPr="00704B15">
        <w:rPr>
          <w:rFonts w:ascii="Arial" w:hAnsi="Arial" w:cs="Arial"/>
          <w:sz w:val="22"/>
          <w:szCs w:val="22"/>
        </w:rPr>
        <w:t>The savings attributable to a program realized when free ridership is accounted for. The savings are calculated by multiplying the gross savings by the net to gross ratio</w:t>
      </w:r>
      <w:bookmarkEnd w:id="6"/>
      <w:r w:rsidRPr="00704B15">
        <w:rPr>
          <w:rFonts w:ascii="Arial" w:eastAsia="Arial" w:hAnsi="Arial" w:cs="Arial"/>
          <w:sz w:val="22"/>
          <w:szCs w:val="22"/>
        </w:rPr>
        <w:t>.</w:t>
      </w:r>
    </w:p>
    <w:p w14:paraId="780C0BA9" w14:textId="15F14E5D" w:rsidR="001A7AA3" w:rsidRPr="00704B15" w:rsidRDefault="001A7AA3" w:rsidP="00F372A8">
      <w:pPr>
        <w:pStyle w:val="BalloonText"/>
        <w:rPr>
          <w:rFonts w:ascii="Arial" w:hAnsi="Arial" w:cs="Arial"/>
          <w:sz w:val="22"/>
          <w:szCs w:val="22"/>
          <w:lang w:val="en-US"/>
        </w:rPr>
      </w:pPr>
      <w:r w:rsidRPr="00704B15">
        <w:rPr>
          <w:rFonts w:ascii="Arial" w:eastAsia="Arial" w:hAnsi="Arial" w:cs="Arial"/>
          <w:b/>
          <w:bCs/>
          <w:sz w:val="22"/>
          <w:szCs w:val="22"/>
        </w:rPr>
        <w:t>Non-Routine Event</w:t>
      </w:r>
      <w:r w:rsidR="00A3428B">
        <w:rPr>
          <w:rFonts w:ascii="Arial" w:eastAsia="Arial" w:hAnsi="Arial" w:cs="Arial"/>
          <w:b/>
          <w:bCs/>
          <w:sz w:val="22"/>
          <w:szCs w:val="22"/>
        </w:rPr>
        <w:t xml:space="preserve"> (NRE)</w:t>
      </w:r>
      <w:r w:rsidRPr="00704B15">
        <w:rPr>
          <w:rFonts w:ascii="Arial" w:hAnsi="Arial" w:cs="Arial"/>
          <w:sz w:val="22"/>
          <w:szCs w:val="22"/>
        </w:rPr>
        <w:t>:</w:t>
      </w:r>
      <w:r w:rsidR="00EF13AB" w:rsidRPr="00704B15">
        <w:rPr>
          <w:rFonts w:ascii="Arial" w:hAnsi="Arial" w:cs="Arial"/>
          <w:sz w:val="22"/>
          <w:szCs w:val="22"/>
        </w:rPr>
        <w:t xml:space="preserve"> </w:t>
      </w:r>
      <w:r w:rsidR="00EF13AB">
        <w:rPr>
          <w:rFonts w:ascii="Arial" w:hAnsi="Arial" w:cs="Arial"/>
          <w:sz w:val="22"/>
          <w:szCs w:val="22"/>
        </w:rPr>
        <w:t>N</w:t>
      </w:r>
      <w:r w:rsidR="00EF13AB" w:rsidRPr="00704B15">
        <w:rPr>
          <w:rFonts w:ascii="Arial" w:hAnsi="Arial" w:cs="Arial"/>
          <w:sz w:val="22"/>
          <w:szCs w:val="22"/>
        </w:rPr>
        <w:t>on-program related material change in energy usage</w:t>
      </w:r>
      <w:r w:rsidR="00EF13AB">
        <w:rPr>
          <w:rFonts w:ascii="Arial" w:hAnsi="Arial" w:cs="Arial"/>
          <w:sz w:val="22"/>
          <w:szCs w:val="22"/>
        </w:rPr>
        <w:t xml:space="preserve"> (e.g. </w:t>
      </w:r>
      <w:r w:rsidR="00DF5BFF">
        <w:rPr>
          <w:rFonts w:ascii="Arial" w:hAnsi="Arial" w:cs="Arial"/>
          <w:sz w:val="22"/>
          <w:szCs w:val="22"/>
        </w:rPr>
        <w:t>perma</w:t>
      </w:r>
      <w:r w:rsidR="00A3428B">
        <w:rPr>
          <w:rFonts w:ascii="Arial" w:hAnsi="Arial" w:cs="Arial"/>
          <w:sz w:val="22"/>
          <w:szCs w:val="22"/>
        </w:rPr>
        <w:t>ne</w:t>
      </w:r>
      <w:r w:rsidR="00DF5BFF">
        <w:rPr>
          <w:rFonts w:ascii="Arial" w:hAnsi="Arial" w:cs="Arial"/>
          <w:sz w:val="22"/>
          <w:szCs w:val="22"/>
        </w:rPr>
        <w:t xml:space="preserve">nt or </w:t>
      </w:r>
      <w:r w:rsidR="00A3428B">
        <w:rPr>
          <w:rFonts w:ascii="Arial" w:hAnsi="Arial" w:cs="Arial"/>
          <w:sz w:val="22"/>
          <w:szCs w:val="22"/>
        </w:rPr>
        <w:t xml:space="preserve">extensive </w:t>
      </w:r>
      <w:r w:rsidR="00EF13AB">
        <w:rPr>
          <w:rFonts w:ascii="Arial" w:hAnsi="Arial" w:cs="Arial"/>
          <w:sz w:val="22"/>
          <w:szCs w:val="22"/>
        </w:rPr>
        <w:t xml:space="preserve">building occupancy change, </w:t>
      </w:r>
      <w:r w:rsidR="00DF5BFF">
        <w:rPr>
          <w:rFonts w:ascii="Arial" w:hAnsi="Arial" w:cs="Arial"/>
          <w:sz w:val="22"/>
          <w:szCs w:val="22"/>
        </w:rPr>
        <w:t>added cooling or heating loads, changes in building size)</w:t>
      </w:r>
    </w:p>
    <w:p w14:paraId="7D5CD7A7" w14:textId="77777777" w:rsidR="00F372A8" w:rsidRPr="00733B79" w:rsidRDefault="00F372A8" w:rsidP="00F372A8">
      <w:pPr>
        <w:rPr>
          <w:rFonts w:eastAsia="Arial"/>
        </w:rPr>
      </w:pPr>
      <w:r w:rsidRPr="00733B79">
        <w:rPr>
          <w:rFonts w:eastAsia="Arial"/>
          <w:b/>
        </w:rPr>
        <w:t xml:space="preserve">Normalized Metered Energy Consumption (“NMEC”): </w:t>
      </w:r>
      <w:bookmarkStart w:id="7" w:name="_Hlk123824632"/>
      <w:r w:rsidRPr="00733B79">
        <w:t xml:space="preserve">A method of calculating savings using statistical analyses of actual pre- and post-installation energy usage data, rather than engineering analyses of forecasted savings or application of prescriptive (deemed) values. </w:t>
      </w:r>
      <w:bookmarkEnd w:id="7"/>
    </w:p>
    <w:p w14:paraId="6DCA19C7" w14:textId="77777777" w:rsidR="00F372A8" w:rsidRPr="00704B15" w:rsidRDefault="00F372A8" w:rsidP="00F372A8">
      <w:pPr>
        <w:pStyle w:val="BalloonText"/>
        <w:rPr>
          <w:rFonts w:ascii="Arial" w:hAnsi="Arial" w:cs="Arial"/>
          <w:sz w:val="22"/>
          <w:szCs w:val="22"/>
        </w:rPr>
      </w:pPr>
      <w:r w:rsidRPr="00704B15">
        <w:rPr>
          <w:rFonts w:ascii="Arial" w:hAnsi="Arial" w:cs="Arial"/>
          <w:b/>
          <w:sz w:val="22"/>
          <w:szCs w:val="22"/>
        </w:rPr>
        <w:t xml:space="preserve">On-Bill Financing (“OBF”): </w:t>
      </w:r>
      <w:bookmarkStart w:id="8" w:name="_Hlk123824664"/>
      <w:r w:rsidRPr="00704B15">
        <w:rPr>
          <w:rFonts w:ascii="Arial" w:hAnsi="Arial" w:cs="Arial"/>
          <w:sz w:val="22"/>
          <w:szCs w:val="22"/>
        </w:rPr>
        <w:t>A financing opportunity offered by PG&amp;E that provides zero percent (0%) interest loans to qualified customers toward the purchase and installation of new energy efficient measures or equipment at the customer’s premises.</w:t>
      </w:r>
      <w:bookmarkEnd w:id="8"/>
      <w:r w:rsidRPr="00704B15">
        <w:rPr>
          <w:rFonts w:ascii="Arial" w:hAnsi="Arial" w:cs="Arial"/>
          <w:sz w:val="22"/>
          <w:szCs w:val="22"/>
        </w:rPr>
        <w:t xml:space="preserve"> </w:t>
      </w:r>
    </w:p>
    <w:p w14:paraId="5F39FBB7" w14:textId="123F1BE8" w:rsidR="00F372A8" w:rsidRPr="00733B79" w:rsidRDefault="00F33292" w:rsidP="00704B15">
      <w:pPr>
        <w:pStyle w:val="Body1"/>
        <w:spacing w:after="0"/>
        <w:rPr>
          <w:b/>
          <w:bCs/>
        </w:rPr>
      </w:pPr>
      <w:r w:rsidRPr="008F0880">
        <w:rPr>
          <w:b/>
          <w:bCs/>
        </w:rPr>
        <w:t>Participating Aggregator:</w:t>
      </w:r>
      <w:r w:rsidRPr="008F0880">
        <w:t xml:space="preserve"> </w:t>
      </w:r>
      <w:r w:rsidRPr="008C069E">
        <w:t xml:space="preserve">Installers who, at a minimum, meet the </w:t>
      </w:r>
      <w:r>
        <w:t>Program’s</w:t>
      </w:r>
      <w:r w:rsidRPr="008C069E">
        <w:t xml:space="preserve"> Installer </w:t>
      </w:r>
      <w:r>
        <w:t xml:space="preserve">Agreement </w:t>
      </w:r>
      <w:r w:rsidRPr="008C069E">
        <w:t>requirements defined in the Program Implementation Agreement</w:t>
      </w:r>
      <w:r>
        <w:t xml:space="preserve">. </w:t>
      </w:r>
      <w:r>
        <w:rPr>
          <w:b/>
          <w:bCs/>
        </w:rPr>
        <w:br/>
      </w:r>
      <w:r w:rsidR="00F372A8" w:rsidRPr="55824A9F">
        <w:rPr>
          <w:b/>
          <w:lang w:val="en-US"/>
        </w:rPr>
        <w:t>Portfolio:</w:t>
      </w:r>
      <w:r w:rsidR="00F372A8" w:rsidRPr="55824A9F">
        <w:rPr>
          <w:lang w:val="en-US"/>
        </w:rPr>
        <w:t xml:space="preserve"> </w:t>
      </w:r>
      <w:r w:rsidR="00EC03A4" w:rsidRPr="55824A9F">
        <w:rPr>
          <w:lang w:val="en-US"/>
        </w:rPr>
        <w:t>P</w:t>
      </w:r>
      <w:r w:rsidR="00F51E4B" w:rsidRPr="55824A9F">
        <w:rPr>
          <w:lang w:val="en-US"/>
        </w:rPr>
        <w:t xml:space="preserve">ortfolio consists of all the </w:t>
      </w:r>
      <w:r w:rsidR="00EC03A4" w:rsidRPr="55824A9F">
        <w:rPr>
          <w:lang w:val="en-US"/>
        </w:rPr>
        <w:t>p</w:t>
      </w:r>
      <w:r w:rsidR="00F51E4B" w:rsidRPr="55824A9F">
        <w:rPr>
          <w:lang w:val="en-US"/>
        </w:rPr>
        <w:t>rojects that the AESC team delivers</w:t>
      </w:r>
      <w:r w:rsidR="00EC03A4" w:rsidRPr="55824A9F">
        <w:rPr>
          <w:lang w:val="en-US"/>
        </w:rPr>
        <w:t xml:space="preserve"> to the program</w:t>
      </w:r>
      <w:r w:rsidR="00F372A8" w:rsidRPr="55824A9F">
        <w:rPr>
          <w:lang w:val="en-US"/>
        </w:rPr>
        <w:t>.</w:t>
      </w:r>
      <w:r w:rsidR="000D56EA" w:rsidRPr="55824A9F">
        <w:rPr>
          <w:lang w:val="en-US"/>
        </w:rPr>
        <w:t xml:space="preserve">  Aggregator Portfolio</w:t>
      </w:r>
      <w:r w:rsidR="00C8363D" w:rsidRPr="55824A9F">
        <w:rPr>
          <w:lang w:val="en-US"/>
        </w:rPr>
        <w:t xml:space="preserve"> includes </w:t>
      </w:r>
      <w:r w:rsidR="00EC03A4" w:rsidRPr="55824A9F">
        <w:rPr>
          <w:lang w:val="en-US"/>
        </w:rPr>
        <w:t>the subset of</w:t>
      </w:r>
      <w:r w:rsidR="00C8363D" w:rsidRPr="55824A9F">
        <w:rPr>
          <w:lang w:val="en-US"/>
        </w:rPr>
        <w:t xml:space="preserve"> projects that the Aggregator </w:t>
      </w:r>
      <w:r w:rsidR="00572891" w:rsidRPr="55824A9F">
        <w:rPr>
          <w:lang w:val="en-US"/>
        </w:rPr>
        <w:t xml:space="preserve">delivers to </w:t>
      </w:r>
      <w:r w:rsidR="00EC03A4" w:rsidRPr="55824A9F">
        <w:rPr>
          <w:lang w:val="en-US"/>
        </w:rPr>
        <w:t>MSSR.</w:t>
      </w:r>
      <w:r w:rsidR="00F372A8" w:rsidRPr="55824A9F">
        <w:rPr>
          <w:lang w:val="en-US"/>
        </w:rPr>
        <w:t xml:space="preserve"> </w:t>
      </w:r>
      <w:r w:rsidR="00C56B0C" w:rsidRPr="55824A9F">
        <w:rPr>
          <w:lang w:val="en-US"/>
        </w:rPr>
        <w:t xml:space="preserve"> </w:t>
      </w:r>
      <w:r w:rsidR="00F372A8" w:rsidRPr="55824A9F">
        <w:rPr>
          <w:b/>
          <w:lang w:val="en-US"/>
        </w:rPr>
        <w:t xml:space="preserve"> </w:t>
      </w:r>
    </w:p>
    <w:p w14:paraId="6747A9DB" w14:textId="4C2C1AF8" w:rsidR="00D21A55" w:rsidRDefault="00D21A55" w:rsidP="00F372A8">
      <w:pPr>
        <w:rPr>
          <w:b/>
        </w:rPr>
      </w:pPr>
      <w:r w:rsidRPr="00D21A55">
        <w:rPr>
          <w:b/>
        </w:rPr>
        <w:t xml:space="preserve">Praxis M&amp;V Tool: </w:t>
      </w:r>
      <w:r w:rsidR="00FD2380">
        <w:rPr>
          <w:bCs/>
        </w:rPr>
        <w:t>Implementer</w:t>
      </w:r>
      <w:r w:rsidR="00A6505B">
        <w:rPr>
          <w:bCs/>
        </w:rPr>
        <w:t>’s</w:t>
      </w:r>
      <w:r w:rsidRPr="00704B15">
        <w:rPr>
          <w:bCs/>
        </w:rPr>
        <w:t xml:space="preserve"> tool to track savings and TSB estimation, perform project and portfolio M&amp;V, calculates and enables approval of EULs, kW, kWh, and </w:t>
      </w:r>
      <w:proofErr w:type="spellStart"/>
      <w:r w:rsidRPr="00704B15">
        <w:rPr>
          <w:bCs/>
        </w:rPr>
        <w:t>therms</w:t>
      </w:r>
      <w:proofErr w:type="spellEnd"/>
      <w:r w:rsidRPr="00704B15">
        <w:rPr>
          <w:bCs/>
        </w:rPr>
        <w:t xml:space="preserve"> savings, and track incentive payments.</w:t>
      </w:r>
    </w:p>
    <w:p w14:paraId="5C8A8AE4" w14:textId="77777777" w:rsidR="00F372A8" w:rsidRPr="00733B79" w:rsidRDefault="00F372A8" w:rsidP="00F372A8">
      <w:pPr>
        <w:rPr>
          <w:rFonts w:eastAsia="Arial"/>
        </w:rPr>
      </w:pPr>
      <w:r w:rsidRPr="00733B79">
        <w:rPr>
          <w:rFonts w:eastAsia="Arial"/>
          <w:b/>
        </w:rPr>
        <w:t xml:space="preserve">Program Logic Model: </w:t>
      </w:r>
      <w:r w:rsidRPr="00733B79">
        <w:rPr>
          <w:rFonts w:eastAsia="Arial"/>
        </w:rPr>
        <w:t xml:space="preserve">The graphical representation of the program theory showing the flow between activities, their outputs, and subsequent short-term, intermediate, and long-term outcomes. Often the logic model is displayed with these elements in boxes and the assumed causal relationship is shown by arrows connecting the boxes.  </w:t>
      </w:r>
    </w:p>
    <w:p w14:paraId="49FF3919" w14:textId="35DAC429" w:rsidR="00F372A8" w:rsidRPr="00704B15" w:rsidRDefault="00F372A8" w:rsidP="4BDFE4E5">
      <w:pPr>
        <w:pStyle w:val="BalloonText"/>
        <w:rPr>
          <w:rFonts w:ascii="Arial" w:hAnsi="Arial" w:cs="Arial"/>
          <w:b/>
          <w:bCs/>
          <w:sz w:val="22"/>
          <w:szCs w:val="22"/>
          <w:lang w:val="en-US"/>
        </w:rPr>
      </w:pPr>
      <w:r w:rsidRPr="00704B15">
        <w:rPr>
          <w:rFonts w:ascii="Arial" w:hAnsi="Arial" w:cs="Arial"/>
          <w:b/>
          <w:bCs/>
          <w:sz w:val="22"/>
          <w:szCs w:val="22"/>
          <w:lang w:val="en-US"/>
        </w:rPr>
        <w:t xml:space="preserve">Program Policies and Procedures (P&amp;P) Manual: </w:t>
      </w:r>
      <w:r w:rsidRPr="00704B15">
        <w:rPr>
          <w:rFonts w:ascii="Arial" w:hAnsi="Arial" w:cs="Arial"/>
          <w:sz w:val="22"/>
          <w:szCs w:val="22"/>
          <w:lang w:val="en-US"/>
        </w:rPr>
        <w:t>A user guide developed by the program Implementer detailing the principles, policies, procedures, rules and requirements of its EE Program.</w:t>
      </w:r>
      <w:r w:rsidR="00A52B39">
        <w:rPr>
          <w:rFonts w:ascii="Arial" w:hAnsi="Arial" w:cs="Arial"/>
          <w:sz w:val="22"/>
          <w:szCs w:val="22"/>
          <w:lang w:val="en-US"/>
        </w:rPr>
        <w:t xml:space="preserve">  </w:t>
      </w:r>
    </w:p>
    <w:p w14:paraId="76F4E93C" w14:textId="57988B33" w:rsidR="00F372A8" w:rsidRPr="00733B79" w:rsidRDefault="00F372A8" w:rsidP="00F372A8">
      <w:pPr>
        <w:rPr>
          <w:rFonts w:eastAsia="Arial"/>
          <w:highlight w:val="yellow"/>
        </w:rPr>
      </w:pPr>
      <w:bookmarkStart w:id="9" w:name="_Hlk32498248"/>
      <w:r w:rsidRPr="00733B79">
        <w:rPr>
          <w:b/>
        </w:rPr>
        <w:t>Program Net Lifecycle Energy Savings:</w:t>
      </w:r>
      <w:r w:rsidRPr="00733B79">
        <w:rPr>
          <w:rFonts w:eastAsia="Arial"/>
          <w:b/>
        </w:rPr>
        <w:t xml:space="preserve"> </w:t>
      </w:r>
      <w:r w:rsidRPr="00733B79">
        <w:t xml:space="preserve">At the measure level, the term “lifecycle savings” refers to the savings over the measure life, not only a single year. Net savings are the portion of the full (or “gross”) energy savings a participant sees after installing an EE measure that would not have happened in the absence of the program. A program’s lifecycle net energy savings comprise the sum of the lifecycle savings of all installed. </w:t>
      </w:r>
    </w:p>
    <w:bookmarkEnd w:id="9"/>
    <w:p w14:paraId="2CA4A6D2" w14:textId="7E69057F" w:rsidR="00F372A8" w:rsidRPr="00733B79" w:rsidRDefault="00F372A8" w:rsidP="00F372A8">
      <w:pPr>
        <w:rPr>
          <w:rFonts w:eastAsia="Arial"/>
          <w:b/>
        </w:rPr>
      </w:pPr>
      <w:r w:rsidRPr="00733B79">
        <w:rPr>
          <w:rFonts w:eastAsia="Arial"/>
          <w:b/>
        </w:rPr>
        <w:t xml:space="preserve">Project: </w:t>
      </w:r>
      <w:r w:rsidRPr="00733B79">
        <w:rPr>
          <w:rStyle w:val="normaltextrun"/>
        </w:rPr>
        <w:t>A customer project that is implemented by the Program.</w:t>
      </w:r>
    </w:p>
    <w:p w14:paraId="047C600B" w14:textId="77777777" w:rsidR="00F372A8" w:rsidRPr="00704B15" w:rsidRDefault="00F372A8" w:rsidP="4BDFE4E5">
      <w:pPr>
        <w:pStyle w:val="BalloonText"/>
        <w:rPr>
          <w:rFonts w:ascii="Arial" w:hAnsi="Arial" w:cs="Arial"/>
          <w:sz w:val="22"/>
          <w:szCs w:val="22"/>
          <w:lang w:val="en-US"/>
        </w:rPr>
      </w:pPr>
      <w:r w:rsidRPr="00704B15">
        <w:rPr>
          <w:rFonts w:ascii="Arial" w:hAnsi="Arial" w:cs="Arial"/>
          <w:b/>
          <w:bCs/>
          <w:sz w:val="22"/>
          <w:szCs w:val="22"/>
          <w:lang w:val="en-US"/>
        </w:rPr>
        <w:t xml:space="preserve">Program Year(s): </w:t>
      </w:r>
      <w:r w:rsidRPr="00704B15">
        <w:rPr>
          <w:rFonts w:ascii="Arial" w:hAnsi="Arial" w:cs="Arial"/>
          <w:sz w:val="22"/>
          <w:szCs w:val="22"/>
          <w:lang w:val="en-US"/>
        </w:rPr>
        <w:t>The calendar year(s) during which the program operates.</w:t>
      </w:r>
    </w:p>
    <w:p w14:paraId="08F5E9ED" w14:textId="72C25466" w:rsidR="00F372A8" w:rsidRPr="00704B15" w:rsidRDefault="00F372A8" w:rsidP="00F372A8">
      <w:pPr>
        <w:pStyle w:val="BalloonText"/>
        <w:rPr>
          <w:rFonts w:ascii="Arial" w:hAnsi="Arial" w:cs="Arial"/>
          <w:sz w:val="22"/>
          <w:szCs w:val="22"/>
          <w:lang w:val="en-US"/>
        </w:rPr>
      </w:pPr>
      <w:r w:rsidRPr="00704B15">
        <w:rPr>
          <w:rFonts w:ascii="Arial" w:hAnsi="Arial" w:cs="Arial"/>
          <w:b/>
          <w:sz w:val="22"/>
          <w:szCs w:val="22"/>
          <w:lang w:val="en-US"/>
        </w:rPr>
        <w:t xml:space="preserve">Service Area/Territory: </w:t>
      </w:r>
      <w:r w:rsidRPr="00704B15">
        <w:rPr>
          <w:rFonts w:ascii="Arial" w:hAnsi="Arial" w:cs="Arial"/>
          <w:sz w:val="22"/>
          <w:szCs w:val="22"/>
          <w:lang w:val="en-US"/>
        </w:rPr>
        <w:t xml:space="preserve">The geographical area served by </w:t>
      </w:r>
      <w:r w:rsidR="00184ABA" w:rsidRPr="51E7DB95">
        <w:rPr>
          <w:rFonts w:ascii="Arial" w:hAnsi="Arial" w:cs="Arial"/>
          <w:sz w:val="22"/>
          <w:szCs w:val="22"/>
          <w:lang w:val="en-US"/>
        </w:rPr>
        <w:t>the Program</w:t>
      </w:r>
      <w:r w:rsidRPr="00704B15">
        <w:rPr>
          <w:rFonts w:ascii="Arial" w:hAnsi="Arial" w:cs="Arial"/>
          <w:sz w:val="22"/>
          <w:szCs w:val="22"/>
          <w:lang w:val="en-US"/>
        </w:rPr>
        <w:t>.</w:t>
      </w:r>
    </w:p>
    <w:p w14:paraId="06643E68" w14:textId="24DB0613" w:rsidR="00F372A8" w:rsidRPr="00733B79" w:rsidRDefault="00F372A8" w:rsidP="00F372A8">
      <w:pPr>
        <w:pStyle w:val="ListParagraph"/>
        <w:ind w:left="0"/>
      </w:pPr>
      <w:r w:rsidRPr="00733B79">
        <w:rPr>
          <w:b/>
        </w:rPr>
        <w:t>Statewide Program (“SW”)</w:t>
      </w:r>
      <w:r w:rsidRPr="00733B79">
        <w:t xml:space="preserve">: Program delivered uniformly through the four investor-owned utility (IOU) territories, overseen by a single lead program administrator, and designed and delivered by one or more EE program implementers. </w:t>
      </w:r>
    </w:p>
    <w:p w14:paraId="30A94BA7" w14:textId="742A7077" w:rsidR="00435077" w:rsidRPr="00704B15" w:rsidRDefault="00435077" w:rsidP="00137BBB">
      <w:pPr>
        <w:pStyle w:val="Body1"/>
        <w:spacing w:after="0"/>
        <w:rPr>
          <w:highlight w:val="lightGray"/>
        </w:rPr>
      </w:pPr>
      <w:r w:rsidRPr="008F0880">
        <w:rPr>
          <w:b/>
          <w:bCs/>
        </w:rPr>
        <w:t>Subcontracted Aggregator:</w:t>
      </w:r>
      <w:r w:rsidRPr="008F0880">
        <w:t xml:space="preserve"> </w:t>
      </w:r>
      <w:r w:rsidRPr="008C069E">
        <w:t xml:space="preserve">Installers who, at a minimum, meet </w:t>
      </w:r>
      <w:r>
        <w:t>AESC’s</w:t>
      </w:r>
      <w:r w:rsidRPr="008C069E">
        <w:t xml:space="preserve"> </w:t>
      </w:r>
      <w:r>
        <w:t>s</w:t>
      </w:r>
      <w:r w:rsidRPr="008C069E">
        <w:t xml:space="preserve">ubcontractor </w:t>
      </w:r>
      <w:r>
        <w:t>a</w:t>
      </w:r>
      <w:r w:rsidRPr="008C069E">
        <w:t>greement that includes AESC’s contract</w:t>
      </w:r>
      <w:r>
        <w:t>ual</w:t>
      </w:r>
      <w:r w:rsidRPr="008C069E">
        <w:t xml:space="preserve"> flow downs</w:t>
      </w:r>
      <w:r w:rsidRPr="008F0880">
        <w:t xml:space="preserve">. </w:t>
      </w:r>
    </w:p>
    <w:p w14:paraId="4EBADFAA" w14:textId="0184DCA0" w:rsidR="00F372A8" w:rsidRPr="00704B15" w:rsidRDefault="00F372A8" w:rsidP="00F372A8">
      <w:pPr>
        <w:pStyle w:val="BalloonText"/>
        <w:rPr>
          <w:rFonts w:ascii="Arial" w:hAnsi="Arial" w:cs="Arial"/>
          <w:sz w:val="22"/>
          <w:szCs w:val="22"/>
        </w:rPr>
      </w:pPr>
      <w:r w:rsidRPr="00704B15">
        <w:rPr>
          <w:rFonts w:ascii="Arial" w:hAnsi="Arial" w:cs="Arial"/>
          <w:b/>
          <w:sz w:val="22"/>
          <w:szCs w:val="22"/>
        </w:rPr>
        <w:t xml:space="preserve">Total Resource Cost Test (“TRC”): </w:t>
      </w:r>
      <w:r w:rsidRPr="00704B15">
        <w:rPr>
          <w:rFonts w:ascii="Arial" w:hAnsi="Arial" w:cs="Arial"/>
          <w:sz w:val="22"/>
          <w:szCs w:val="22"/>
          <w:lang w:val="en-US"/>
        </w:rPr>
        <w:t>The TRC test measures the net resource benefits from the perspective of all ratepayers by combining the net benefits of the program to participants and non-participants. The benefits are the avoided costs of the supply-side resources avoided or deferred. The TRC costs encompass the cost of the measures/equipment installed and the costs incurred by the program administrator</w:t>
      </w:r>
      <w:r w:rsidRPr="00704B15">
        <w:rPr>
          <w:rFonts w:ascii="Arial" w:hAnsi="Arial" w:cs="Arial"/>
          <w:sz w:val="22"/>
          <w:szCs w:val="22"/>
        </w:rPr>
        <w:t>.</w:t>
      </w:r>
    </w:p>
    <w:p w14:paraId="72236C53" w14:textId="6EA62141" w:rsidR="00F372A8" w:rsidRPr="00733B79" w:rsidRDefault="00F372A8" w:rsidP="00F372A8">
      <w:bookmarkStart w:id="10" w:name="_Hlk123650911"/>
      <w:r w:rsidRPr="00733B79">
        <w:rPr>
          <w:b/>
        </w:rPr>
        <w:t>Total Resource Cost Ratio No Admin (“</w:t>
      </w:r>
      <w:proofErr w:type="spellStart"/>
      <w:r w:rsidRPr="00733B79">
        <w:rPr>
          <w:b/>
        </w:rPr>
        <w:t>TRCRatioNoAdmin</w:t>
      </w:r>
      <w:proofErr w:type="spellEnd"/>
      <w:r w:rsidRPr="00733B79">
        <w:rPr>
          <w:b/>
        </w:rPr>
        <w:t xml:space="preserve">”): </w:t>
      </w:r>
      <w:r w:rsidRPr="00733B79">
        <w:rPr>
          <w:bCs/>
        </w:rPr>
        <w:t xml:space="preserve">The </w:t>
      </w:r>
      <w:proofErr w:type="spellStart"/>
      <w:r w:rsidRPr="00733B79">
        <w:rPr>
          <w:bCs/>
        </w:rPr>
        <w:t>TRCRatioNoAdmin</w:t>
      </w:r>
      <w:proofErr w:type="spellEnd"/>
      <w:r w:rsidRPr="00733B79">
        <w:t xml:space="preserve"> is calculated by dividing avoided cost benefits (Electric Benefits + Gas Benefits + Avoided Gas Infrastructure Costs + Refrigerant Leakage Benefits) by </w:t>
      </w:r>
      <w:proofErr w:type="spellStart"/>
      <w:r w:rsidRPr="00733B79">
        <w:t>TRCCostNoAdmin</w:t>
      </w:r>
      <w:proofErr w:type="spellEnd"/>
      <w:r w:rsidRPr="00733B79">
        <w:t xml:space="preserve">. The </w:t>
      </w:r>
      <w:proofErr w:type="spellStart"/>
      <w:r w:rsidRPr="00733B79">
        <w:t>TRCCostNoAdmin</w:t>
      </w:r>
      <w:proofErr w:type="spellEnd"/>
      <w:r w:rsidRPr="00733B79">
        <w:t xml:space="preserve"> is the TRC Cost excluding all program costs (e.g., admin, marketing, and direct implementation non-incentive). The </w:t>
      </w:r>
      <w:proofErr w:type="spellStart"/>
      <w:r w:rsidRPr="00733B79">
        <w:t>TRCRatioNoAdmin</w:t>
      </w:r>
      <w:proofErr w:type="spellEnd"/>
      <w:r w:rsidRPr="00733B79">
        <w:t xml:space="preserve"> metric is used for measuring the </w:t>
      </w:r>
      <w:r w:rsidR="00C5209C">
        <w:t>p</w:t>
      </w:r>
      <w:r w:rsidRPr="00733B79">
        <w:t>rogram</w:t>
      </w:r>
      <w:r w:rsidR="00C5209C">
        <w:t xml:space="preserve"> and project</w:t>
      </w:r>
      <w:r w:rsidRPr="00733B79">
        <w:t xml:space="preserve"> Cost Effectiveness Performance.</w:t>
      </w:r>
    </w:p>
    <w:p w14:paraId="4F206CCD" w14:textId="53FF97C0" w:rsidR="001E72BB" w:rsidRDefault="00F372A8" w:rsidP="00F372A8">
      <w:r w:rsidRPr="00733B79">
        <w:rPr>
          <w:b/>
          <w:bCs/>
        </w:rPr>
        <w:lastRenderedPageBreak/>
        <w:t>Total System Benefit (“TSB”)</w:t>
      </w:r>
      <w:r w:rsidRPr="00733B79">
        <w:t>: The sum of the benefit, in dollars, of the lifecycle energy, capacity, and GHG benefits of energy efficiency, expressed on an annual basis.</w:t>
      </w:r>
      <w:bookmarkEnd w:id="10"/>
      <w:r w:rsidRPr="00733B79">
        <w:t xml:space="preserve">  </w:t>
      </w:r>
    </w:p>
    <w:p w14:paraId="1A4E8B73" w14:textId="654405FD" w:rsidR="001E24CA" w:rsidRDefault="001E24CA">
      <w:pPr>
        <w:rPr>
          <w:b/>
        </w:rPr>
      </w:pPr>
      <w:r w:rsidRPr="003479FC">
        <w:rPr>
          <w:b/>
          <w:bCs/>
        </w:rPr>
        <w:t>Value Estimation Tool (VET):</w:t>
      </w:r>
      <w:r>
        <w:rPr>
          <w:b/>
          <w:bCs/>
        </w:rPr>
        <w:t xml:space="preserve"> </w:t>
      </w:r>
      <w:r w:rsidR="00F32495">
        <w:t>Implementer’s</w:t>
      </w:r>
      <w:r w:rsidRPr="003479FC">
        <w:t xml:space="preserve"> tool used to ca</w:t>
      </w:r>
      <w:r w:rsidRPr="001E24CA">
        <w:t xml:space="preserve">lculate the </w:t>
      </w:r>
      <w:r w:rsidR="00A22897">
        <w:t>estimated</w:t>
      </w:r>
      <w:r w:rsidRPr="001E24CA">
        <w:t xml:space="preserve"> weighted EUL, TSB, and </w:t>
      </w:r>
      <w:proofErr w:type="spellStart"/>
      <w:r w:rsidR="00A3306B">
        <w:t>TRC</w:t>
      </w:r>
      <w:r w:rsidR="00C44B31">
        <w:t>Ratio</w:t>
      </w:r>
      <w:r w:rsidR="00A22897">
        <w:t>No</w:t>
      </w:r>
      <w:r w:rsidR="00C5209C">
        <w:t>Admin</w:t>
      </w:r>
      <w:proofErr w:type="spellEnd"/>
      <w:r w:rsidRPr="001E24CA">
        <w:t xml:space="preserve"> and incentive for entered projects.</w:t>
      </w:r>
      <w:r w:rsidRPr="003479FC">
        <w:rPr>
          <w:b/>
          <w:bCs/>
        </w:rPr>
        <w:t xml:space="preserve"> </w:t>
      </w:r>
    </w:p>
    <w:p w14:paraId="7B7C5C4F" w14:textId="77777777" w:rsidR="00C169F2" w:rsidRPr="003479FC" w:rsidRDefault="00C169F2" w:rsidP="009C7B6D">
      <w:pPr>
        <w:rPr>
          <w:b/>
          <w:bCs/>
        </w:rPr>
      </w:pPr>
    </w:p>
    <w:p w14:paraId="5502EEB6" w14:textId="77777777" w:rsidR="001E24CA" w:rsidRPr="00733B79" w:rsidRDefault="001E24CA" w:rsidP="00F372A8"/>
    <w:p w14:paraId="468057CA" w14:textId="77777777" w:rsidR="00704B15" w:rsidRDefault="00704B15" w:rsidP="00216CF0">
      <w:r>
        <w:br w:type="page"/>
      </w:r>
    </w:p>
    <w:p w14:paraId="44B375C9" w14:textId="322643AC" w:rsidR="00612C27" w:rsidRPr="00733B79" w:rsidRDefault="00A042C6" w:rsidP="00704B15">
      <w:pPr>
        <w:pStyle w:val="Heading1"/>
        <w:rPr>
          <w:rFonts w:eastAsia="Calibri" w:cs="Arial"/>
        </w:rPr>
      </w:pPr>
      <w:bookmarkStart w:id="11" w:name="_Toc173831324"/>
      <w:bookmarkEnd w:id="2"/>
      <w:r w:rsidRPr="00733B79">
        <w:rPr>
          <w:rFonts w:eastAsia="Calibri" w:cs="Arial"/>
        </w:rPr>
        <w:lastRenderedPageBreak/>
        <w:t>Measurement and Verification</w:t>
      </w:r>
      <w:r w:rsidR="00E7717B" w:rsidRPr="00733B79">
        <w:rPr>
          <w:rFonts w:eastAsia="Calibri" w:cs="Arial"/>
        </w:rPr>
        <w:t xml:space="preserve"> (M&amp;V) Plan</w:t>
      </w:r>
      <w:bookmarkEnd w:id="11"/>
    </w:p>
    <w:p w14:paraId="471474B6" w14:textId="77777777" w:rsidR="00C44011" w:rsidRDefault="00C44011" w:rsidP="00194D3A"/>
    <w:p w14:paraId="3733A3C3" w14:textId="2CAECFFF" w:rsidR="00C44011" w:rsidRDefault="00C44011" w:rsidP="00012FA7">
      <w:r>
        <w:t xml:space="preserve">The </w:t>
      </w:r>
      <w:r w:rsidR="00012FA7">
        <w:t>Measured Savings Program for Summer Reliability</w:t>
      </w:r>
      <w:r w:rsidR="00AF381C">
        <w:t xml:space="preserve"> (</w:t>
      </w:r>
      <w:r>
        <w:t>MSSR</w:t>
      </w:r>
      <w:r w:rsidR="00AF381C">
        <w:t>)</w:t>
      </w:r>
      <w:r>
        <w:t xml:space="preserve"> </w:t>
      </w:r>
      <w:r w:rsidR="00AF381C">
        <w:t>Measurement and Verification Plan (</w:t>
      </w:r>
      <w:r>
        <w:t>M&amp;V</w:t>
      </w:r>
      <w:r w:rsidR="00AF381C">
        <w:t>)</w:t>
      </w:r>
      <w:r>
        <w:t xml:space="preserve"> Plan covers requirements for both Site-level and </w:t>
      </w:r>
      <w:r w:rsidR="001E04D9">
        <w:t>Population</w:t>
      </w:r>
      <w:r>
        <w:t xml:space="preserve">-level </w:t>
      </w:r>
      <w:r w:rsidR="001E04D9">
        <w:t xml:space="preserve">Projects. As Site- and Population-level projects have similar requirements, the Plan </w:t>
      </w:r>
      <w:r w:rsidR="00861581">
        <w:t>gives requirements for both and</w:t>
      </w:r>
      <w:r w:rsidR="001E04D9">
        <w:t xml:space="preserve"> </w:t>
      </w:r>
      <w:r w:rsidR="00661764">
        <w:t xml:space="preserve">specifically calls out differences where they exist. </w:t>
      </w:r>
    </w:p>
    <w:p w14:paraId="370ACB05" w14:textId="77777777" w:rsidR="00661764" w:rsidRDefault="00661764" w:rsidP="00194D3A"/>
    <w:p w14:paraId="3BC62BF4" w14:textId="77777777" w:rsidR="00573169" w:rsidRPr="00733B79" w:rsidRDefault="00573169" w:rsidP="00D87677">
      <w:pPr>
        <w:rPr>
          <w:i/>
          <w:iCs/>
          <w:sz w:val="16"/>
          <w:szCs w:val="16"/>
        </w:rPr>
      </w:pPr>
    </w:p>
    <w:p w14:paraId="15B92963" w14:textId="77777777" w:rsidR="00612C27" w:rsidRPr="00733B79" w:rsidRDefault="00612C27" w:rsidP="00B62D70">
      <w:pPr>
        <w:pStyle w:val="Heading2"/>
      </w:pPr>
      <w:bookmarkStart w:id="12" w:name="_Toc173831325"/>
      <w:bookmarkStart w:id="13" w:name="_Toc173831326"/>
      <w:bookmarkStart w:id="14" w:name="_Toc173831362"/>
      <w:bookmarkStart w:id="15" w:name="_Toc173831363"/>
      <w:bookmarkStart w:id="16" w:name="_Toc173831364"/>
      <w:bookmarkStart w:id="17" w:name="_Toc173831365"/>
      <w:bookmarkStart w:id="18" w:name="_Toc173831366"/>
      <w:bookmarkStart w:id="19" w:name="_Toc173831472"/>
      <w:bookmarkStart w:id="20" w:name="_Toc173831473"/>
      <w:bookmarkStart w:id="21" w:name="_Toc173831474"/>
      <w:bookmarkStart w:id="22" w:name="_Toc173831475"/>
      <w:bookmarkStart w:id="23" w:name="_Toc173831476"/>
      <w:bookmarkStart w:id="24" w:name="_Toc173831477"/>
      <w:bookmarkStart w:id="25" w:name="_Toc173831478"/>
      <w:bookmarkStart w:id="26" w:name="_Toc173831479"/>
      <w:bookmarkStart w:id="27" w:name="_Toc173831480"/>
      <w:bookmarkStart w:id="28" w:name="_Toc173831481"/>
      <w:bookmarkStart w:id="29" w:name="_Toc173831482"/>
      <w:bookmarkStart w:id="30" w:name="_Toc173831483"/>
      <w:bookmarkStart w:id="31" w:name="_Toc173831484"/>
      <w:bookmarkStart w:id="32" w:name="_Toc173831485"/>
      <w:bookmarkStart w:id="33" w:name="_Toc173831486"/>
      <w:bookmarkStart w:id="34" w:name="_Toc173831487"/>
      <w:bookmarkStart w:id="35" w:name="_Toc173831488"/>
      <w:bookmarkStart w:id="36" w:name="_Toc173831489"/>
      <w:bookmarkStart w:id="37" w:name="_Toc173831490"/>
      <w:bookmarkStart w:id="38" w:name="_Toc173831491"/>
      <w:bookmarkStart w:id="39" w:name="_Toc173831492"/>
      <w:bookmarkStart w:id="40" w:name="_Toc173831493"/>
      <w:bookmarkStart w:id="41" w:name="_Toc173831494"/>
      <w:bookmarkStart w:id="42" w:name="_Toc173831530"/>
      <w:bookmarkStart w:id="43" w:name="_Toc173831531"/>
      <w:bookmarkStart w:id="44" w:name="_Toc173831587"/>
      <w:bookmarkStart w:id="45" w:name="_Toc173831588"/>
      <w:bookmarkStart w:id="46" w:name="_Toc173831589"/>
      <w:bookmarkStart w:id="47" w:name="_Toc173831590"/>
      <w:bookmarkStart w:id="48" w:name="_Toc173831591"/>
      <w:bookmarkStart w:id="49" w:name="_Toc173831592"/>
      <w:bookmarkStart w:id="50" w:name="_Toc173831593"/>
      <w:bookmarkStart w:id="51" w:name="_Toc173831594"/>
      <w:bookmarkStart w:id="52" w:name="_Toc173831595"/>
      <w:bookmarkStart w:id="53" w:name="_Toc173831596"/>
      <w:bookmarkStart w:id="54" w:name="_Toc162606032"/>
      <w:bookmarkStart w:id="55" w:name="_Toc17383159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33B79">
        <w:t>Permissible Project Types</w:t>
      </w:r>
      <w:bookmarkEnd w:id="54"/>
      <w:bookmarkEnd w:id="55"/>
    </w:p>
    <w:p w14:paraId="7B757CAC" w14:textId="77777777" w:rsidR="00612C27" w:rsidRPr="00733B79" w:rsidRDefault="00612C27" w:rsidP="00612C27"/>
    <w:p w14:paraId="653CDE26" w14:textId="7024246B" w:rsidR="00612C27" w:rsidRDefault="00917BA8" w:rsidP="00612C27">
      <w:r w:rsidRPr="00733B79">
        <w:t>M</w:t>
      </w:r>
      <w:r w:rsidR="00CB06BB" w:rsidRPr="00733B79">
        <w:t>SSR</w:t>
      </w:r>
      <w:r w:rsidR="00612C27" w:rsidRPr="00733B79">
        <w:t xml:space="preserve"> will include several Aggregators targeting a range of </w:t>
      </w:r>
      <w:r w:rsidR="00C84C7A" w:rsidRPr="00733B79">
        <w:t>commercial</w:t>
      </w:r>
      <w:r w:rsidR="00A93E41">
        <w:rPr>
          <w:rStyle w:val="FootnoteReference"/>
        </w:rPr>
        <w:footnoteReference w:id="3"/>
      </w:r>
      <w:r w:rsidR="00C84C7A" w:rsidRPr="00733B79">
        <w:t xml:space="preserve"> </w:t>
      </w:r>
      <w:r w:rsidR="00612C27" w:rsidRPr="00733B79">
        <w:t>building types</w:t>
      </w:r>
      <w:r w:rsidR="00C84C7A" w:rsidRPr="00733B79">
        <w:rPr>
          <w:rStyle w:val="FootnoteReference"/>
        </w:rPr>
        <w:footnoteReference w:id="4"/>
      </w:r>
      <w:r w:rsidR="00060741" w:rsidRPr="00733B79">
        <w:t xml:space="preserve"> throughout PG&amp;E service territory</w:t>
      </w:r>
      <w:r w:rsidR="00612C27" w:rsidRPr="00733B79">
        <w:t>. For any given Aggregator, participating customers are reasonably expected to have similar types of equipment and drivers in energy consumption. During the qualification process, Aggregators will ensure that factors impacting consumption and energy savings will be relatively similar across the population</w:t>
      </w:r>
      <w:r w:rsidR="001C039A">
        <w:t xml:space="preserve"> for Population-level NMEC projects</w:t>
      </w:r>
      <w:r w:rsidR="00612C27" w:rsidRPr="00733B79">
        <w:t>.</w:t>
      </w:r>
      <w:r w:rsidR="00C15E92" w:rsidRPr="00733B79">
        <w:t xml:space="preserve"> </w:t>
      </w:r>
      <w:r w:rsidR="00612C27" w:rsidRPr="00733B79">
        <w:t xml:space="preserve"> </w:t>
      </w:r>
    </w:p>
    <w:p w14:paraId="755D3F7C" w14:textId="77777777" w:rsidR="001C571A" w:rsidRDefault="001C571A" w:rsidP="00612C27"/>
    <w:p w14:paraId="2089A12C" w14:textId="391879DB" w:rsidR="001C571A" w:rsidRPr="00733B79" w:rsidRDefault="00D14F68" w:rsidP="00ED52F9">
      <w:r>
        <w:t xml:space="preserve">For projects that don’t meet the requirements </w:t>
      </w:r>
      <w:r w:rsidR="000E420C">
        <w:t xml:space="preserve">for Population-level NMEC, such as </w:t>
      </w:r>
      <w:r w:rsidR="0080711D">
        <w:t xml:space="preserve">projects with unique </w:t>
      </w:r>
      <w:r w:rsidR="00467CCF">
        <w:t xml:space="preserve">building type, </w:t>
      </w:r>
      <w:r w:rsidR="006E02FB">
        <w:t xml:space="preserve">baseline energy consumption, </w:t>
      </w:r>
      <w:r w:rsidR="0080711D">
        <w:t xml:space="preserve">energy drivers, </w:t>
      </w:r>
      <w:r w:rsidR="001D15BC">
        <w:t>data needs, and</w:t>
      </w:r>
      <w:r w:rsidR="008E2AE4">
        <w:t xml:space="preserve">/or </w:t>
      </w:r>
      <w:r w:rsidR="003B72E2">
        <w:t xml:space="preserve">baseline </w:t>
      </w:r>
      <w:r w:rsidR="008E2AE4">
        <w:t>non-routine adjustments</w:t>
      </w:r>
      <w:r w:rsidR="00E245ED">
        <w:t xml:space="preserve">, the Program will consider </w:t>
      </w:r>
      <w:r w:rsidR="00E6182E">
        <w:t>a</w:t>
      </w:r>
      <w:r w:rsidR="008D59F0">
        <w:t>pproving a</w:t>
      </w:r>
      <w:r w:rsidR="00E6182E">
        <w:t xml:space="preserve"> Site-level NMEC</w:t>
      </w:r>
      <w:r w:rsidR="008D59F0">
        <w:t xml:space="preserve"> pathway</w:t>
      </w:r>
      <w:r w:rsidR="00895018">
        <w:t xml:space="preserve">. The Program </w:t>
      </w:r>
      <w:r w:rsidR="001D70E2">
        <w:t>may</w:t>
      </w:r>
      <w:r w:rsidR="00895018">
        <w:t xml:space="preserve"> approve Site-level projects </w:t>
      </w:r>
      <w:r w:rsidR="00C50871">
        <w:t>on a case</w:t>
      </w:r>
      <w:r w:rsidR="000F5DC1">
        <w:t>-</w:t>
      </w:r>
      <w:r w:rsidR="00C50871">
        <w:t>by</w:t>
      </w:r>
      <w:r w:rsidR="000F5DC1">
        <w:t>-</w:t>
      </w:r>
      <w:r w:rsidR="00C50871">
        <w:t>case basis</w:t>
      </w:r>
      <w:r w:rsidR="00C22BAC">
        <w:t>,</w:t>
      </w:r>
      <w:r w:rsidR="001D70E2">
        <w:t xml:space="preserve"> </w:t>
      </w:r>
      <w:r w:rsidR="00A93E41">
        <w:t xml:space="preserve">based on factors that may include, but are not limited to, </w:t>
      </w:r>
      <w:r w:rsidR="00EF7F32">
        <w:t>TSB</w:t>
      </w:r>
      <w:r w:rsidR="000A1343">
        <w:t xml:space="preserve"> and</w:t>
      </w:r>
      <w:r w:rsidR="00EF7F32">
        <w:t xml:space="preserve"> cost-effectiveness</w:t>
      </w:r>
      <w:r w:rsidR="00C22BAC">
        <w:t>.</w:t>
      </w:r>
    </w:p>
    <w:p w14:paraId="45621378" w14:textId="77777777" w:rsidR="00612C27" w:rsidRPr="00733B79" w:rsidRDefault="00612C27" w:rsidP="009C7B6D"/>
    <w:p w14:paraId="5E91CDD1" w14:textId="77777777" w:rsidR="00612C27" w:rsidRPr="00733B79" w:rsidRDefault="00612C27" w:rsidP="009C7B6D">
      <w:pPr>
        <w:pStyle w:val="Heading2"/>
      </w:pPr>
      <w:bookmarkStart w:id="56" w:name="_Toc162606034"/>
      <w:bookmarkStart w:id="57" w:name="_Toc173831598"/>
      <w:r w:rsidRPr="00733B79">
        <w:t>Qualifying Measures</w:t>
      </w:r>
      <w:bookmarkEnd w:id="56"/>
      <w:bookmarkEnd w:id="57"/>
    </w:p>
    <w:p w14:paraId="2EF41A00" w14:textId="4C988F7D" w:rsidR="00612C27" w:rsidRPr="00733B79" w:rsidRDefault="00612C27" w:rsidP="00612C27"/>
    <w:p w14:paraId="364508C1" w14:textId="77777777" w:rsidR="00462033" w:rsidRPr="00733B79" w:rsidRDefault="00462033" w:rsidP="00462033">
      <w:r w:rsidRPr="00733B79">
        <w:t xml:space="preserve">As a meter-based Program, the Program will measure savings at the whole-building level. Thus, any measure that reduces energy use is qualified for the program, including to-code, Industry Standard Practice, PG&amp;E expired measures, custom measures (accelerated replacement, add-on equipment, weatherization, behavioral, </w:t>
      </w:r>
      <w:proofErr w:type="spellStart"/>
      <w:r w:rsidRPr="00733B79">
        <w:t>retrocommissioning</w:t>
      </w:r>
      <w:proofErr w:type="spellEnd"/>
      <w:r w:rsidRPr="00733B79">
        <w:t xml:space="preserve"> (RCx), and operational (BRO)), and deemed measures. New construction and added load measures are not allowable.  </w:t>
      </w:r>
    </w:p>
    <w:p w14:paraId="652F6D7D" w14:textId="77777777" w:rsidR="00462033" w:rsidRPr="00733B79" w:rsidRDefault="00462033" w:rsidP="00462033"/>
    <w:p w14:paraId="116D9D8C" w14:textId="77777777" w:rsidR="00462033" w:rsidRPr="00733B79" w:rsidRDefault="00462033" w:rsidP="00462033">
      <w:r w:rsidRPr="00733B79">
        <w:t xml:space="preserve">The Program can support electrification and load shifting strategies under certain guidelines to comply with cost-effectiveness and modeling requirements of the Program:   </w:t>
      </w:r>
    </w:p>
    <w:p w14:paraId="75576972" w14:textId="77777777" w:rsidR="00462033" w:rsidRPr="00733B79" w:rsidRDefault="00462033" w:rsidP="00462033"/>
    <w:p w14:paraId="7C920748" w14:textId="5458CB6B" w:rsidR="00F60820" w:rsidRDefault="00462033" w:rsidP="009C7B6D">
      <w:pPr>
        <w:pStyle w:val="Bullets1"/>
        <w:numPr>
          <w:ilvl w:val="0"/>
          <w:numId w:val="125"/>
        </w:numPr>
      </w:pPr>
      <w:r w:rsidRPr="55870EE0">
        <w:rPr>
          <w:lang w:val="en-US"/>
        </w:rPr>
        <w:t xml:space="preserve">For </w:t>
      </w:r>
      <w:r w:rsidRPr="009C7B6D">
        <w:rPr>
          <w:b/>
          <w:lang w:val="en-US"/>
        </w:rPr>
        <w:t>electrification (fuel substitution)</w:t>
      </w:r>
      <w:r w:rsidRPr="55870EE0">
        <w:rPr>
          <w:lang w:val="en-US"/>
        </w:rPr>
        <w:t xml:space="preserve"> measures to participate in the Program, they mus</w:t>
      </w:r>
      <w:r w:rsidR="00D943FA" w:rsidRPr="55870EE0">
        <w:rPr>
          <w:lang w:val="en-US"/>
        </w:rPr>
        <w:t>t</w:t>
      </w:r>
      <w:r w:rsidR="00F60820" w:rsidRPr="55870EE0">
        <w:rPr>
          <w:lang w:val="en-US"/>
        </w:rPr>
        <w:t>:</w:t>
      </w:r>
    </w:p>
    <w:p w14:paraId="6BA31C11" w14:textId="77777777" w:rsidR="00F60820" w:rsidRDefault="00462033" w:rsidP="009C7B6D">
      <w:pPr>
        <w:pStyle w:val="Bullets1"/>
        <w:numPr>
          <w:ilvl w:val="1"/>
          <w:numId w:val="125"/>
        </w:numPr>
      </w:pPr>
      <w:r w:rsidRPr="51E7DB95">
        <w:t>contribute cost-effective electric benefits to the portfolio and save electricity (kWh) at the meter (e.g., high efficiency packaged heat pump units in warmer CZs).</w:t>
      </w:r>
      <w:r w:rsidR="00F41F84">
        <w:t xml:space="preserve"> </w:t>
      </w:r>
    </w:p>
    <w:p w14:paraId="3F4B1E11" w14:textId="65DECBC0" w:rsidR="00F41F84" w:rsidRDefault="00081AEC" w:rsidP="009C7B6D">
      <w:pPr>
        <w:pStyle w:val="Bullets1"/>
        <w:numPr>
          <w:ilvl w:val="1"/>
          <w:numId w:val="125"/>
        </w:numPr>
      </w:pPr>
      <w:r>
        <w:lastRenderedPageBreak/>
        <w:t>p</w:t>
      </w:r>
      <w:r w:rsidR="00F41F84" w:rsidRPr="51E7DB95">
        <w:t>ass the Fuel Substitution Test implemented by Decision 19-08-009, using the most recent Fuel Substitution Calculator</w:t>
      </w:r>
      <w:r w:rsidR="00F41F84">
        <w:rPr>
          <w:rStyle w:val="FootnoteReference"/>
        </w:rPr>
        <w:footnoteReference w:id="5"/>
      </w:r>
      <w:r w:rsidR="00F41F84" w:rsidRPr="51E7DB95">
        <w:t>. The Fuel Substitution Test has two requirements:</w:t>
      </w:r>
    </w:p>
    <w:p w14:paraId="41828BC8" w14:textId="77777777" w:rsidR="00F41F84" w:rsidRDefault="00F41F84" w:rsidP="009C7B6D">
      <w:pPr>
        <w:pStyle w:val="Bullets1"/>
        <w:numPr>
          <w:ilvl w:val="2"/>
          <w:numId w:val="125"/>
        </w:numPr>
      </w:pPr>
      <w:r>
        <w:t>The measure shall not harm the environment</w:t>
      </w:r>
    </w:p>
    <w:p w14:paraId="48394BF3" w14:textId="0C38DE0A" w:rsidR="00F41F84" w:rsidRPr="00733B79" w:rsidRDefault="008E14B2" w:rsidP="009C7B6D">
      <w:pPr>
        <w:pStyle w:val="Bullets1"/>
        <w:numPr>
          <w:ilvl w:val="2"/>
          <w:numId w:val="125"/>
        </w:numPr>
      </w:pPr>
      <w:r>
        <w:t xml:space="preserve">The measure </w:t>
      </w:r>
      <w:r w:rsidR="00F41F84" w:rsidRPr="009C7B6D">
        <w:t>must not increase source energy or CO2 emissions compared to the baseline technology.</w:t>
      </w:r>
      <w:r w:rsidR="00C17F8B" w:rsidRPr="009C7B6D">
        <w:t xml:space="preserve"> </w:t>
      </w:r>
    </w:p>
    <w:p w14:paraId="39A5D967" w14:textId="1B5F749B" w:rsidR="00462033" w:rsidRPr="00733B79" w:rsidRDefault="00462033" w:rsidP="009C7B6D">
      <w:pPr>
        <w:pStyle w:val="Bullets1"/>
        <w:numPr>
          <w:ilvl w:val="0"/>
          <w:numId w:val="125"/>
        </w:numPr>
        <w:tabs>
          <w:tab w:val="left" w:pos="0"/>
        </w:tabs>
      </w:pPr>
      <w:r w:rsidRPr="009C7B6D">
        <w:rPr>
          <w:b/>
          <w:bCs/>
        </w:rPr>
        <w:t>Load-shifting measures</w:t>
      </w:r>
      <w:r w:rsidRPr="00733B79">
        <w:t xml:space="preserve"> (e.g., battery energy storage, existing EV charge management, other</w:t>
      </w:r>
      <w:r w:rsidR="00F41F84">
        <w:t xml:space="preserve"> </w:t>
      </w:r>
      <w:r w:rsidRPr="00733B79">
        <w:t xml:space="preserve">controls) will be allowed when they are bundled with accompanying EE measures and result in an overall reduction in energy consumption at the meter. </w:t>
      </w:r>
    </w:p>
    <w:p w14:paraId="0292A186" w14:textId="085AED86" w:rsidR="00462033" w:rsidRPr="00733B79" w:rsidRDefault="00462033" w:rsidP="00462033">
      <w:r w:rsidRPr="00733B79">
        <w:t>Targeted projects include comprehensive retrofits, HVAC, refrigeration, RCx, lighting, and load shifting when paired with EE.</w:t>
      </w:r>
      <w:r w:rsidR="00477B54">
        <w:t xml:space="preserve">  </w:t>
      </w:r>
      <w:r w:rsidRPr="00733B79">
        <w:t>Solar PV and other electricity generation are not eligible for incentives from the MSSR.</w:t>
      </w:r>
    </w:p>
    <w:p w14:paraId="4FC78E0F" w14:textId="77777777" w:rsidR="00612C27" w:rsidRPr="00733B79" w:rsidRDefault="00612C27" w:rsidP="00612C27"/>
    <w:p w14:paraId="14A34546" w14:textId="77777777" w:rsidR="00612C27" w:rsidRPr="00733B79" w:rsidRDefault="00612C27" w:rsidP="00612C27"/>
    <w:p w14:paraId="56A559F5" w14:textId="77777777" w:rsidR="00612C27" w:rsidRPr="00733B79" w:rsidRDefault="00612C27" w:rsidP="00B62D70">
      <w:pPr>
        <w:pStyle w:val="Heading2"/>
      </w:pPr>
      <w:bookmarkStart w:id="58" w:name="_Toc162606036"/>
      <w:bookmarkStart w:id="59" w:name="_Toc173831599"/>
      <w:r w:rsidRPr="00733B79">
        <w:t>Data Collection and Management</w:t>
      </w:r>
      <w:bookmarkEnd w:id="58"/>
      <w:bookmarkEnd w:id="59"/>
    </w:p>
    <w:p w14:paraId="2078E971" w14:textId="77777777" w:rsidR="00612C27" w:rsidRPr="00733B79" w:rsidRDefault="00612C27" w:rsidP="00612C27">
      <w:pPr>
        <w:pStyle w:val="CRNormalBody"/>
        <w:spacing w:before="0" w:after="0" w:line="240" w:lineRule="auto"/>
        <w:rPr>
          <w:rFonts w:cs="Arial"/>
          <w:sz w:val="22"/>
          <w:szCs w:val="22"/>
        </w:rPr>
      </w:pPr>
    </w:p>
    <w:p w14:paraId="6669AEA6" w14:textId="4A2441B3" w:rsidR="001D7397" w:rsidRDefault="00612C27" w:rsidP="001D7397">
      <w:pPr>
        <w:pStyle w:val="CRNormalBody"/>
        <w:spacing w:before="0" w:after="0" w:line="240" w:lineRule="auto"/>
        <w:rPr>
          <w:rFonts w:cs="Arial"/>
          <w:sz w:val="22"/>
          <w:szCs w:val="22"/>
          <w:lang w:val="en-US"/>
        </w:rPr>
      </w:pPr>
      <w:r w:rsidRPr="00733B79">
        <w:rPr>
          <w:rFonts w:cs="Arial"/>
          <w:sz w:val="22"/>
          <w:szCs w:val="22"/>
          <w:lang w:val="en-US"/>
        </w:rPr>
        <w:t xml:space="preserve">The availability and quality of AMI consumption data for proper baselines is fundamental to identifying NMEC program participants and quantifying impacts accurately. </w:t>
      </w:r>
      <w:r w:rsidR="00247C9D" w:rsidRPr="00733B79">
        <w:rPr>
          <w:rFonts w:cs="Arial"/>
          <w:sz w:val="22"/>
          <w:szCs w:val="22"/>
          <w:lang w:val="en-US"/>
        </w:rPr>
        <w:t xml:space="preserve">MSSR relies on </w:t>
      </w:r>
      <w:proofErr w:type="spellStart"/>
      <w:r w:rsidRPr="00733B79">
        <w:rPr>
          <w:rFonts w:cs="Arial"/>
          <w:sz w:val="22"/>
          <w:szCs w:val="22"/>
          <w:lang w:val="en-US"/>
        </w:rPr>
        <w:t>CalTRACK</w:t>
      </w:r>
      <w:proofErr w:type="spellEnd"/>
      <w:r w:rsidRPr="00733B79">
        <w:rPr>
          <w:rFonts w:cs="Arial"/>
          <w:sz w:val="22"/>
          <w:szCs w:val="22"/>
          <w:lang w:val="en-US"/>
        </w:rPr>
        <w:t xml:space="preserve"> </w:t>
      </w:r>
      <w:r w:rsidR="002F60AB">
        <w:rPr>
          <w:rFonts w:cs="Arial"/>
          <w:sz w:val="22"/>
          <w:szCs w:val="22"/>
          <w:lang w:val="en-US"/>
        </w:rPr>
        <w:t>Methods</w:t>
      </w:r>
      <w:r w:rsidR="002F60AB">
        <w:rPr>
          <w:rStyle w:val="FootnoteReference"/>
          <w:rFonts w:cs="Arial"/>
          <w:sz w:val="22"/>
          <w:szCs w:val="22"/>
          <w:lang w:val="en-US"/>
        </w:rPr>
        <w:footnoteReference w:id="6"/>
      </w:r>
      <w:r w:rsidRPr="00733B79">
        <w:rPr>
          <w:rFonts w:cs="Arial"/>
          <w:sz w:val="22"/>
          <w:szCs w:val="22"/>
          <w:lang w:val="en-US"/>
        </w:rPr>
        <w:t xml:space="preserve"> </w:t>
      </w:r>
      <w:r w:rsidR="00247C9D" w:rsidRPr="00733B79">
        <w:rPr>
          <w:rFonts w:cs="Arial"/>
          <w:sz w:val="22"/>
          <w:szCs w:val="22"/>
          <w:lang w:val="en-US"/>
        </w:rPr>
        <w:t xml:space="preserve">to </w:t>
      </w:r>
      <w:r w:rsidR="009F0115" w:rsidRPr="00733B79">
        <w:rPr>
          <w:rFonts w:cs="Arial"/>
          <w:sz w:val="22"/>
          <w:szCs w:val="22"/>
          <w:lang w:val="en-US"/>
        </w:rPr>
        <w:t>determine</w:t>
      </w:r>
      <w:r w:rsidRPr="00733B79">
        <w:rPr>
          <w:rFonts w:cs="Arial"/>
          <w:sz w:val="22"/>
          <w:szCs w:val="22"/>
          <w:lang w:val="en-US"/>
        </w:rPr>
        <w:t xml:space="preserve"> data quality and sufficiency requirements for establishing appropriate baselines. </w:t>
      </w:r>
    </w:p>
    <w:p w14:paraId="1BD46A49" w14:textId="77777777" w:rsidR="001D7397" w:rsidRDefault="001D7397" w:rsidP="001D7397">
      <w:pPr>
        <w:pStyle w:val="CRNormalBody"/>
        <w:spacing w:before="0" w:after="0" w:line="240" w:lineRule="auto"/>
        <w:rPr>
          <w:rFonts w:cs="Arial"/>
          <w:sz w:val="22"/>
          <w:szCs w:val="22"/>
          <w:lang w:val="en-US"/>
        </w:rPr>
      </w:pPr>
    </w:p>
    <w:p w14:paraId="1BCBF49A" w14:textId="7D9783C2" w:rsidR="001D7397" w:rsidRPr="00733B79" w:rsidRDefault="001D7397" w:rsidP="001D7397">
      <w:pPr>
        <w:pStyle w:val="CRNormalBody"/>
        <w:spacing w:before="0" w:after="0" w:line="240" w:lineRule="auto"/>
        <w:rPr>
          <w:rFonts w:cs="Arial"/>
          <w:sz w:val="22"/>
          <w:szCs w:val="22"/>
          <w:lang w:val="en-US"/>
        </w:rPr>
      </w:pPr>
      <w:r w:rsidRPr="00733B79">
        <w:rPr>
          <w:rFonts w:cs="Arial"/>
          <w:sz w:val="22"/>
          <w:szCs w:val="22"/>
          <w:lang w:val="en-US"/>
        </w:rPr>
        <w:t xml:space="preserve">MSSR </w:t>
      </w:r>
      <w:r>
        <w:rPr>
          <w:rFonts w:cs="Arial"/>
          <w:sz w:val="22"/>
          <w:szCs w:val="22"/>
          <w:lang w:val="en-US"/>
        </w:rPr>
        <w:t xml:space="preserve">will work with PG&amp;E </w:t>
      </w:r>
      <w:r w:rsidRPr="00733B79">
        <w:rPr>
          <w:rFonts w:cs="Arial"/>
          <w:sz w:val="22"/>
          <w:szCs w:val="22"/>
          <w:lang w:val="en-US"/>
        </w:rPr>
        <w:t xml:space="preserve">to maintain quality data management and monitoring throughout the program life to ensure the reporting period results generate an accurate representation of the savings impacts. </w:t>
      </w:r>
      <w:r w:rsidR="009B4EBC">
        <w:rPr>
          <w:rFonts w:cs="Arial"/>
          <w:sz w:val="22"/>
          <w:szCs w:val="22"/>
          <w:lang w:val="en-US"/>
        </w:rPr>
        <w:t>The AESC Team</w:t>
      </w:r>
      <w:r w:rsidRPr="00733B79">
        <w:rPr>
          <w:rFonts w:cs="Arial"/>
          <w:sz w:val="22"/>
          <w:szCs w:val="22"/>
          <w:lang w:val="en-US"/>
        </w:rPr>
        <w:t xml:space="preserve"> will provide fully auditable and verifiable records to track each meter that is modeled and its fate over the course of the program. PG&amp;E will oversee QA/QC processes to verify measure installation.</w:t>
      </w:r>
    </w:p>
    <w:p w14:paraId="67FC5C7B" w14:textId="7A738438" w:rsidR="002D0470" w:rsidRPr="00733B79" w:rsidRDefault="002D0470" w:rsidP="00612C27">
      <w:pPr>
        <w:pStyle w:val="CRNormalBody"/>
        <w:spacing w:before="0" w:after="0" w:line="240" w:lineRule="auto"/>
        <w:rPr>
          <w:rFonts w:cs="Arial"/>
          <w:sz w:val="22"/>
          <w:szCs w:val="22"/>
          <w:lang w:val="en-US"/>
        </w:rPr>
      </w:pPr>
    </w:p>
    <w:p w14:paraId="59A05AEF" w14:textId="65092733" w:rsidR="00612C27" w:rsidRPr="00733B79" w:rsidRDefault="006B58D3" w:rsidP="00612C27">
      <w:pPr>
        <w:pStyle w:val="CRNormalBody"/>
        <w:spacing w:before="0" w:after="0" w:line="240" w:lineRule="auto"/>
        <w:rPr>
          <w:rFonts w:cs="Arial"/>
          <w:sz w:val="22"/>
          <w:szCs w:val="22"/>
          <w:lang w:val="en-US"/>
        </w:rPr>
      </w:pPr>
      <w:r>
        <w:rPr>
          <w:rFonts w:cs="Arial"/>
          <w:sz w:val="22"/>
          <w:szCs w:val="22"/>
          <w:lang w:val="en-US"/>
        </w:rPr>
        <w:t>MSSR and</w:t>
      </w:r>
      <w:r w:rsidR="00612C27" w:rsidRPr="00733B79">
        <w:rPr>
          <w:rFonts w:cs="Arial"/>
          <w:sz w:val="22"/>
          <w:szCs w:val="22"/>
          <w:lang w:val="en-US"/>
        </w:rPr>
        <w:t xml:space="preserve"> PG&amp;E will oversee inventory of participant site and meter information required for proper weather station matching, </w:t>
      </w:r>
      <w:r w:rsidR="00057940">
        <w:rPr>
          <w:rFonts w:cs="Arial"/>
          <w:sz w:val="22"/>
          <w:szCs w:val="22"/>
          <w:lang w:val="en-US"/>
        </w:rPr>
        <w:t>and the</w:t>
      </w:r>
      <w:r w:rsidR="00612C27" w:rsidRPr="00733B79">
        <w:rPr>
          <w:rFonts w:cs="Arial"/>
          <w:sz w:val="22"/>
          <w:szCs w:val="22"/>
          <w:lang w:val="en-US"/>
        </w:rPr>
        <w:t xml:space="preserve"> project </w:t>
      </w:r>
      <w:proofErr w:type="gramStart"/>
      <w:r w:rsidR="00612C27" w:rsidRPr="00733B79">
        <w:rPr>
          <w:rFonts w:cs="Arial"/>
          <w:sz w:val="22"/>
          <w:szCs w:val="22"/>
          <w:lang w:val="en-US"/>
        </w:rPr>
        <w:t>start</w:t>
      </w:r>
      <w:proofErr w:type="gramEnd"/>
      <w:r w:rsidR="00612C27" w:rsidRPr="00733B79">
        <w:rPr>
          <w:rFonts w:cs="Arial"/>
          <w:sz w:val="22"/>
          <w:szCs w:val="22"/>
          <w:lang w:val="en-US"/>
        </w:rPr>
        <w:t xml:space="preserve"> and end dates needed to classify the blackout period between the baseline and the implementation (reporting) periods as required. Other required data elements, including participant contact details and location, meter IDs, dates of energy efficiency (EE) measure installation, energy efficiency measures installed, and project costs are the responsibility of PG&amp;E. These data elements may be required for customer cohort tracking and management, program attribution, and evaluation studies.</w:t>
      </w:r>
    </w:p>
    <w:p w14:paraId="6CAA3DC0" w14:textId="77777777" w:rsidR="00612C27" w:rsidRPr="00733B79" w:rsidRDefault="00612C27" w:rsidP="00612C27">
      <w:pPr>
        <w:pStyle w:val="CRNormalBody"/>
        <w:spacing w:before="0" w:after="0" w:line="240" w:lineRule="auto"/>
        <w:rPr>
          <w:rFonts w:cs="Arial"/>
          <w:sz w:val="22"/>
          <w:szCs w:val="22"/>
        </w:rPr>
      </w:pPr>
    </w:p>
    <w:p w14:paraId="5A0FE97B" w14:textId="77777777" w:rsidR="00612C27" w:rsidRPr="00733B79" w:rsidRDefault="00612C27" w:rsidP="00612C27">
      <w:pPr>
        <w:pStyle w:val="Heading3"/>
        <w:rPr>
          <w:rFonts w:eastAsia="Calibri" w:cs="Arial"/>
        </w:rPr>
      </w:pPr>
      <w:bookmarkStart w:id="60" w:name="_Toc162606037"/>
      <w:bookmarkStart w:id="61" w:name="_Toc173831600"/>
      <w:r w:rsidRPr="00733B79">
        <w:rPr>
          <w:rFonts w:eastAsia="Calibri" w:cs="Arial"/>
        </w:rPr>
        <w:t>Data Security</w:t>
      </w:r>
      <w:bookmarkEnd w:id="60"/>
      <w:bookmarkEnd w:id="61"/>
    </w:p>
    <w:p w14:paraId="2F7D01E8" w14:textId="77777777" w:rsidR="00612C27" w:rsidRPr="00733B79" w:rsidRDefault="00612C27" w:rsidP="00612C27"/>
    <w:p w14:paraId="69BEDC2C" w14:textId="0A2B644F" w:rsidR="00612C27" w:rsidRPr="00733B79" w:rsidRDefault="00612C27" w:rsidP="00612C27">
      <w:r w:rsidRPr="00733B79">
        <w:t xml:space="preserve">Data security and customer privacy are paramount for effective, trustworthy customer programs. Data tools and systems used by </w:t>
      </w:r>
      <w:r w:rsidR="00334D9B" w:rsidRPr="00733B79">
        <w:t>AESC</w:t>
      </w:r>
      <w:r w:rsidRPr="00733B79">
        <w:t xml:space="preserve"> </w:t>
      </w:r>
      <w:r w:rsidR="00FA0DD3">
        <w:t>are</w:t>
      </w:r>
      <w:r w:rsidRPr="00733B79">
        <w:t xml:space="preserve"> built on modern industry standards and have undergone the auditing process to achieve SOC 2 compliance, which ensures best in class </w:t>
      </w:r>
      <w:r w:rsidRPr="00733B79">
        <w:lastRenderedPageBreak/>
        <w:t>security and data management practices that meet the required “trust service principles” as defined by the American Institute of Certified Public Accountants (AICPA). Security agreements with PG&amp;E and Aggregators are available to the CPUC upon request.</w:t>
      </w:r>
    </w:p>
    <w:p w14:paraId="28E60D25" w14:textId="77777777" w:rsidR="003C320A" w:rsidRDefault="003C320A" w:rsidP="00612C27"/>
    <w:p w14:paraId="5063444F" w14:textId="30B8E98C" w:rsidR="003C320A" w:rsidRDefault="00B55EF6" w:rsidP="00612C27">
      <w:r>
        <w:t xml:space="preserve">AESC receives </w:t>
      </w:r>
      <w:r w:rsidR="0029227D" w:rsidRPr="00D0749D">
        <w:t xml:space="preserve">customer data of customers enrolled in their program </w:t>
      </w:r>
      <w:r w:rsidR="0029227D">
        <w:t xml:space="preserve">and non-participant data directly </w:t>
      </w:r>
      <w:r w:rsidR="00E32BA1">
        <w:t>from PG&amp;E</w:t>
      </w:r>
      <w:r w:rsidR="004E3584">
        <w:t>,</w:t>
      </w:r>
      <w:r w:rsidR="00E32BA1">
        <w:t xml:space="preserve"> </w:t>
      </w:r>
      <w:r w:rsidR="004E3584">
        <w:t>and as required</w:t>
      </w:r>
      <w:r w:rsidR="00966FEA">
        <w:t xml:space="preserve"> by PG&amp;E</w:t>
      </w:r>
      <w:r w:rsidR="004E3584">
        <w:t>, maintains an annual IT data security assessment (Third-Party Security Review</w:t>
      </w:r>
      <w:r w:rsidR="00010AFC">
        <w:t xml:space="preserve"> (TSR)</w:t>
      </w:r>
      <w:r w:rsidR="004E3584">
        <w:t>)</w:t>
      </w:r>
      <w:r w:rsidR="00010AFC">
        <w:t>.</w:t>
      </w:r>
      <w:r w:rsidR="00FC6528">
        <w:t xml:space="preserve">  </w:t>
      </w:r>
    </w:p>
    <w:p w14:paraId="5A117B58" w14:textId="77777777" w:rsidR="00612C27" w:rsidRPr="00733B79" w:rsidRDefault="00612C27" w:rsidP="00612C27"/>
    <w:p w14:paraId="6BB5C65E" w14:textId="77777777" w:rsidR="00612C27" w:rsidRPr="00733B79" w:rsidRDefault="00612C27" w:rsidP="00612C27">
      <w:pPr>
        <w:pStyle w:val="Heading3"/>
        <w:rPr>
          <w:rFonts w:eastAsia="Calibri" w:cs="Arial"/>
        </w:rPr>
      </w:pPr>
      <w:bookmarkStart w:id="62" w:name="_Toc162606038"/>
      <w:bookmarkStart w:id="63" w:name="_Toc173831601"/>
      <w:r w:rsidRPr="00733B79">
        <w:rPr>
          <w:rFonts w:eastAsia="Calibri" w:cs="Arial"/>
        </w:rPr>
        <w:t>Data Collection</w:t>
      </w:r>
      <w:bookmarkEnd w:id="62"/>
      <w:bookmarkEnd w:id="63"/>
    </w:p>
    <w:p w14:paraId="3787F777" w14:textId="77777777" w:rsidR="00612C27" w:rsidRPr="00733B79" w:rsidRDefault="00612C27" w:rsidP="00612C27"/>
    <w:p w14:paraId="7D49D66C" w14:textId="11508313" w:rsidR="00736F45" w:rsidRDefault="009D51E8" w:rsidP="00612C27">
      <w:r>
        <w:t>PG&amp;E</w:t>
      </w:r>
      <w:r w:rsidR="00C00E1F">
        <w:t xml:space="preserve"> provides </w:t>
      </w:r>
      <w:r w:rsidR="003A087B">
        <w:t>the</w:t>
      </w:r>
      <w:r w:rsidR="00C00E1F">
        <w:t xml:space="preserve"> </w:t>
      </w:r>
      <w:r w:rsidR="00295DC6">
        <w:t xml:space="preserve">AESC </w:t>
      </w:r>
      <w:r w:rsidR="003A087B">
        <w:t>Team with</w:t>
      </w:r>
      <w:r w:rsidR="00295DC6">
        <w:t xml:space="preserve"> </w:t>
      </w:r>
      <w:r w:rsidR="00C5795A">
        <w:t>program</w:t>
      </w:r>
      <w:r w:rsidR="00C00E1F">
        <w:t xml:space="preserve"> data </w:t>
      </w:r>
      <w:r w:rsidR="00C5795A">
        <w:t>according to the Program Data Plan specified in Section 5 of this Program Management Plan.</w:t>
      </w:r>
      <w:r w:rsidR="00C00E1F">
        <w:t xml:space="preserve"> </w:t>
      </w:r>
    </w:p>
    <w:p w14:paraId="44B02437" w14:textId="77777777" w:rsidR="00612C27" w:rsidRPr="00733B79" w:rsidRDefault="00612C27" w:rsidP="00612C27"/>
    <w:p w14:paraId="346A2886" w14:textId="77777777" w:rsidR="00612C27" w:rsidRPr="00733B79" w:rsidRDefault="00612C27" w:rsidP="00612C27">
      <w:pPr>
        <w:pStyle w:val="Heading3"/>
        <w:rPr>
          <w:rFonts w:eastAsia="Calibri" w:cs="Arial"/>
        </w:rPr>
      </w:pPr>
      <w:bookmarkStart w:id="64" w:name="_Toc162606039"/>
      <w:bookmarkStart w:id="65" w:name="_Toc173831602"/>
      <w:r w:rsidRPr="00733B79">
        <w:rPr>
          <w:rFonts w:eastAsia="Calibri" w:cs="Arial"/>
        </w:rPr>
        <w:t>Monitoring and Documentation QA/QC Over the Reporting Period</w:t>
      </w:r>
      <w:bookmarkEnd w:id="64"/>
      <w:bookmarkEnd w:id="65"/>
    </w:p>
    <w:p w14:paraId="67A16EA6" w14:textId="77777777" w:rsidR="00612C27" w:rsidRPr="00733B79" w:rsidRDefault="00612C27" w:rsidP="00612C27"/>
    <w:p w14:paraId="591D90E9" w14:textId="72F9FD09" w:rsidR="00677C76" w:rsidRDefault="00612C27" w:rsidP="00612C27">
      <w:r w:rsidRPr="00733B79">
        <w:t>The</w:t>
      </w:r>
      <w:r w:rsidR="00891590" w:rsidRPr="00733B79">
        <w:t xml:space="preserve"> MSSR relies on</w:t>
      </w:r>
      <w:r w:rsidRPr="00733B79">
        <w:t xml:space="preserve"> </w:t>
      </w:r>
      <w:proofErr w:type="spellStart"/>
      <w:r w:rsidRPr="00733B79">
        <w:t>CalTRACK</w:t>
      </w:r>
      <w:proofErr w:type="spellEnd"/>
      <w:r w:rsidRPr="00733B79">
        <w:t xml:space="preserve"> </w:t>
      </w:r>
      <w:r w:rsidR="00F2392E">
        <w:t>Methods for</w:t>
      </w:r>
      <w:r w:rsidRPr="00733B79">
        <w:t xml:space="preserve"> quality assurance and quality control procedures.</w:t>
      </w:r>
    </w:p>
    <w:p w14:paraId="7D693904" w14:textId="7B6D4863" w:rsidR="00677C76" w:rsidRDefault="009409AB" w:rsidP="00612C27">
      <w:proofErr w:type="spellStart"/>
      <w:r>
        <w:t>CalTRACK</w:t>
      </w:r>
      <w:proofErr w:type="spellEnd"/>
      <w:r>
        <w:t xml:space="preserve"> Methods are </w:t>
      </w:r>
      <w:r w:rsidR="0023113E">
        <w:t xml:space="preserve">built into Praxis </w:t>
      </w:r>
      <w:r w:rsidR="007279D6">
        <w:t>to automatically screen</w:t>
      </w:r>
      <w:r w:rsidR="00180E25">
        <w:t xml:space="preserve"> and provide notification for </w:t>
      </w:r>
      <w:r w:rsidR="00CC11A7">
        <w:t xml:space="preserve">missing </w:t>
      </w:r>
      <w:r w:rsidR="007C1288">
        <w:t>AMI</w:t>
      </w:r>
      <w:r w:rsidR="00782F21">
        <w:t xml:space="preserve"> </w:t>
      </w:r>
      <w:r w:rsidR="002C48B3">
        <w:t>and weather data</w:t>
      </w:r>
      <w:r w:rsidR="007C1288">
        <w:t xml:space="preserve">. </w:t>
      </w:r>
      <w:r w:rsidR="00CC11A7">
        <w:t xml:space="preserve"> </w:t>
      </w:r>
    </w:p>
    <w:p w14:paraId="343C540B" w14:textId="77777777" w:rsidR="00677C76" w:rsidRDefault="00677C76" w:rsidP="00612C27"/>
    <w:p w14:paraId="371ECB91" w14:textId="1A13FEC2" w:rsidR="00612C27" w:rsidRPr="00733B79" w:rsidRDefault="00396C21" w:rsidP="00612C27">
      <w:r>
        <w:t xml:space="preserve">The </w:t>
      </w:r>
      <w:r w:rsidR="00295DC6">
        <w:t>AESC Team</w:t>
      </w:r>
      <w:r w:rsidR="00612C27" w:rsidRPr="00733B79">
        <w:t xml:space="preserve"> will maintain quality data management and monitoring throughout the program life to ensure the reporting period results generate an accurate</w:t>
      </w:r>
      <w:r w:rsidR="00204D76">
        <w:t xml:space="preserve"> </w:t>
      </w:r>
      <w:r w:rsidR="00612C27" w:rsidRPr="00733B79">
        <w:t>representation of the savings impacts</w:t>
      </w:r>
      <w:r w:rsidR="005A77C1">
        <w:t xml:space="preserve"> that is repeatable</w:t>
      </w:r>
      <w:r w:rsidR="00612C27" w:rsidRPr="00733B79">
        <w:t xml:space="preserve">. As part of this M&amp;V </w:t>
      </w:r>
      <w:r w:rsidR="00EC70A0">
        <w:t>P</w:t>
      </w:r>
      <w:r w:rsidR="00EC70A0" w:rsidRPr="00733B79">
        <w:t>lan</w:t>
      </w:r>
      <w:r w:rsidR="00612C27" w:rsidRPr="00733B79">
        <w:t xml:space="preserve">, </w:t>
      </w:r>
      <w:r w:rsidR="004D4853">
        <w:t>The AESC Team</w:t>
      </w:r>
      <w:r w:rsidR="00B6654B" w:rsidRPr="00733B79">
        <w:t xml:space="preserve"> </w:t>
      </w:r>
      <w:r w:rsidR="00612C27" w:rsidRPr="00733B79">
        <w:t xml:space="preserve">will provide a fully auditable and verifiable record to track each meter that is modeled and its fate over the course of the program. </w:t>
      </w:r>
    </w:p>
    <w:p w14:paraId="33745DC8" w14:textId="77777777" w:rsidR="00612C27" w:rsidRPr="00733B79" w:rsidRDefault="00612C27" w:rsidP="00612C27"/>
    <w:p w14:paraId="123E8EE9" w14:textId="77777777" w:rsidR="00612C27" w:rsidRPr="00733B79" w:rsidRDefault="00612C27" w:rsidP="00B62D70">
      <w:pPr>
        <w:pStyle w:val="Heading2"/>
      </w:pPr>
      <w:bookmarkStart w:id="66" w:name="_Toc77332089"/>
      <w:bookmarkStart w:id="67" w:name="_Toc162606040"/>
      <w:bookmarkStart w:id="68" w:name="_Toc173831603"/>
      <w:r w:rsidRPr="00733B79">
        <w:t>Assessing Savings Uncertainty of Projects and Project Portfolio</w:t>
      </w:r>
      <w:bookmarkEnd w:id="66"/>
      <w:r w:rsidRPr="00733B79">
        <w:t>s</w:t>
      </w:r>
      <w:bookmarkEnd w:id="67"/>
      <w:bookmarkEnd w:id="68"/>
    </w:p>
    <w:p w14:paraId="04FD3E8A" w14:textId="77777777" w:rsidR="00612C27" w:rsidRPr="00733B79" w:rsidRDefault="00612C27" w:rsidP="00612C27"/>
    <w:p w14:paraId="0254E8F6" w14:textId="084D7B55" w:rsidR="00612C27" w:rsidRPr="00733B79" w:rsidRDefault="00612C27" w:rsidP="00612C27">
      <w:r w:rsidRPr="00733B79">
        <w:t>Measuring the change in energy consumption at the building level is challenging due to the number of factors that influence energy use. Some factors are out of the modeler’s control (such as the uncertainty of human behavior and the volatility of the premise load), but others can be accounted for in the energy models. Population NMEC controls for the two observable factors demonstrated to drive energy use in buildings: outside temperature and occupancy patterns. Other factors that affect savings uncertainty are diminished when energy efficiency interventions are more effective at reducing energy use and when larger numbers of similar projects are aggregated into a portfolio.</w:t>
      </w:r>
    </w:p>
    <w:p w14:paraId="0E79DB05" w14:textId="77777777" w:rsidR="00612C27" w:rsidRPr="00733B79" w:rsidRDefault="00612C27" w:rsidP="00612C27"/>
    <w:p w14:paraId="73D40464" w14:textId="77777777" w:rsidR="00612C27" w:rsidRPr="00733B79" w:rsidRDefault="00612C27" w:rsidP="00612C27">
      <w:pPr>
        <w:pStyle w:val="CRNormalBody"/>
        <w:spacing w:before="0" w:after="0" w:line="240" w:lineRule="auto"/>
        <w:rPr>
          <w:rFonts w:cs="Arial"/>
          <w:sz w:val="22"/>
          <w:szCs w:val="22"/>
        </w:rPr>
      </w:pPr>
      <w:r w:rsidRPr="00733B79">
        <w:rPr>
          <w:rFonts w:cs="Arial"/>
          <w:i/>
          <w:iCs/>
          <w:sz w:val="22"/>
          <w:szCs w:val="22"/>
        </w:rPr>
        <w:t>Effect size</w:t>
      </w:r>
      <w:r w:rsidRPr="00733B79">
        <w:rPr>
          <w:rFonts w:cs="Arial"/>
          <w:sz w:val="22"/>
          <w:szCs w:val="22"/>
        </w:rPr>
        <w:t xml:space="preserve"> influences the ability to measure energy savings accurately. It can be understood as the percent change in energy use following the intervention. Larger impacts will be easier to detect. </w:t>
      </w:r>
    </w:p>
    <w:p w14:paraId="27B95C4D" w14:textId="77777777" w:rsidR="00612C27" w:rsidRPr="00733B79" w:rsidRDefault="00612C27" w:rsidP="00612C27">
      <w:pPr>
        <w:pStyle w:val="CRNormalBody"/>
        <w:spacing w:before="0" w:after="0" w:line="240" w:lineRule="auto"/>
        <w:rPr>
          <w:rFonts w:cs="Arial"/>
          <w:sz w:val="22"/>
          <w:szCs w:val="22"/>
        </w:rPr>
      </w:pPr>
    </w:p>
    <w:p w14:paraId="0D16C613" w14:textId="77777777" w:rsidR="00612C27" w:rsidRPr="00733B79" w:rsidRDefault="00612C27" w:rsidP="00612C27">
      <w:r w:rsidRPr="00733B79">
        <w:rPr>
          <w:i/>
          <w:iCs/>
        </w:rPr>
        <w:t>Sample size</w:t>
      </w:r>
      <w:r w:rsidRPr="00733B79">
        <w:t xml:space="preserve"> is another key factor. The influence of errors on the estimates of the average effect of premise interventions within a portfolio that are introduced from outlier sites is reduced as the size of a portfolio grows. The larger the numbers of projects aggregated into a portfolio, the more confidence we can have in the average estimates of savings of the portfolio because the impact of the energy use of individual buildings in the portfolio (and the customer behavior patterns that, in part, drive it) is diminished, assuming that random estimation errors are normally distributed.</w:t>
      </w:r>
    </w:p>
    <w:p w14:paraId="3DB9810C" w14:textId="77777777" w:rsidR="00612C27" w:rsidRPr="00733B79" w:rsidRDefault="00612C27" w:rsidP="00612C27"/>
    <w:p w14:paraId="10988167" w14:textId="77777777" w:rsidR="00612C27" w:rsidRPr="00733B79" w:rsidRDefault="00612C27" w:rsidP="00612C27">
      <w:pPr>
        <w:pStyle w:val="CRNormalBody"/>
        <w:spacing w:before="0" w:after="0" w:line="240" w:lineRule="auto"/>
        <w:rPr>
          <w:rFonts w:cs="Arial"/>
          <w:sz w:val="22"/>
          <w:szCs w:val="22"/>
          <w:lang w:val="en-US"/>
        </w:rPr>
      </w:pPr>
      <w:r w:rsidRPr="00733B79">
        <w:rPr>
          <w:rFonts w:cs="Arial"/>
          <w:i/>
          <w:iCs/>
          <w:sz w:val="22"/>
          <w:szCs w:val="22"/>
          <w:lang w:val="en-US"/>
        </w:rPr>
        <w:t xml:space="preserve">Load volatility. </w:t>
      </w:r>
      <w:r w:rsidRPr="00733B79">
        <w:rPr>
          <w:rFonts w:cs="Arial"/>
          <w:sz w:val="22"/>
          <w:szCs w:val="22"/>
          <w:lang w:val="en-US"/>
        </w:rPr>
        <w:t xml:space="preserve">The greater the unexplained volatility (variation) in premise loads, the greater the challenge in detecting changes in energy use resulting from the interventions. When portfolios </w:t>
      </w:r>
      <w:r w:rsidRPr="00733B79">
        <w:rPr>
          <w:rFonts w:cs="Arial"/>
          <w:sz w:val="22"/>
          <w:szCs w:val="22"/>
          <w:lang w:val="en-US"/>
        </w:rPr>
        <w:lastRenderedPageBreak/>
        <w:t xml:space="preserve">are comprised of buildings that share common characteristics and installed measures are similar across projects, the inherent volatility on aggregated premise loads will decrease. </w:t>
      </w:r>
    </w:p>
    <w:p w14:paraId="45A9104E" w14:textId="77777777" w:rsidR="00612C27" w:rsidRPr="00733B79" w:rsidRDefault="00612C27" w:rsidP="00612C27">
      <w:pPr>
        <w:pStyle w:val="CRNormalBody"/>
        <w:spacing w:before="0" w:after="0" w:line="240" w:lineRule="auto"/>
        <w:rPr>
          <w:rFonts w:cs="Arial"/>
          <w:sz w:val="22"/>
          <w:szCs w:val="22"/>
        </w:rPr>
      </w:pPr>
    </w:p>
    <w:p w14:paraId="01E3498C" w14:textId="0C210B35" w:rsidR="00612C27" w:rsidRPr="00733B79" w:rsidRDefault="00612C27" w:rsidP="00612C27">
      <w:pPr>
        <w:pStyle w:val="CRNormalBody"/>
        <w:spacing w:before="0" w:after="0" w:line="240" w:lineRule="auto"/>
        <w:rPr>
          <w:rFonts w:cs="Arial"/>
          <w:sz w:val="22"/>
          <w:szCs w:val="22"/>
        </w:rPr>
      </w:pPr>
      <w:r w:rsidRPr="00733B79">
        <w:rPr>
          <w:rFonts w:cs="Arial"/>
          <w:sz w:val="22"/>
          <w:szCs w:val="22"/>
        </w:rPr>
        <w:t xml:space="preserve">The key metrics for uncertainty for </w:t>
      </w:r>
      <w:r w:rsidR="00D52C7A" w:rsidRPr="00733B79">
        <w:rPr>
          <w:rFonts w:cs="Arial"/>
          <w:sz w:val="22"/>
          <w:szCs w:val="22"/>
        </w:rPr>
        <w:t>MSSR</w:t>
      </w:r>
      <w:r w:rsidRPr="00733B79">
        <w:rPr>
          <w:rFonts w:cs="Arial"/>
          <w:sz w:val="22"/>
          <w:szCs w:val="22"/>
        </w:rPr>
        <w:t xml:space="preserve"> are:</w:t>
      </w:r>
    </w:p>
    <w:p w14:paraId="07891EBC" w14:textId="77777777" w:rsidR="00612C27" w:rsidRPr="00733B79" w:rsidRDefault="00612C27" w:rsidP="00612C27">
      <w:pPr>
        <w:pStyle w:val="CRNormalBody"/>
        <w:spacing w:before="0" w:after="0" w:line="240" w:lineRule="auto"/>
        <w:rPr>
          <w:rFonts w:cs="Arial"/>
          <w:sz w:val="22"/>
          <w:szCs w:val="22"/>
        </w:rPr>
      </w:pPr>
    </w:p>
    <w:p w14:paraId="326CBF7B" w14:textId="77777777" w:rsidR="00612C27" w:rsidRPr="00733B79" w:rsidRDefault="00612C27" w:rsidP="009C7B6D">
      <w:pPr>
        <w:pStyle w:val="CRNormalBody"/>
        <w:numPr>
          <w:ilvl w:val="0"/>
          <w:numId w:val="126"/>
        </w:numPr>
        <w:spacing w:before="0" w:after="0" w:line="240" w:lineRule="auto"/>
        <w:rPr>
          <w:rFonts w:cs="Arial"/>
          <w:sz w:val="22"/>
          <w:szCs w:val="22"/>
        </w:rPr>
      </w:pPr>
      <w:r w:rsidRPr="00733B79">
        <w:rPr>
          <w:rFonts w:cs="Arial"/>
          <w:sz w:val="22"/>
          <w:szCs w:val="22"/>
        </w:rPr>
        <w:t xml:space="preserve">The Coefficient of Variation of the Root Mean Square Error [CV(RMSE)]. </w:t>
      </w:r>
    </w:p>
    <w:p w14:paraId="10FAB076" w14:textId="77777777" w:rsidR="00612C27" w:rsidRPr="00733B79" w:rsidRDefault="00612C27" w:rsidP="009C7B6D">
      <w:pPr>
        <w:pStyle w:val="CRNormalBody"/>
        <w:numPr>
          <w:ilvl w:val="0"/>
          <w:numId w:val="126"/>
        </w:numPr>
        <w:spacing w:before="0" w:after="0" w:line="240" w:lineRule="auto"/>
        <w:rPr>
          <w:rFonts w:cs="Arial"/>
          <w:sz w:val="22"/>
          <w:szCs w:val="22"/>
        </w:rPr>
      </w:pPr>
      <w:r w:rsidRPr="00733B79">
        <w:rPr>
          <w:rFonts w:cs="Arial"/>
          <w:sz w:val="22"/>
          <w:szCs w:val="22"/>
        </w:rPr>
        <w:t>Interval data sufficiency</w:t>
      </w:r>
    </w:p>
    <w:p w14:paraId="7C5060D7" w14:textId="77777777" w:rsidR="00612C27" w:rsidRPr="00733B79" w:rsidRDefault="00612C27" w:rsidP="009C7B6D">
      <w:pPr>
        <w:pStyle w:val="CRNormalBody"/>
        <w:numPr>
          <w:ilvl w:val="0"/>
          <w:numId w:val="126"/>
        </w:numPr>
        <w:spacing w:before="0" w:after="0" w:line="240" w:lineRule="auto"/>
        <w:rPr>
          <w:rFonts w:cs="Arial"/>
          <w:sz w:val="22"/>
          <w:szCs w:val="22"/>
        </w:rPr>
      </w:pPr>
      <w:r w:rsidRPr="00733B79">
        <w:rPr>
          <w:rFonts w:cs="Arial"/>
          <w:sz w:val="22"/>
          <w:szCs w:val="22"/>
        </w:rPr>
        <w:t>Fractional Savings Uncertainty (FSU)</w:t>
      </w:r>
    </w:p>
    <w:p w14:paraId="32A0029E" w14:textId="73188105" w:rsidR="00612C27" w:rsidRPr="00733B79" w:rsidRDefault="00612C27" w:rsidP="009C7B6D">
      <w:pPr>
        <w:pStyle w:val="CRNormalBody"/>
        <w:numPr>
          <w:ilvl w:val="0"/>
          <w:numId w:val="126"/>
        </w:numPr>
        <w:spacing w:before="0" w:after="0" w:line="240" w:lineRule="auto"/>
        <w:rPr>
          <w:rFonts w:cs="Arial"/>
          <w:sz w:val="22"/>
          <w:szCs w:val="22"/>
          <w:lang w:val="en-US"/>
        </w:rPr>
      </w:pPr>
      <w:r w:rsidRPr="00733B79">
        <w:rPr>
          <w:rFonts w:cs="Arial"/>
          <w:sz w:val="22"/>
          <w:szCs w:val="22"/>
          <w:lang w:val="en-US"/>
        </w:rPr>
        <w:t xml:space="preserve">Minimum number of projects required to comprise a </w:t>
      </w:r>
      <w:r w:rsidR="00D52C7A" w:rsidRPr="00733B79">
        <w:rPr>
          <w:rFonts w:cs="Arial"/>
          <w:sz w:val="22"/>
          <w:szCs w:val="22"/>
          <w:lang w:val="en-US"/>
        </w:rPr>
        <w:t>MSSR</w:t>
      </w:r>
      <w:r w:rsidRPr="00733B79">
        <w:rPr>
          <w:rFonts w:cs="Arial"/>
          <w:sz w:val="22"/>
          <w:szCs w:val="22"/>
          <w:lang w:val="en-US"/>
        </w:rPr>
        <w:t xml:space="preserve"> portfolio.</w:t>
      </w:r>
    </w:p>
    <w:p w14:paraId="3F9135D9" w14:textId="77777777" w:rsidR="00612C27" w:rsidRPr="00733B79" w:rsidRDefault="00612C27" w:rsidP="00612C27">
      <w:pPr>
        <w:pStyle w:val="CRNormalBody"/>
        <w:spacing w:before="0" w:after="0" w:line="240" w:lineRule="auto"/>
        <w:rPr>
          <w:rFonts w:cs="Arial"/>
          <w:sz w:val="22"/>
          <w:szCs w:val="22"/>
        </w:rPr>
      </w:pPr>
    </w:p>
    <w:p w14:paraId="40CBA67D" w14:textId="77777777" w:rsidR="00612C27" w:rsidRPr="00733B79" w:rsidRDefault="00612C27" w:rsidP="00612C27">
      <w:pPr>
        <w:pStyle w:val="Heading3"/>
        <w:rPr>
          <w:rFonts w:eastAsia="Calibri" w:cs="Arial"/>
        </w:rPr>
      </w:pPr>
      <w:bookmarkStart w:id="69" w:name="_Toc162606041"/>
      <w:bookmarkStart w:id="70" w:name="_Toc173831604"/>
      <w:r w:rsidRPr="00733B79">
        <w:rPr>
          <w:rFonts w:eastAsia="Calibri" w:cs="Arial"/>
        </w:rPr>
        <w:t>Coefficient of Variation of the Root Mean Square Error [CV(RMSE)]</w:t>
      </w:r>
      <w:bookmarkEnd w:id="69"/>
      <w:bookmarkEnd w:id="70"/>
    </w:p>
    <w:p w14:paraId="5FBEEF63" w14:textId="77777777" w:rsidR="00612C27" w:rsidRPr="00733B79" w:rsidRDefault="00612C27" w:rsidP="00612C27">
      <w:pPr>
        <w:pStyle w:val="CRNormalBody"/>
        <w:spacing w:before="0" w:after="0" w:line="240" w:lineRule="auto"/>
        <w:rPr>
          <w:rFonts w:cs="Arial"/>
          <w:sz w:val="22"/>
          <w:szCs w:val="22"/>
        </w:rPr>
      </w:pPr>
    </w:p>
    <w:p w14:paraId="3AF28AF9" w14:textId="6955D335" w:rsidR="00612C27" w:rsidRPr="00733B79" w:rsidRDefault="00612C27" w:rsidP="00612C27">
      <w:pPr>
        <w:pStyle w:val="CRNormalBody"/>
        <w:spacing w:before="0" w:after="0" w:line="240" w:lineRule="auto"/>
        <w:rPr>
          <w:rFonts w:cs="Arial"/>
          <w:sz w:val="22"/>
          <w:szCs w:val="22"/>
          <w:lang w:val="en-US"/>
        </w:rPr>
      </w:pPr>
      <w:r w:rsidRPr="00733B79">
        <w:rPr>
          <w:rFonts w:cs="Arial"/>
          <w:sz w:val="22"/>
          <w:szCs w:val="22"/>
          <w:lang w:val="en-US"/>
        </w:rPr>
        <w:t>Coefficient of Variation of the Root Mean Square Error, or CV(RMSE), provides an indication of the quality of model fit</w:t>
      </w:r>
      <w:r w:rsidR="00384F83">
        <w:rPr>
          <w:rFonts w:cs="Arial"/>
          <w:sz w:val="22"/>
          <w:szCs w:val="22"/>
          <w:lang w:val="en-US"/>
        </w:rPr>
        <w:t>, where</w:t>
      </w:r>
      <w:r w:rsidR="00ED2D17">
        <w:rPr>
          <w:rFonts w:cs="Arial"/>
          <w:sz w:val="22"/>
          <w:szCs w:val="22"/>
          <w:lang w:val="en-US"/>
        </w:rPr>
        <w:t xml:space="preserve"> </w:t>
      </w:r>
      <w:r w:rsidRPr="00733B79">
        <w:rPr>
          <w:rFonts w:cs="Arial"/>
          <w:sz w:val="22"/>
          <w:szCs w:val="22"/>
          <w:lang w:val="en-US"/>
        </w:rPr>
        <w:t xml:space="preserve">a lower CV(RMSE) equates to better fit. In other words, the CV(RMSE) statistic provides an indication of how well one can model a building’s energy use, provided that you have its interval data and its associated temperature data. The NMEC Rulebook has not established threshold criterion for CV(RMSE) for meters to qualify for inclusion into Population-Level NMEC programs. At this time, PG&amp;E’s </w:t>
      </w:r>
      <w:r w:rsidR="00D52C7A" w:rsidRPr="00733B79">
        <w:rPr>
          <w:rFonts w:cs="Arial"/>
          <w:sz w:val="22"/>
          <w:szCs w:val="22"/>
          <w:lang w:val="en-US"/>
        </w:rPr>
        <w:t>MSSR</w:t>
      </w:r>
      <w:r w:rsidRPr="00733B79">
        <w:rPr>
          <w:rFonts w:cs="Arial"/>
          <w:sz w:val="22"/>
          <w:szCs w:val="22"/>
          <w:lang w:val="en-US"/>
        </w:rPr>
        <w:t xml:space="preserve"> requires a CV(RMSE) less than one [CV(RMSE) &lt; 1.0] to be eligible to participate in the program.</w:t>
      </w:r>
      <w:r w:rsidRPr="00733B79">
        <w:rPr>
          <w:rStyle w:val="FootnoteReference"/>
          <w:rFonts w:cs="Arial"/>
          <w:sz w:val="22"/>
          <w:szCs w:val="22"/>
          <w:lang w:val="en-US"/>
        </w:rPr>
        <w:footnoteReference w:id="7"/>
      </w:r>
    </w:p>
    <w:p w14:paraId="05CA3C6A" w14:textId="77777777" w:rsidR="00612C27" w:rsidRPr="00733B79" w:rsidRDefault="00612C27" w:rsidP="00612C27">
      <w:pPr>
        <w:pStyle w:val="CRNormalBody"/>
        <w:spacing w:before="0" w:after="0" w:line="240" w:lineRule="auto"/>
        <w:rPr>
          <w:rFonts w:cs="Arial"/>
          <w:sz w:val="22"/>
          <w:szCs w:val="22"/>
        </w:rPr>
      </w:pPr>
    </w:p>
    <w:p w14:paraId="3A7C6CB3" w14:textId="77777777" w:rsidR="00612C27" w:rsidRPr="00733B79" w:rsidRDefault="00612C27" w:rsidP="00612C27">
      <w:pPr>
        <w:pStyle w:val="CRNormalBody"/>
        <w:spacing w:before="0" w:after="0" w:line="240" w:lineRule="auto"/>
        <w:rPr>
          <w:rFonts w:cs="Arial"/>
          <w:sz w:val="22"/>
          <w:szCs w:val="22"/>
          <w:lang w:val="en-US"/>
        </w:rPr>
      </w:pPr>
      <w:r w:rsidRPr="00733B79">
        <w:rPr>
          <w:rFonts w:cs="Arial"/>
          <w:sz w:val="22"/>
          <w:szCs w:val="22"/>
          <w:lang w:val="en-US"/>
        </w:rPr>
        <w:t xml:space="preserve">There are a number of ways to compute CV(RMSE). More rigorous methods use out-of-sample testing and </w:t>
      </w:r>
      <w:proofErr w:type="spellStart"/>
      <w:r w:rsidRPr="00733B79">
        <w:rPr>
          <w:rFonts w:cs="Arial"/>
          <w:sz w:val="22"/>
          <w:szCs w:val="22"/>
          <w:lang w:val="en-US"/>
        </w:rPr>
        <w:t>backcasting</w:t>
      </w:r>
      <w:proofErr w:type="spellEnd"/>
      <w:r w:rsidRPr="00733B79">
        <w:rPr>
          <w:rFonts w:cs="Arial"/>
          <w:sz w:val="22"/>
          <w:szCs w:val="22"/>
          <w:lang w:val="en-US"/>
        </w:rPr>
        <w:t>. In this case, the CV(RMSE) is used to determine whether customer meter data is sufficient to allow eligibility in the program. For this program, CV(RMSE) is defined as follows:</w:t>
      </w:r>
    </w:p>
    <w:p w14:paraId="5262DFB9" w14:textId="77777777" w:rsidR="00612C27" w:rsidRPr="00733B79" w:rsidRDefault="00954AFE" w:rsidP="00612C27">
      <w:pPr>
        <w:pStyle w:val="CRNormalBody"/>
        <w:spacing w:line="240" w:lineRule="auto"/>
        <w:jc w:val="center"/>
        <w:rPr>
          <w:rFonts w:cs="Arial"/>
          <w:sz w:val="40"/>
          <w:szCs w:val="40"/>
          <w:lang w:val="en-US"/>
        </w:rPr>
      </w:pPr>
      <m:oMathPara>
        <m:oMath>
          <m:d>
            <m:dPr>
              <m:begChr m:val=""/>
              <m:endChr m:val=""/>
              <m:ctrlPr>
                <w:rPr>
                  <w:rFonts w:ascii="Cambria Math" w:hAnsi="Cambria Math" w:cs="Arial"/>
                  <w:i/>
                  <w:sz w:val="40"/>
                  <w:szCs w:val="40"/>
                  <w:lang w:val="en-US"/>
                </w:rPr>
              </m:ctrlPr>
            </m:dPr>
            <m:e>
              <m:r>
                <w:rPr>
                  <w:rFonts w:ascii="Cambria Math" w:hAnsi="Cambria Math" w:cs="Arial"/>
                  <w:sz w:val="40"/>
                  <w:szCs w:val="40"/>
                  <w:lang w:val="en-US"/>
                </w:rPr>
                <m:t>CV</m:t>
              </m:r>
            </m:e>
          </m:d>
          <m:r>
            <w:rPr>
              <w:rFonts w:ascii="Cambria Math" w:hAnsi="Cambria Math" w:cs="Arial"/>
              <w:sz w:val="40"/>
              <w:szCs w:val="40"/>
              <w:lang w:val="en-US"/>
            </w:rPr>
            <m:t>(</m:t>
          </m:r>
          <m:r>
            <w:rPr>
              <w:rFonts w:ascii="Cambria Math" w:hAnsi="Cambria Math" w:cs="Arial"/>
              <w:sz w:val="40"/>
              <w:szCs w:val="40"/>
              <w:lang w:val="en-US"/>
            </w:rPr>
            <m:t>RMSE</m:t>
          </m:r>
          <m:r>
            <w:rPr>
              <w:rFonts w:ascii="Cambria Math" w:hAnsi="Cambria Math" w:cs="Arial"/>
              <w:sz w:val="40"/>
              <w:szCs w:val="40"/>
              <w:lang w:val="en-US"/>
            </w:rPr>
            <m:t xml:space="preserve">)= </m:t>
          </m:r>
          <m:f>
            <m:fPr>
              <m:ctrlPr>
                <w:rPr>
                  <w:rFonts w:ascii="Cambria Math" w:hAnsi="Cambria Math" w:cs="Arial"/>
                  <w:i/>
                  <w:sz w:val="40"/>
                  <w:szCs w:val="40"/>
                  <w:lang w:val="en-US"/>
                </w:rPr>
              </m:ctrlPr>
            </m:fPr>
            <m:num>
              <m:rad>
                <m:radPr>
                  <m:degHide m:val="1"/>
                  <m:ctrlPr>
                    <w:rPr>
                      <w:rFonts w:ascii="Cambria Math" w:hAnsi="Cambria Math" w:cs="Arial"/>
                      <w:i/>
                      <w:sz w:val="40"/>
                      <w:szCs w:val="40"/>
                      <w:lang w:val="en-US"/>
                    </w:rPr>
                  </m:ctrlPr>
                </m:radPr>
                <m:deg/>
                <m:e>
                  <m:f>
                    <m:fPr>
                      <m:ctrlPr>
                        <w:rPr>
                          <w:rFonts w:ascii="Cambria Math" w:hAnsi="Cambria Math" w:cs="Arial"/>
                          <w:i/>
                          <w:sz w:val="40"/>
                          <w:szCs w:val="40"/>
                          <w:lang w:val="en-US"/>
                        </w:rPr>
                      </m:ctrlPr>
                    </m:fPr>
                    <m:num>
                      <m:nary>
                        <m:naryPr>
                          <m:chr m:val="∑"/>
                          <m:limLoc m:val="subSup"/>
                          <m:ctrlPr>
                            <w:rPr>
                              <w:rFonts w:ascii="Cambria Math" w:hAnsi="Cambria Math" w:cs="Arial"/>
                              <w:i/>
                              <w:sz w:val="40"/>
                              <w:szCs w:val="40"/>
                              <w:lang w:val="en-US"/>
                            </w:rPr>
                          </m:ctrlPr>
                        </m:naryPr>
                        <m:sub>
                          <m:r>
                            <w:rPr>
                              <w:rFonts w:ascii="Cambria Math" w:hAnsi="Cambria Math" w:cs="Arial"/>
                              <w:sz w:val="40"/>
                              <w:szCs w:val="40"/>
                              <w:lang w:val="en-US"/>
                            </w:rPr>
                            <m:t>p</m:t>
                          </m:r>
                          <m:r>
                            <w:rPr>
                              <w:rFonts w:ascii="Cambria Math" w:hAnsi="Cambria Math" w:cs="Arial"/>
                              <w:sz w:val="40"/>
                              <w:szCs w:val="40"/>
                              <w:lang w:val="en-US"/>
                            </w:rPr>
                            <m:t>=1</m:t>
                          </m:r>
                        </m:sub>
                        <m:sup>
                          <m:r>
                            <w:rPr>
                              <w:rFonts w:ascii="Cambria Math" w:hAnsi="Cambria Math" w:cs="Arial"/>
                              <w:sz w:val="40"/>
                              <w:szCs w:val="40"/>
                              <w:lang w:val="en-US"/>
                            </w:rPr>
                            <m:t>P</m:t>
                          </m:r>
                        </m:sup>
                        <m:e>
                          <m:sSup>
                            <m:sSupPr>
                              <m:ctrlPr>
                                <w:rPr>
                                  <w:rFonts w:ascii="Cambria Math" w:hAnsi="Cambria Math" w:cs="Arial"/>
                                  <w:i/>
                                  <w:sz w:val="40"/>
                                  <w:szCs w:val="40"/>
                                  <w:lang w:val="en-US"/>
                                </w:rPr>
                              </m:ctrlPr>
                            </m:sSupPr>
                            <m:e>
                              <m:r>
                                <w:rPr>
                                  <w:rFonts w:ascii="Cambria Math" w:hAnsi="Cambria Math" w:cs="Arial"/>
                                  <w:sz w:val="40"/>
                                  <w:szCs w:val="40"/>
                                  <w:lang w:val="en-US"/>
                                </w:rPr>
                                <m:t>(</m:t>
                              </m:r>
                              <m:sSub>
                                <m:sSubPr>
                                  <m:ctrlPr>
                                    <w:rPr>
                                      <w:rFonts w:ascii="Cambria Math" w:hAnsi="Cambria Math" w:cs="Arial"/>
                                      <w:i/>
                                      <w:sz w:val="40"/>
                                      <w:szCs w:val="40"/>
                                      <w:lang w:val="en-US"/>
                                    </w:rPr>
                                  </m:ctrlPr>
                                </m:sSubPr>
                                <m:e>
                                  <m:r>
                                    <w:rPr>
                                      <w:rFonts w:ascii="Cambria Math" w:hAnsi="Cambria Math" w:cs="Arial"/>
                                      <w:sz w:val="40"/>
                                      <w:szCs w:val="40"/>
                                      <w:lang w:val="en-US"/>
                                    </w:rPr>
                                    <m:t>U</m:t>
                                  </m:r>
                                </m:e>
                                <m:sub>
                                  <m:r>
                                    <w:rPr>
                                      <w:rFonts w:ascii="Cambria Math" w:hAnsi="Cambria Math" w:cs="Arial"/>
                                      <w:sz w:val="40"/>
                                      <w:szCs w:val="40"/>
                                      <w:lang w:val="en-US"/>
                                    </w:rPr>
                                    <m:t>p</m:t>
                                  </m:r>
                                </m:sub>
                              </m:sSub>
                              <m:r>
                                <w:rPr>
                                  <w:rFonts w:ascii="Cambria Math" w:hAnsi="Cambria Math" w:cs="Arial"/>
                                  <w:sz w:val="40"/>
                                  <w:szCs w:val="40"/>
                                  <w:lang w:val="en-US"/>
                                </w:rPr>
                                <m:t>-</m:t>
                              </m:r>
                              <m:sSub>
                                <m:sSubPr>
                                  <m:ctrlPr>
                                    <w:rPr>
                                      <w:rFonts w:ascii="Cambria Math" w:hAnsi="Cambria Math" w:cs="Arial"/>
                                      <w:i/>
                                      <w:sz w:val="40"/>
                                      <w:szCs w:val="40"/>
                                      <w:lang w:val="en-US"/>
                                    </w:rPr>
                                  </m:ctrlPr>
                                </m:sSubPr>
                                <m:e>
                                  <m:acc>
                                    <m:accPr>
                                      <m:ctrlPr>
                                        <w:rPr>
                                          <w:rFonts w:ascii="Cambria Math" w:hAnsi="Cambria Math" w:cs="Arial"/>
                                          <w:i/>
                                          <w:sz w:val="40"/>
                                          <w:szCs w:val="40"/>
                                          <w:lang w:val="en-US"/>
                                        </w:rPr>
                                      </m:ctrlPr>
                                    </m:accPr>
                                    <m:e>
                                      <m:r>
                                        <w:rPr>
                                          <w:rFonts w:ascii="Cambria Math" w:hAnsi="Cambria Math" w:cs="Arial"/>
                                          <w:sz w:val="40"/>
                                          <w:szCs w:val="40"/>
                                          <w:lang w:val="en-US"/>
                                        </w:rPr>
                                        <m:t>U</m:t>
                                      </m:r>
                                    </m:e>
                                  </m:acc>
                                </m:e>
                                <m:sub>
                                  <m:r>
                                    <w:rPr>
                                      <w:rFonts w:ascii="Cambria Math" w:hAnsi="Cambria Math" w:cs="Arial"/>
                                      <w:sz w:val="40"/>
                                      <w:szCs w:val="40"/>
                                      <w:lang w:val="en-US"/>
                                    </w:rPr>
                                    <m:t>p</m:t>
                                  </m:r>
                                </m:sub>
                              </m:sSub>
                              <m:r>
                                <w:rPr>
                                  <w:rFonts w:ascii="Cambria Math" w:hAnsi="Cambria Math" w:cs="Arial"/>
                                  <w:sz w:val="40"/>
                                  <w:szCs w:val="40"/>
                                  <w:lang w:val="en-US"/>
                                </w:rPr>
                                <m:t>)</m:t>
                              </m:r>
                            </m:e>
                            <m:sup>
                              <m:r>
                                <w:rPr>
                                  <w:rFonts w:ascii="Cambria Math" w:hAnsi="Cambria Math" w:cs="Arial"/>
                                  <w:sz w:val="40"/>
                                  <w:szCs w:val="40"/>
                                  <w:lang w:val="en-US"/>
                                </w:rPr>
                                <m:t>2</m:t>
                              </m:r>
                            </m:sup>
                          </m:sSup>
                        </m:e>
                      </m:nary>
                    </m:num>
                    <m:den>
                      <m:r>
                        <w:rPr>
                          <w:rFonts w:ascii="Cambria Math" w:hAnsi="Cambria Math" w:cs="Arial"/>
                          <w:sz w:val="40"/>
                          <w:szCs w:val="40"/>
                          <w:lang w:val="en-US"/>
                        </w:rPr>
                        <m:t>P</m:t>
                      </m:r>
                      <m:r>
                        <w:rPr>
                          <w:rFonts w:ascii="Cambria Math" w:hAnsi="Cambria Math" w:cs="Arial"/>
                          <w:sz w:val="40"/>
                          <w:szCs w:val="40"/>
                          <w:lang w:val="en-US"/>
                        </w:rPr>
                        <m:t>-</m:t>
                      </m:r>
                      <m:r>
                        <w:rPr>
                          <w:rFonts w:ascii="Cambria Math" w:hAnsi="Cambria Math" w:cs="Arial"/>
                          <w:sz w:val="40"/>
                          <w:szCs w:val="40"/>
                          <w:lang w:val="en-US"/>
                        </w:rPr>
                        <m:t>c</m:t>
                      </m:r>
                    </m:den>
                  </m:f>
                </m:e>
              </m:rad>
            </m:num>
            <m:den>
              <m:acc>
                <m:accPr>
                  <m:chr m:val="̅"/>
                  <m:ctrlPr>
                    <w:rPr>
                      <w:rFonts w:ascii="Cambria Math" w:hAnsi="Cambria Math" w:cs="Arial"/>
                      <w:i/>
                      <w:sz w:val="40"/>
                      <w:szCs w:val="40"/>
                      <w:lang w:val="en-US"/>
                    </w:rPr>
                  </m:ctrlPr>
                </m:accPr>
                <m:e>
                  <m:r>
                    <w:rPr>
                      <w:rFonts w:ascii="Cambria Math" w:hAnsi="Cambria Math" w:cs="Arial"/>
                      <w:sz w:val="40"/>
                      <w:szCs w:val="40"/>
                      <w:lang w:val="en-US"/>
                    </w:rPr>
                    <m:t>U</m:t>
                  </m:r>
                </m:e>
              </m:acc>
            </m:den>
          </m:f>
        </m:oMath>
      </m:oMathPara>
    </w:p>
    <w:p w14:paraId="362DAE19" w14:textId="77777777" w:rsidR="00612C27" w:rsidRPr="00733B79" w:rsidRDefault="00612C27" w:rsidP="00612C27">
      <w:pPr>
        <w:pStyle w:val="CRNormalBody"/>
        <w:spacing w:line="240" w:lineRule="auto"/>
        <w:rPr>
          <w:rFonts w:cs="Arial"/>
        </w:rPr>
      </w:pPr>
      <w:r w:rsidRPr="00733B79">
        <w:rPr>
          <w:rFonts w:cs="Arial"/>
        </w:rPr>
        <w:t>Where:</w:t>
      </w:r>
    </w:p>
    <w:p w14:paraId="117CD285" w14:textId="77777777" w:rsidR="00612C27" w:rsidRPr="00733B79" w:rsidRDefault="00954AFE" w:rsidP="00612C27">
      <w:pPr>
        <w:pStyle w:val="CRNormalBody"/>
        <w:spacing w:before="0" w:after="0" w:line="240" w:lineRule="auto"/>
        <w:rPr>
          <w:rFonts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p</m:t>
            </m:r>
          </m:sub>
        </m:sSub>
        <m:r>
          <w:rPr>
            <w:rFonts w:ascii="Cambria Math" w:hAnsi="Cambria Math" w:cs="Arial"/>
          </w:rPr>
          <m:t xml:space="preserve"> </m:t>
        </m:r>
      </m:oMath>
      <w:r w:rsidR="00612C27" w:rsidRPr="00733B79">
        <w:rPr>
          <w:rFonts w:cs="Arial"/>
        </w:rPr>
        <w:t>is the total energy use during period P.</w:t>
      </w:r>
    </w:p>
    <w:p w14:paraId="7CA4FF32" w14:textId="77777777" w:rsidR="00612C27" w:rsidRPr="00733B79" w:rsidRDefault="00954AFE" w:rsidP="00612C27">
      <w:pPr>
        <w:pStyle w:val="CRNormalBody"/>
        <w:spacing w:before="0" w:after="0" w:line="240" w:lineRule="auto"/>
        <w:rPr>
          <w:rFonts w:cs="Arial"/>
        </w:rPr>
      </w:pPr>
      <m:oMath>
        <m:acc>
          <m:accPr>
            <m:ctrlPr>
              <w:rPr>
                <w:rFonts w:ascii="Cambria Math" w:hAnsi="Cambria Math" w:cs="Arial"/>
                <w:i/>
              </w:rPr>
            </m:ctrlPr>
          </m:accPr>
          <m:e>
            <m:r>
              <w:rPr>
                <w:rFonts w:ascii="Cambria Math" w:hAnsi="Cambria Math" w:cs="Arial"/>
              </w:rPr>
              <m:t>U</m:t>
            </m:r>
          </m:e>
        </m:acc>
      </m:oMath>
      <w:r w:rsidR="00612C27" w:rsidRPr="00733B79">
        <w:rPr>
          <w:rFonts w:cs="Arial"/>
        </w:rPr>
        <w:t xml:space="preserve"> is the predicted energy use during period p.</w:t>
      </w:r>
    </w:p>
    <w:p w14:paraId="60DF1AEC" w14:textId="77777777" w:rsidR="00612C27" w:rsidRPr="00733B79" w:rsidRDefault="00954AFE" w:rsidP="00612C27">
      <w:pPr>
        <w:pStyle w:val="CRNormalBody"/>
        <w:spacing w:before="0" w:after="0" w:line="240" w:lineRule="auto"/>
        <w:rPr>
          <w:rFonts w:cs="Arial"/>
        </w:rPr>
      </w:pPr>
      <m:oMath>
        <m:acc>
          <m:accPr>
            <m:chr m:val="̅"/>
            <m:ctrlPr>
              <w:rPr>
                <w:rFonts w:ascii="Cambria Math" w:hAnsi="Cambria Math" w:cs="Arial"/>
                <w:i/>
              </w:rPr>
            </m:ctrlPr>
          </m:accPr>
          <m:e>
            <m:r>
              <w:rPr>
                <w:rFonts w:ascii="Cambria Math" w:hAnsi="Cambria Math" w:cs="Arial"/>
              </w:rPr>
              <m:t>U</m:t>
            </m:r>
          </m:e>
        </m:acc>
      </m:oMath>
      <w:r w:rsidR="00612C27" w:rsidRPr="00733B79">
        <w:rPr>
          <w:rFonts w:cs="Arial"/>
          <w:lang w:val="en-US"/>
        </w:rPr>
        <w:t xml:space="preserve"> is the mean energy use during the baseline period.</w:t>
      </w:r>
    </w:p>
    <w:p w14:paraId="6A18B004" w14:textId="77777777" w:rsidR="00612C27" w:rsidRPr="00733B79" w:rsidRDefault="00612C27" w:rsidP="00612C27">
      <w:pPr>
        <w:pStyle w:val="CRNormalBody"/>
        <w:spacing w:before="0" w:after="0" w:line="240" w:lineRule="auto"/>
        <w:rPr>
          <w:rFonts w:cs="Arial"/>
        </w:rPr>
      </w:pPr>
      <m:oMath>
        <m:r>
          <w:rPr>
            <w:rFonts w:ascii="Cambria Math" w:hAnsi="Cambria Math" w:cs="Arial"/>
          </w:rPr>
          <m:t>P</m:t>
        </m:r>
      </m:oMath>
      <w:r w:rsidRPr="00733B79">
        <w:rPr>
          <w:rFonts w:cs="Arial"/>
        </w:rPr>
        <w:t xml:space="preserve"> is the total number of periods.</w:t>
      </w:r>
    </w:p>
    <w:p w14:paraId="502572F4" w14:textId="77777777" w:rsidR="00612C27" w:rsidRPr="00733B79" w:rsidRDefault="00612C27" w:rsidP="00612C27">
      <w:pPr>
        <w:pStyle w:val="CRNormalBody"/>
        <w:spacing w:before="0" w:after="0" w:line="240" w:lineRule="auto"/>
        <w:rPr>
          <w:rFonts w:cs="Arial"/>
        </w:rPr>
      </w:pPr>
      <m:oMath>
        <m:r>
          <w:rPr>
            <w:rFonts w:ascii="Cambria Math" w:hAnsi="Cambria Math" w:cs="Arial"/>
          </w:rPr>
          <m:t>c</m:t>
        </m:r>
      </m:oMath>
      <w:r w:rsidRPr="00733B79">
        <w:rPr>
          <w:rFonts w:cs="Arial"/>
        </w:rPr>
        <w:t xml:space="preserve"> is the number of explanatory variables in the model.</w:t>
      </w:r>
    </w:p>
    <w:p w14:paraId="47B7CAE4" w14:textId="77777777" w:rsidR="00612C27" w:rsidRPr="00733B79" w:rsidRDefault="00612C27" w:rsidP="00612C27">
      <w:pPr>
        <w:pStyle w:val="CRNormalBody"/>
        <w:spacing w:before="0" w:after="0" w:line="240" w:lineRule="auto"/>
        <w:rPr>
          <w:rFonts w:cs="Arial"/>
        </w:rPr>
      </w:pPr>
    </w:p>
    <w:p w14:paraId="70EF54E8" w14:textId="77777777" w:rsidR="00612C27" w:rsidRPr="00733B79" w:rsidRDefault="00612C27" w:rsidP="00612C27">
      <w:pPr>
        <w:pStyle w:val="Heading3"/>
        <w:rPr>
          <w:rFonts w:eastAsia="Calibri" w:cs="Arial"/>
        </w:rPr>
      </w:pPr>
      <w:bookmarkStart w:id="71" w:name="_Toc162606042"/>
      <w:bookmarkStart w:id="72" w:name="_Toc173831605"/>
      <w:r w:rsidRPr="00733B79">
        <w:rPr>
          <w:rFonts w:eastAsia="Calibri" w:cs="Arial"/>
        </w:rPr>
        <w:t>Interval Data and Temperature Data Baselines and Coverage</w:t>
      </w:r>
      <w:bookmarkEnd w:id="71"/>
      <w:bookmarkEnd w:id="72"/>
    </w:p>
    <w:p w14:paraId="28993E72" w14:textId="77777777" w:rsidR="00612C27" w:rsidRPr="00733B79" w:rsidRDefault="00612C27" w:rsidP="00612C27"/>
    <w:p w14:paraId="19FD6020" w14:textId="1C9498D5" w:rsidR="00612C27" w:rsidRPr="00733B79" w:rsidRDefault="000261AD" w:rsidP="00612C27">
      <w:r w:rsidRPr="00733B79">
        <w:t xml:space="preserve">MSSR relies on </w:t>
      </w:r>
      <w:proofErr w:type="spellStart"/>
      <w:r w:rsidR="00612C27" w:rsidRPr="00733B79">
        <w:t>CalTRACK</w:t>
      </w:r>
      <w:proofErr w:type="spellEnd"/>
      <w:r w:rsidR="00612C27" w:rsidRPr="00733B79">
        <w:t xml:space="preserve"> Methods </w:t>
      </w:r>
      <w:r w:rsidR="00B34FD8" w:rsidRPr="00733B79">
        <w:t xml:space="preserve">for interval data and temperature baselines and coverage requirements. </w:t>
      </w:r>
      <w:r w:rsidR="004820F4" w:rsidRPr="00733B79">
        <w:t>The</w:t>
      </w:r>
      <w:r w:rsidR="00612C27" w:rsidRPr="00733B79">
        <w:t xml:space="preserve"> </w:t>
      </w:r>
      <w:proofErr w:type="spellStart"/>
      <w:r w:rsidR="00612C27" w:rsidRPr="00733B79">
        <w:t>CalTRACK</w:t>
      </w:r>
      <w:proofErr w:type="spellEnd"/>
      <w:r w:rsidR="00612C27" w:rsidRPr="00733B79">
        <w:t xml:space="preserve"> Methods Technical Appendix, “the baseline period for hourly methods is not set according to a particular time period – one year, for example – but is instead defined as sufficient when the full range of independent variables are observed. This is referred </w:t>
      </w:r>
      <w:r w:rsidR="00612C27" w:rsidRPr="00733B79">
        <w:lastRenderedPageBreak/>
        <w:t>to as “data coverage” in Hourly Methods Documentation.”</w:t>
      </w:r>
      <w:r w:rsidR="00612C27" w:rsidRPr="00733B79">
        <w:rPr>
          <w:rStyle w:val="FootnoteReference"/>
        </w:rPr>
        <w:footnoteReference w:id="8"/>
      </w:r>
      <w:r w:rsidR="00612C27" w:rsidRPr="00733B79">
        <w:t xml:space="preserve"> For fitting baseline models using hourly methods, consumption data must be available for over 90% of hours for every month for both the baseline and intervention periods. The number of days in the 365-day baseline period with data missing (zero / null readings) should not exceed 37 days (10%).</w:t>
      </w:r>
      <w:r w:rsidR="00612C27" w:rsidRPr="00733B79">
        <w:rPr>
          <w:rStyle w:val="FootnoteReference"/>
        </w:rPr>
        <w:footnoteReference w:id="9"/>
      </w:r>
    </w:p>
    <w:p w14:paraId="285D74C2" w14:textId="77777777" w:rsidR="00612C27" w:rsidRPr="00733B79" w:rsidRDefault="00612C27" w:rsidP="00612C27"/>
    <w:p w14:paraId="2454F4BE" w14:textId="77777777" w:rsidR="00612C27" w:rsidRDefault="00612C27" w:rsidP="00612C27">
      <w:r w:rsidRPr="00733B79">
        <w:t>For fitting baseline models using hourly methods, temperature data may not be missing for more than six consecutive hours.</w:t>
      </w:r>
      <w:r w:rsidRPr="00733B79">
        <w:rPr>
          <w:rStyle w:val="FootnoteReference"/>
        </w:rPr>
        <w:footnoteReference w:id="10"/>
      </w:r>
    </w:p>
    <w:p w14:paraId="09959C02" w14:textId="77777777" w:rsidR="00995391" w:rsidRDefault="00995391" w:rsidP="00612C27"/>
    <w:p w14:paraId="433B5B67" w14:textId="77777777" w:rsidR="00995391" w:rsidRPr="009C7B6D" w:rsidRDefault="00995391" w:rsidP="009C7B6D">
      <w:pPr>
        <w:pStyle w:val="Heading4"/>
      </w:pPr>
      <w:r w:rsidRPr="009C7B6D">
        <w:rPr>
          <w:rFonts w:cs="Arial"/>
        </w:rPr>
        <w:t>Interpolation of Missing Data</w:t>
      </w:r>
    </w:p>
    <w:p w14:paraId="572E52A3" w14:textId="0BB7F188" w:rsidR="00995391" w:rsidRPr="00733B79" w:rsidRDefault="00995391" w:rsidP="00995391">
      <w:r w:rsidRPr="00733B79">
        <w:t>When recording interval data, the meter will infrequently return a null value for a single or multiple intervals due to the temperature or observed meter read being missing. The average percentage of null values for a given meter tends to be around 2-3%, which can be impactful to savings calculations and payment claims. As a result, MSSR will use the following methods to interpolate missing data.</w:t>
      </w:r>
    </w:p>
    <w:p w14:paraId="54FD8CE5" w14:textId="77777777" w:rsidR="00995391" w:rsidRPr="00733B79" w:rsidRDefault="00995391" w:rsidP="00995391"/>
    <w:p w14:paraId="1E1305AF" w14:textId="77777777" w:rsidR="00995391" w:rsidRPr="00733B79" w:rsidRDefault="00995391" w:rsidP="00995391">
      <w:pPr>
        <w:pStyle w:val="ListParagraph"/>
        <w:numPr>
          <w:ilvl w:val="0"/>
          <w:numId w:val="35"/>
        </w:numPr>
        <w:autoSpaceDE/>
        <w:autoSpaceDN/>
        <w:adjustRightInd/>
      </w:pPr>
      <w:r w:rsidRPr="00733B79">
        <w:rPr>
          <w:b/>
          <w:bCs/>
        </w:rPr>
        <w:t>Missing Temperature Data</w:t>
      </w:r>
      <w:r w:rsidRPr="00733B79">
        <w:t xml:space="preserve"> -- Missing temperature values will be filled in with the average of the adjacent non-missing values, where for each missing value, one non-missing value before and after the missing value date will be averaged to fill in the missing value.  For example, if two consecutive hours are missing, then two hours before and two hours after the missing period will be averaged to fill in the two missing hours. When there are more than six consecutive hours of missing temperature data, the missing temperature data will not be filled in, and will be considered null. </w:t>
      </w:r>
    </w:p>
    <w:p w14:paraId="5ACDD1E8" w14:textId="77777777" w:rsidR="00995391" w:rsidRPr="00733B79" w:rsidRDefault="00995391" w:rsidP="00995391"/>
    <w:p w14:paraId="24FA8820" w14:textId="21400E11" w:rsidR="00995391" w:rsidRPr="00733B79" w:rsidRDefault="00995391" w:rsidP="00995391">
      <w:pPr>
        <w:pStyle w:val="ListParagraph"/>
        <w:numPr>
          <w:ilvl w:val="0"/>
          <w:numId w:val="35"/>
        </w:numPr>
        <w:autoSpaceDE/>
        <w:autoSpaceDN/>
        <w:adjustRightInd/>
      </w:pPr>
      <w:r w:rsidRPr="00733B79">
        <w:rPr>
          <w:b/>
          <w:bCs/>
        </w:rPr>
        <w:t>Counterfactual Usage --</w:t>
      </w:r>
      <w:r w:rsidRPr="00733B79">
        <w:t xml:space="preserve"> If temperature data is missing and unable to be interpolated, then counterfactual usage for those hours will not be calculated</w:t>
      </w:r>
      <w:r w:rsidR="003F439C">
        <w:t xml:space="preserve"> or</w:t>
      </w:r>
      <w:r w:rsidRPr="00733B79">
        <w:t xml:space="preserve"> interpolated. </w:t>
      </w:r>
    </w:p>
    <w:p w14:paraId="3A44FB1B" w14:textId="77777777" w:rsidR="00995391" w:rsidRPr="00733B79" w:rsidRDefault="00995391" w:rsidP="00995391"/>
    <w:p w14:paraId="03621F97" w14:textId="316853DB" w:rsidR="00995391" w:rsidRDefault="00995391" w:rsidP="00995391">
      <w:pPr>
        <w:pStyle w:val="ListParagraph"/>
        <w:numPr>
          <w:ilvl w:val="0"/>
          <w:numId w:val="35"/>
        </w:numPr>
        <w:autoSpaceDE/>
        <w:autoSpaceDN/>
        <w:adjustRightInd/>
      </w:pPr>
      <w:r w:rsidRPr="00733B79">
        <w:rPr>
          <w:b/>
          <w:bCs/>
        </w:rPr>
        <w:t>Meter Data --</w:t>
      </w:r>
      <w:r w:rsidRPr="00733B79">
        <w:t xml:space="preserve"> Avoided energy use is not calculated for hours when consumption data is missing. Meter data will not be interpolated. If performance meter data sufficiency degrades and does not meet the data sufficiency requirements (&gt;90% values per month), AESC reserves the right to apply the Assigned Savings method to the missing data period or the entire M&amp;V period.</w:t>
      </w:r>
    </w:p>
    <w:p w14:paraId="4DFD795D" w14:textId="77777777" w:rsidR="00DF1934" w:rsidRDefault="00DF1934" w:rsidP="009C7B6D">
      <w:pPr>
        <w:pStyle w:val="ListParagraph"/>
      </w:pPr>
    </w:p>
    <w:p w14:paraId="44F84D8C" w14:textId="77777777" w:rsidR="00DF1934" w:rsidRPr="00733B79" w:rsidRDefault="00DF1934" w:rsidP="009C7B6D">
      <w:pPr>
        <w:pStyle w:val="Heading3"/>
      </w:pPr>
      <w:bookmarkStart w:id="73" w:name="_Toc173831606"/>
      <w:r w:rsidRPr="00733B79">
        <w:t>Minimum Number of Projects Required for a MSSR Portfolio</w:t>
      </w:r>
      <w:bookmarkEnd w:id="73"/>
    </w:p>
    <w:p w14:paraId="04C3C7B5" w14:textId="77777777" w:rsidR="00DF1934" w:rsidRPr="00733B79" w:rsidRDefault="00DF1934" w:rsidP="00DF1934">
      <w:pPr>
        <w:pStyle w:val="CRNormalBody"/>
        <w:spacing w:before="0" w:after="0" w:line="240" w:lineRule="auto"/>
        <w:rPr>
          <w:rFonts w:cs="Arial"/>
          <w:sz w:val="22"/>
          <w:szCs w:val="22"/>
        </w:rPr>
      </w:pPr>
    </w:p>
    <w:p w14:paraId="35FC9B8E" w14:textId="3350F51B" w:rsidR="00995391" w:rsidRPr="00733B79" w:rsidRDefault="00DF1934" w:rsidP="009C7B6D">
      <w:pPr>
        <w:autoSpaceDE/>
        <w:autoSpaceDN/>
        <w:adjustRightInd/>
      </w:pPr>
      <w:r w:rsidRPr="00733B79">
        <w:t>A key assumption of the Population-Level NMEC methodology is that when a sufficient number of projects are installed, any errors associated with measuring savings at the site level are offset by the aggregation of the population across all sites in a portfolio. Aggregation in turn leads to reduced measurement uncertainty, as population size is a key driver of uncertainty.</w:t>
      </w:r>
      <w:r w:rsidRPr="00733B79">
        <w:rPr>
          <w:rStyle w:val="FootnoteReference"/>
        </w:rPr>
        <w:footnoteReference w:id="11"/>
      </w:r>
      <w:r w:rsidRPr="00733B79">
        <w:t xml:space="preserve"> The NMEC Rulebook does not establish a minimum number of projects required to constitute a portfolio and </w:t>
      </w:r>
      <w:r w:rsidR="008A6F71">
        <w:t>MSSR does</w:t>
      </w:r>
      <w:r w:rsidRPr="00733B79">
        <w:t xml:space="preserve"> not</w:t>
      </w:r>
      <w:r w:rsidR="008A6F71">
        <w:t xml:space="preserve"> have</w:t>
      </w:r>
      <w:r w:rsidRPr="00733B79">
        <w:t xml:space="preserve"> a</w:t>
      </w:r>
      <w:r w:rsidR="008A6F71">
        <w:t xml:space="preserve"> set</w:t>
      </w:r>
      <w:r w:rsidRPr="00733B79">
        <w:t xml:space="preserve"> minimum number of projects to be included in a portfolio.</w:t>
      </w:r>
      <w:r w:rsidR="0063235A">
        <w:t xml:space="preserve"> </w:t>
      </w:r>
    </w:p>
    <w:p w14:paraId="6A3DF4B0" w14:textId="77777777" w:rsidR="00612C27" w:rsidRPr="00733B79" w:rsidRDefault="00612C27" w:rsidP="00612C27"/>
    <w:p w14:paraId="65E0F1B5" w14:textId="77777777" w:rsidR="00612C27" w:rsidRPr="00733B79" w:rsidRDefault="00612C27" w:rsidP="00612C27">
      <w:pPr>
        <w:pStyle w:val="Heading3"/>
        <w:rPr>
          <w:rFonts w:eastAsia="Calibri" w:cs="Arial"/>
        </w:rPr>
      </w:pPr>
      <w:bookmarkStart w:id="74" w:name="_Toc162606043"/>
      <w:bookmarkStart w:id="75" w:name="_Toc173831607"/>
      <w:r w:rsidRPr="00733B79">
        <w:rPr>
          <w:rFonts w:eastAsia="Calibri" w:cs="Arial"/>
        </w:rPr>
        <w:lastRenderedPageBreak/>
        <w:t>Fractional Savings Uncertainty (FSU)</w:t>
      </w:r>
      <w:bookmarkEnd w:id="74"/>
      <w:bookmarkEnd w:id="75"/>
    </w:p>
    <w:p w14:paraId="01A58A91" w14:textId="77777777" w:rsidR="00612C27" w:rsidRPr="00733B79" w:rsidRDefault="00612C27" w:rsidP="00612C27">
      <w:pPr>
        <w:pStyle w:val="CRNormalBody"/>
        <w:spacing w:before="0" w:after="0" w:line="240" w:lineRule="auto"/>
        <w:rPr>
          <w:rFonts w:cs="Arial"/>
          <w:sz w:val="22"/>
          <w:szCs w:val="22"/>
        </w:rPr>
      </w:pPr>
    </w:p>
    <w:p w14:paraId="46C1A009" w14:textId="77777777" w:rsidR="00612C27" w:rsidRPr="00733B79" w:rsidRDefault="00612C27" w:rsidP="00612C27">
      <w:pPr>
        <w:pStyle w:val="CRNormalBody"/>
        <w:spacing w:before="0" w:after="0" w:line="240" w:lineRule="auto"/>
        <w:rPr>
          <w:rFonts w:cs="Arial"/>
          <w:sz w:val="22"/>
          <w:szCs w:val="22"/>
        </w:rPr>
      </w:pPr>
      <w:r w:rsidRPr="00733B79">
        <w:rPr>
          <w:rFonts w:cs="Arial"/>
          <w:sz w:val="22"/>
          <w:szCs w:val="22"/>
        </w:rPr>
        <w:t>Fractional Savings Uncertainty (FSU) is an error metric that can be used to express the uncertainty of a project’s savings estimate on a relative basis. FSU also can be used to express a portfolio’s (aggregated) savings estimate, that is based on the statistics from the projects’ energy models that produce it. Portfolio savings uncertainty as expressed by FSU diminishes as the number of projects included in a program increases and the average project energy savings (as a percentage of premise energy use) increases.</w:t>
      </w:r>
    </w:p>
    <w:p w14:paraId="0D255E6D" w14:textId="77777777" w:rsidR="00612C27" w:rsidRPr="00733B79" w:rsidRDefault="00612C27" w:rsidP="00612C27">
      <w:pPr>
        <w:pStyle w:val="CRNormalBody"/>
        <w:spacing w:before="0" w:after="0" w:line="240" w:lineRule="auto"/>
        <w:rPr>
          <w:rFonts w:cs="Arial"/>
          <w:sz w:val="22"/>
          <w:szCs w:val="22"/>
        </w:rPr>
      </w:pPr>
    </w:p>
    <w:p w14:paraId="6DA442C7" w14:textId="38F638DD" w:rsidR="00612C27" w:rsidRPr="00733B79" w:rsidRDefault="00612C27" w:rsidP="00612C27">
      <w:pPr>
        <w:pStyle w:val="CRNormalBody"/>
        <w:spacing w:before="0" w:after="0" w:line="240" w:lineRule="auto"/>
        <w:rPr>
          <w:rFonts w:cs="Arial"/>
          <w:sz w:val="22"/>
          <w:szCs w:val="22"/>
        </w:rPr>
      </w:pPr>
      <w:r w:rsidRPr="00733B79">
        <w:rPr>
          <w:rFonts w:cs="Arial"/>
          <w:sz w:val="22"/>
          <w:szCs w:val="22"/>
        </w:rPr>
        <w:t xml:space="preserve">Ideally, </w:t>
      </w:r>
      <w:r w:rsidR="00D52C7A" w:rsidRPr="00733B79">
        <w:rPr>
          <w:rFonts w:cs="Arial"/>
          <w:sz w:val="22"/>
          <w:szCs w:val="22"/>
        </w:rPr>
        <w:t>MSSR</w:t>
      </w:r>
      <w:r w:rsidRPr="00733B79">
        <w:rPr>
          <w:rFonts w:cs="Arial"/>
          <w:sz w:val="22"/>
          <w:szCs w:val="22"/>
        </w:rPr>
        <w:t xml:space="preserve"> Aggregators will target </w:t>
      </w:r>
      <w:r w:rsidR="008E21F0">
        <w:rPr>
          <w:rFonts w:cs="Arial"/>
          <w:sz w:val="22"/>
          <w:szCs w:val="22"/>
        </w:rPr>
        <w:t>projects</w:t>
      </w:r>
      <w:r w:rsidRPr="00733B79">
        <w:rPr>
          <w:rFonts w:cs="Arial"/>
          <w:sz w:val="22"/>
          <w:szCs w:val="22"/>
        </w:rPr>
        <w:t xml:space="preserve"> with </w:t>
      </w:r>
      <w:r w:rsidR="00592E42">
        <w:rPr>
          <w:rFonts w:cs="Arial"/>
          <w:sz w:val="22"/>
          <w:szCs w:val="22"/>
        </w:rPr>
        <w:t>a</w:t>
      </w:r>
      <w:r w:rsidRPr="00733B79">
        <w:rPr>
          <w:rFonts w:cs="Arial"/>
          <w:sz w:val="22"/>
          <w:szCs w:val="22"/>
        </w:rPr>
        <w:t xml:space="preserve"> forecasted savings potential of 10% or more by including a diverse range of energy efficiency measures that include lighting, HVAC, water heating, refrigeration, and building envelope measures. A greater range of EE measures, and measures that result in deeper savings, typically represent greater financial commitments on the part of </w:t>
      </w:r>
      <w:r w:rsidR="00623847">
        <w:rPr>
          <w:rFonts w:cs="Arial"/>
          <w:sz w:val="22"/>
          <w:szCs w:val="22"/>
        </w:rPr>
        <w:t>C</w:t>
      </w:r>
      <w:r w:rsidRPr="00733B79">
        <w:rPr>
          <w:rFonts w:cs="Arial"/>
          <w:sz w:val="22"/>
          <w:szCs w:val="22"/>
        </w:rPr>
        <w:t xml:space="preserve">ustomers, longer sales cycles, and a lower percentage of completed engagements. To mitigate risk, </w:t>
      </w:r>
      <w:r w:rsidR="004820F4" w:rsidRPr="00733B79">
        <w:rPr>
          <w:rFonts w:cs="Arial"/>
          <w:sz w:val="22"/>
          <w:szCs w:val="22"/>
        </w:rPr>
        <w:t xml:space="preserve">the </w:t>
      </w:r>
      <w:r w:rsidR="00623847">
        <w:rPr>
          <w:rFonts w:cs="Arial"/>
          <w:sz w:val="22"/>
          <w:szCs w:val="22"/>
        </w:rPr>
        <w:t>AESC</w:t>
      </w:r>
      <w:r w:rsidR="00005065">
        <w:rPr>
          <w:rFonts w:cs="Arial"/>
          <w:sz w:val="22"/>
          <w:szCs w:val="22"/>
        </w:rPr>
        <w:t xml:space="preserve"> Tean</w:t>
      </w:r>
      <w:r w:rsidR="00623847">
        <w:rPr>
          <w:rFonts w:cs="Arial"/>
          <w:sz w:val="22"/>
          <w:szCs w:val="22"/>
        </w:rPr>
        <w:t xml:space="preserve"> will</w:t>
      </w:r>
      <w:r w:rsidRPr="00733B79">
        <w:rPr>
          <w:rFonts w:cs="Arial"/>
          <w:sz w:val="22"/>
          <w:szCs w:val="22"/>
        </w:rPr>
        <w:t xml:space="preserve"> scrutinize early projects proposed by Aggregators and evaluate the reasonableness of savings projections.</w:t>
      </w:r>
    </w:p>
    <w:p w14:paraId="51A2BB90" w14:textId="77777777" w:rsidR="00612C27" w:rsidRPr="00733B79" w:rsidRDefault="00612C27" w:rsidP="00612C27">
      <w:pPr>
        <w:pStyle w:val="CRNormalBody"/>
        <w:spacing w:before="0" w:after="0" w:line="240" w:lineRule="auto"/>
        <w:rPr>
          <w:rFonts w:cs="Arial"/>
          <w:sz w:val="22"/>
          <w:szCs w:val="22"/>
        </w:rPr>
      </w:pPr>
    </w:p>
    <w:p w14:paraId="6A064786" w14:textId="005162C4" w:rsidR="005F7F11" w:rsidRPr="009C7B6D" w:rsidRDefault="005F7F11" w:rsidP="009C7B6D">
      <w:pPr>
        <w:pStyle w:val="Heading4"/>
      </w:pPr>
      <w:r w:rsidRPr="009C7B6D">
        <w:rPr>
          <w:rFonts w:cs="Arial"/>
        </w:rPr>
        <w:t>Population-Level NMEC</w:t>
      </w:r>
    </w:p>
    <w:p w14:paraId="533B442B" w14:textId="5FADF838" w:rsidR="00612C27" w:rsidRPr="00733B79" w:rsidRDefault="00D52C7A" w:rsidP="2AC8AE5A">
      <w:pPr>
        <w:pStyle w:val="CRNormalBody"/>
        <w:spacing w:before="0" w:after="0" w:line="240" w:lineRule="auto"/>
        <w:rPr>
          <w:rFonts w:cs="Arial"/>
          <w:sz w:val="22"/>
          <w:szCs w:val="22"/>
          <w:lang w:val="en-US"/>
        </w:rPr>
      </w:pPr>
      <w:r w:rsidRPr="2AC8AE5A">
        <w:rPr>
          <w:rFonts w:cs="Arial"/>
          <w:sz w:val="22"/>
          <w:szCs w:val="22"/>
          <w:lang w:val="en-US"/>
        </w:rPr>
        <w:t>MSSR</w:t>
      </w:r>
      <w:r w:rsidR="00612C27" w:rsidRPr="2AC8AE5A">
        <w:rPr>
          <w:rFonts w:cs="Arial"/>
          <w:sz w:val="22"/>
          <w:szCs w:val="22"/>
          <w:lang w:val="en-US"/>
        </w:rPr>
        <w:t xml:space="preserve"> portfolio should be designed to meet the Fractional Savings Uncertainty (FSU) criteria established for the Population NMEC methodology established by ASHRAE Guideline 14 that is cited in the NMEC Rulebook of at least 90% confidence / 25% range.</w:t>
      </w:r>
      <w:r w:rsidR="00612C27" w:rsidRPr="2AC8AE5A">
        <w:rPr>
          <w:rStyle w:val="FootnoteReference"/>
          <w:rFonts w:eastAsia="Calibri" w:cs="Arial"/>
          <w:sz w:val="22"/>
          <w:szCs w:val="22"/>
          <w:lang w:val="en-US"/>
        </w:rPr>
        <w:footnoteReference w:id="12"/>
      </w:r>
      <w:r w:rsidR="00612C27" w:rsidRPr="2AC8AE5A">
        <w:rPr>
          <w:rFonts w:cs="Arial"/>
          <w:sz w:val="22"/>
          <w:szCs w:val="22"/>
          <w:lang w:val="en-US"/>
        </w:rPr>
        <w:t xml:space="preserve"> </w:t>
      </w:r>
    </w:p>
    <w:p w14:paraId="67FD08FA" w14:textId="1855A1C8" w:rsidR="00E52D4A" w:rsidRPr="009C7B6D" w:rsidRDefault="00E52D4A" w:rsidP="009C7B6D">
      <w:pPr>
        <w:pStyle w:val="Heading4"/>
        <w:rPr>
          <w:rFonts w:cs="Arial"/>
        </w:rPr>
      </w:pPr>
      <w:r w:rsidRPr="009C7B6D">
        <w:rPr>
          <w:rFonts w:cs="Arial"/>
        </w:rPr>
        <w:t xml:space="preserve">Site-Level NMEC </w:t>
      </w:r>
    </w:p>
    <w:p w14:paraId="6D5EB9D2" w14:textId="301864CC" w:rsidR="00E52D4A" w:rsidRDefault="00E52D4A" w:rsidP="00612C27">
      <w:pPr>
        <w:spacing w:after="160" w:line="259" w:lineRule="auto"/>
      </w:pPr>
      <w:r w:rsidRPr="00E52D4A">
        <w:t>Site-level projects will be screened to ensure projects have sufficient baseline model fit and meet the requirements of the PG&amp;E M&amp;V Requirements for Site-Level NMEC</w:t>
      </w:r>
      <w:r w:rsidR="006B5E77">
        <w:rPr>
          <w:rStyle w:val="FootnoteReference"/>
        </w:rPr>
        <w:footnoteReference w:id="13"/>
      </w:r>
      <w:r w:rsidRPr="00E52D4A">
        <w:t xml:space="preserve">. A cost effectiveness screening will also help determine project eligibility. Savings will be distinguishable from normal variations in consumption because projects will be required to meet CV(RMSE) of less than 0.25 and an FSU that is less than 50% at 90% confidence.  </w:t>
      </w:r>
    </w:p>
    <w:p w14:paraId="20119AAA" w14:textId="77777777" w:rsidR="00E52D4A" w:rsidRPr="00733B79" w:rsidRDefault="00E52D4A" w:rsidP="00612C27">
      <w:pPr>
        <w:spacing w:after="160" w:line="259" w:lineRule="auto"/>
        <w:rPr>
          <w:rFonts w:eastAsiaTheme="minorHAnsi"/>
        </w:rPr>
      </w:pPr>
    </w:p>
    <w:p w14:paraId="27328A31" w14:textId="77777777" w:rsidR="00612C27" w:rsidRPr="00733B79" w:rsidRDefault="00612C27" w:rsidP="00612C27">
      <w:pPr>
        <w:pStyle w:val="CRNormalBody"/>
        <w:spacing w:before="0" w:after="0" w:line="240" w:lineRule="auto"/>
        <w:rPr>
          <w:rFonts w:cs="Arial"/>
          <w:sz w:val="22"/>
          <w:szCs w:val="22"/>
        </w:rPr>
      </w:pPr>
      <w:r w:rsidRPr="00733B79">
        <w:rPr>
          <w:rFonts w:cs="Arial"/>
          <w:sz w:val="22"/>
          <w:szCs w:val="22"/>
        </w:rPr>
        <w:t xml:space="preserve">FSU at an individual site level is defined by the following equation: </w:t>
      </w:r>
    </w:p>
    <w:p w14:paraId="58EC5117" w14:textId="77777777" w:rsidR="00612C27" w:rsidRPr="00733B79" w:rsidRDefault="00612C27" w:rsidP="00612C27">
      <w:pPr>
        <w:pStyle w:val="CRNormalBody"/>
        <w:spacing w:before="0" w:after="0" w:line="240" w:lineRule="auto"/>
        <w:rPr>
          <w:rFonts w:cs="Arial"/>
          <w:sz w:val="22"/>
          <w:szCs w:val="22"/>
        </w:rPr>
      </w:pPr>
    </w:p>
    <w:p w14:paraId="7CEFD0A5" w14:textId="77777777" w:rsidR="00612C27" w:rsidRPr="00733B79" w:rsidRDefault="00612C27" w:rsidP="00612C27">
      <w:pPr>
        <w:pStyle w:val="CRNormalBody"/>
        <w:spacing w:before="0" w:after="0" w:line="240" w:lineRule="auto"/>
        <w:rPr>
          <w:rFonts w:cs="Arial"/>
          <w:lang w:val="en-US"/>
        </w:rPr>
      </w:pPr>
      <w:r w:rsidRPr="00733B79">
        <w:rPr>
          <w:rFonts w:cs="Arial"/>
          <w:noProof/>
        </w:rPr>
        <w:drawing>
          <wp:inline distT="114300" distB="114300" distL="114300" distR="114300" wp14:anchorId="7DFD3617" wp14:editId="76110E62">
            <wp:extent cx="5943600" cy="698500"/>
            <wp:effectExtent l="0" t="0" r="0" b="6350"/>
            <wp:docPr id="1412" name="Picture 141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698500"/>
                    </a:xfrm>
                    <a:prstGeom prst="rect">
                      <a:avLst/>
                    </a:prstGeom>
                    <a:ln/>
                  </pic:spPr>
                </pic:pic>
              </a:graphicData>
            </a:graphic>
          </wp:inline>
        </w:drawing>
      </w:r>
    </w:p>
    <w:p w14:paraId="17243C5C" w14:textId="77777777" w:rsidR="00612C27" w:rsidRPr="00733B79" w:rsidRDefault="00612C27" w:rsidP="00612C27">
      <w:pPr>
        <w:pStyle w:val="CRNormalBody"/>
        <w:spacing w:before="0" w:after="60" w:line="240" w:lineRule="auto"/>
        <w:rPr>
          <w:rFonts w:cs="Arial"/>
        </w:rPr>
      </w:pPr>
    </w:p>
    <w:p w14:paraId="642C56FB" w14:textId="77777777" w:rsidR="00612C27" w:rsidRPr="00733B79" w:rsidRDefault="00612C27" w:rsidP="00612C27">
      <w:pPr>
        <w:pStyle w:val="CRNormalBody"/>
        <w:spacing w:before="0" w:after="60" w:line="240" w:lineRule="auto"/>
        <w:rPr>
          <w:rFonts w:cs="Arial"/>
        </w:rPr>
      </w:pPr>
      <w:r w:rsidRPr="00733B79">
        <w:rPr>
          <w:rFonts w:cs="Arial"/>
        </w:rPr>
        <w:t>Where:</w:t>
      </w:r>
    </w:p>
    <w:p w14:paraId="1411D8EB" w14:textId="249DDFE7" w:rsidR="00612C27" w:rsidRPr="00733B79" w:rsidRDefault="00612C27" w:rsidP="00612C27">
      <w:pPr>
        <w:pStyle w:val="CRNormalBody"/>
        <w:spacing w:before="0" w:after="0" w:line="240" w:lineRule="auto"/>
        <w:rPr>
          <w:rFonts w:cs="Arial"/>
        </w:rPr>
      </w:pPr>
      <w:r w:rsidRPr="00733B79">
        <w:rPr>
          <w:rFonts w:cs="Arial"/>
          <w:lang w:val="en-US"/>
        </w:rPr>
        <w:t>t is the t-statistic and a, b, and d</w:t>
      </w:r>
      <w:r w:rsidR="00022055">
        <w:rPr>
          <w:rFonts w:cs="Arial"/>
          <w:lang w:val="en-US"/>
        </w:rPr>
        <w:t>,</w:t>
      </w:r>
      <w:r w:rsidRPr="00733B79">
        <w:rPr>
          <w:rFonts w:cs="Arial"/>
          <w:lang w:val="en-US"/>
        </w:rPr>
        <w:t xml:space="preserve"> are empirical coefficients described further in the online </w:t>
      </w:r>
      <w:proofErr w:type="spellStart"/>
      <w:r w:rsidRPr="00733B79">
        <w:rPr>
          <w:rFonts w:cs="Arial"/>
          <w:lang w:val="en-US"/>
        </w:rPr>
        <w:t>CalTRACK</w:t>
      </w:r>
      <w:proofErr w:type="spellEnd"/>
      <w:r w:rsidRPr="00733B79">
        <w:rPr>
          <w:rFonts w:cs="Arial"/>
          <w:lang w:val="en-US"/>
        </w:rPr>
        <w:t xml:space="preserve"> documentation.</w:t>
      </w:r>
    </w:p>
    <w:p w14:paraId="0BBB5AE8" w14:textId="77777777" w:rsidR="00612C27" w:rsidRDefault="00612C27" w:rsidP="00612C27">
      <w:pPr>
        <w:pStyle w:val="CRNormalBody"/>
        <w:spacing w:before="0" w:after="0" w:line="240" w:lineRule="auto"/>
        <w:rPr>
          <w:rFonts w:cs="Arial"/>
        </w:rPr>
      </w:pPr>
      <w:r w:rsidRPr="00733B79">
        <w:rPr>
          <w:rFonts w:cs="Arial"/>
        </w:rPr>
        <w:t>M is the number of months in the reporting period.</w:t>
      </w:r>
    </w:p>
    <w:p w14:paraId="3BB55A15" w14:textId="15E6DE47" w:rsidR="00EA68C0" w:rsidRDefault="00EA68C0" w:rsidP="00612C27">
      <w:pPr>
        <w:pStyle w:val="CRNormalBody"/>
        <w:spacing w:before="0" w:after="0" w:line="240" w:lineRule="auto"/>
        <w:rPr>
          <w:rFonts w:cs="Arial"/>
        </w:rPr>
      </w:pPr>
      <w:r>
        <w:rPr>
          <w:rFonts w:cs="Arial"/>
        </w:rPr>
        <w:t>P is the number of periods in the baseline</w:t>
      </w:r>
    </w:p>
    <w:p w14:paraId="53AC3A14" w14:textId="740A5F4C" w:rsidR="004E4747" w:rsidRPr="00733B79" w:rsidRDefault="004E4747" w:rsidP="00612C27">
      <w:pPr>
        <w:pStyle w:val="CRNormalBody"/>
        <w:spacing w:before="0" w:after="0" w:line="240" w:lineRule="auto"/>
        <w:rPr>
          <w:rFonts w:cs="Arial"/>
        </w:rPr>
      </w:pPr>
      <w:r>
        <w:rPr>
          <w:rFonts w:cs="Arial"/>
        </w:rPr>
        <w:t xml:space="preserve">P’ is the number of periods in the baseline adjusted </w:t>
      </w:r>
      <w:r w:rsidR="003B5F30">
        <w:rPr>
          <w:rFonts w:cs="Arial"/>
        </w:rPr>
        <w:t>for autocorrelation</w:t>
      </w:r>
    </w:p>
    <w:p w14:paraId="2D9B3E37" w14:textId="77777777" w:rsidR="00612C27" w:rsidRPr="00733B79" w:rsidRDefault="00612C27" w:rsidP="00612C27">
      <w:pPr>
        <w:pStyle w:val="CRNormalBody"/>
        <w:spacing w:before="0" w:after="0" w:line="240" w:lineRule="auto"/>
        <w:rPr>
          <w:rFonts w:cs="Arial"/>
        </w:rPr>
      </w:pPr>
      <w:r w:rsidRPr="00733B79">
        <w:rPr>
          <w:rFonts w:cs="Arial"/>
        </w:rPr>
        <w:t>Q is the number of periods in the reporting period (days or billing periods for example)</w:t>
      </w:r>
    </w:p>
    <w:p w14:paraId="37AE85D8" w14:textId="77777777" w:rsidR="00612C27" w:rsidRPr="00733B79" w:rsidRDefault="00612C27" w:rsidP="00612C27">
      <w:pPr>
        <w:pStyle w:val="CRNormalBody"/>
        <w:spacing w:before="0" w:after="0" w:line="240" w:lineRule="auto"/>
        <w:rPr>
          <w:rFonts w:cs="Arial"/>
        </w:rPr>
      </w:pPr>
      <w:r w:rsidRPr="00733B79">
        <w:rPr>
          <w:rFonts w:cs="Arial"/>
        </w:rPr>
        <w:t>F is the savings fraction defined as the savings divided by the counterfactual baseline usage.</w:t>
      </w:r>
    </w:p>
    <w:p w14:paraId="3D517C58" w14:textId="77777777" w:rsidR="00612C27" w:rsidRPr="00733B79" w:rsidRDefault="00612C27" w:rsidP="00612C27">
      <w:pPr>
        <w:pStyle w:val="CRNormalBody"/>
        <w:spacing w:before="0" w:after="0" w:line="240" w:lineRule="auto"/>
        <w:rPr>
          <w:rFonts w:cs="Arial"/>
          <w:sz w:val="22"/>
          <w:szCs w:val="22"/>
        </w:rPr>
      </w:pPr>
    </w:p>
    <w:p w14:paraId="7A1C23BE" w14:textId="77777777" w:rsidR="00612C27" w:rsidRPr="00733B79" w:rsidRDefault="00612C27" w:rsidP="00612C27">
      <w:pPr>
        <w:pStyle w:val="CRNormalBody"/>
        <w:spacing w:before="0" w:after="0" w:line="240" w:lineRule="auto"/>
        <w:rPr>
          <w:rFonts w:cs="Arial"/>
          <w:sz w:val="22"/>
          <w:szCs w:val="22"/>
        </w:rPr>
      </w:pPr>
      <w:r w:rsidRPr="00733B79">
        <w:rPr>
          <w:rFonts w:cs="Arial"/>
          <w:sz w:val="22"/>
          <w:szCs w:val="22"/>
        </w:rPr>
        <w:lastRenderedPageBreak/>
        <w:t>Fractional savings uncertainty at an aggregated (portfolio) level is calculated via the following equation:</w:t>
      </w:r>
    </w:p>
    <w:p w14:paraId="24941FD2" w14:textId="77777777" w:rsidR="00612C27" w:rsidRPr="00733B79" w:rsidRDefault="00612C27" w:rsidP="00612C27">
      <w:pPr>
        <w:pStyle w:val="CRNormalBody"/>
        <w:spacing w:before="0" w:after="0" w:line="240" w:lineRule="auto"/>
        <w:jc w:val="center"/>
        <w:rPr>
          <w:rFonts w:cs="Arial"/>
          <w:lang w:val="en-US"/>
        </w:rPr>
      </w:pPr>
      <w:r w:rsidRPr="00733B79">
        <w:rPr>
          <w:rFonts w:cs="Arial"/>
          <w:noProof/>
        </w:rPr>
        <w:drawing>
          <wp:inline distT="114300" distB="114300" distL="114300" distR="114300" wp14:anchorId="0761B386" wp14:editId="4A30E123">
            <wp:extent cx="3209925" cy="838200"/>
            <wp:effectExtent l="0" t="0" r="0" b="0"/>
            <wp:docPr id="1413" name="Picture 141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3"/>
                    <a:srcRect/>
                    <a:stretch>
                      <a:fillRect/>
                    </a:stretch>
                  </pic:blipFill>
                  <pic:spPr>
                    <a:xfrm>
                      <a:off x="0" y="0"/>
                      <a:ext cx="3209925" cy="838200"/>
                    </a:xfrm>
                    <a:prstGeom prst="rect">
                      <a:avLst/>
                    </a:prstGeom>
                    <a:ln/>
                  </pic:spPr>
                </pic:pic>
              </a:graphicData>
            </a:graphic>
          </wp:inline>
        </w:drawing>
      </w:r>
    </w:p>
    <w:p w14:paraId="61956F10" w14:textId="72C4B9C0" w:rsidR="00612C27" w:rsidRPr="00733B79" w:rsidRDefault="00B6706D" w:rsidP="00612C27">
      <w:pPr>
        <w:pStyle w:val="CRNormalBody"/>
        <w:spacing w:before="0" w:after="0" w:line="240" w:lineRule="auto"/>
        <w:rPr>
          <w:rFonts w:cs="Arial"/>
          <w:sz w:val="22"/>
          <w:szCs w:val="22"/>
        </w:rPr>
      </w:pPr>
      <w:r>
        <w:rPr>
          <w:rFonts w:cs="Arial"/>
          <w:sz w:val="22"/>
          <w:szCs w:val="22"/>
        </w:rPr>
        <w:t xml:space="preserve">N is the number of </w:t>
      </w:r>
      <w:r w:rsidR="00600670">
        <w:rPr>
          <w:rFonts w:cs="Arial"/>
          <w:sz w:val="22"/>
          <w:szCs w:val="22"/>
        </w:rPr>
        <w:t>project</w:t>
      </w:r>
      <w:r w:rsidR="009E0EFA">
        <w:rPr>
          <w:rFonts w:cs="Arial"/>
          <w:sz w:val="22"/>
          <w:szCs w:val="22"/>
        </w:rPr>
        <w:t>s</w:t>
      </w:r>
    </w:p>
    <w:p w14:paraId="3CD2A65C" w14:textId="32DFA187" w:rsidR="00612C27" w:rsidRDefault="00612C27" w:rsidP="00612C27">
      <w:pPr>
        <w:pStyle w:val="CRNormalBody"/>
        <w:spacing w:before="0" w:after="0" w:line="240" w:lineRule="auto"/>
        <w:rPr>
          <w:rFonts w:cs="Arial"/>
          <w:sz w:val="22"/>
          <w:szCs w:val="22"/>
        </w:rPr>
      </w:pPr>
      <w:r w:rsidRPr="00733B79">
        <w:rPr>
          <w:rFonts w:cs="Arial"/>
          <w:sz w:val="22"/>
          <w:szCs w:val="22"/>
        </w:rPr>
        <w:t xml:space="preserve">Aggregating results to a portfolio mitigates issues related to model noise and increases confidence in savings estimates. </w:t>
      </w:r>
    </w:p>
    <w:p w14:paraId="09D600B9" w14:textId="77777777" w:rsidR="00541A64" w:rsidRDefault="00541A64" w:rsidP="00612C27">
      <w:pPr>
        <w:pStyle w:val="CRNormalBody"/>
        <w:spacing w:before="0" w:after="0" w:line="240" w:lineRule="auto"/>
        <w:rPr>
          <w:rFonts w:cs="Arial"/>
          <w:sz w:val="22"/>
          <w:szCs w:val="22"/>
        </w:rPr>
      </w:pPr>
    </w:p>
    <w:p w14:paraId="3C3A837F" w14:textId="7DEF83EC" w:rsidR="00541A64" w:rsidRPr="00733B79" w:rsidRDefault="0097694D" w:rsidP="00612C27">
      <w:pPr>
        <w:pStyle w:val="CRNormalBody"/>
        <w:spacing w:before="0" w:after="0" w:line="240" w:lineRule="auto"/>
        <w:rPr>
          <w:rFonts w:cs="Arial"/>
          <w:sz w:val="22"/>
          <w:szCs w:val="22"/>
          <w:lang w:val="en-US"/>
        </w:rPr>
      </w:pPr>
      <w:r>
        <w:rPr>
          <w:rFonts w:cs="Arial"/>
          <w:sz w:val="22"/>
          <w:szCs w:val="22"/>
        </w:rPr>
        <w:t xml:space="preserve">FSU </w:t>
      </w:r>
      <w:r w:rsidR="00B75660">
        <w:rPr>
          <w:rFonts w:cs="Arial"/>
          <w:sz w:val="22"/>
          <w:szCs w:val="22"/>
        </w:rPr>
        <w:t xml:space="preserve">is calculated </w:t>
      </w:r>
      <w:r w:rsidR="008372EF">
        <w:rPr>
          <w:rFonts w:cs="Arial"/>
          <w:sz w:val="22"/>
          <w:szCs w:val="22"/>
        </w:rPr>
        <w:t xml:space="preserve">based on </w:t>
      </w:r>
      <w:r w:rsidR="0009323A">
        <w:rPr>
          <w:rFonts w:cs="Arial"/>
          <w:sz w:val="22"/>
          <w:szCs w:val="22"/>
        </w:rPr>
        <w:t xml:space="preserve">the </w:t>
      </w:r>
      <w:r w:rsidR="00880054">
        <w:rPr>
          <w:rFonts w:cs="Arial"/>
          <w:sz w:val="22"/>
          <w:szCs w:val="22"/>
        </w:rPr>
        <w:t xml:space="preserve">project’s daily model </w:t>
      </w:r>
      <w:r w:rsidR="00946639">
        <w:rPr>
          <w:rFonts w:cs="Arial"/>
          <w:sz w:val="22"/>
          <w:szCs w:val="22"/>
        </w:rPr>
        <w:t xml:space="preserve">due to </w:t>
      </w:r>
      <w:r w:rsidR="00AA6EB3">
        <w:rPr>
          <w:rFonts w:cs="Arial"/>
          <w:sz w:val="22"/>
          <w:szCs w:val="22"/>
        </w:rPr>
        <w:t xml:space="preserve">the inaccuracy of </w:t>
      </w:r>
      <w:r w:rsidR="001B3D8F">
        <w:rPr>
          <w:rFonts w:cs="Arial"/>
          <w:sz w:val="22"/>
          <w:szCs w:val="22"/>
        </w:rPr>
        <w:t xml:space="preserve">FSU equation </w:t>
      </w:r>
      <w:r w:rsidR="00873679">
        <w:rPr>
          <w:rFonts w:cs="Arial"/>
          <w:sz w:val="22"/>
          <w:szCs w:val="22"/>
        </w:rPr>
        <w:t xml:space="preserve">when used on hourly models </w:t>
      </w:r>
      <w:r w:rsidR="00183D95">
        <w:rPr>
          <w:rFonts w:cs="Arial"/>
          <w:sz w:val="22"/>
          <w:szCs w:val="22"/>
        </w:rPr>
        <w:t>because hourly models have a high degree of autocorrelation</w:t>
      </w:r>
      <w:r w:rsidR="00770A5F">
        <w:rPr>
          <w:rFonts w:cs="Arial"/>
          <w:sz w:val="22"/>
          <w:szCs w:val="22"/>
        </w:rPr>
        <w:t xml:space="preserve">. </w:t>
      </w:r>
      <w:r w:rsidR="00915976">
        <w:rPr>
          <w:rFonts w:cs="Arial"/>
          <w:sz w:val="22"/>
          <w:szCs w:val="22"/>
        </w:rPr>
        <w:t>Gas models use an hou</w:t>
      </w:r>
      <w:r w:rsidR="00535760">
        <w:rPr>
          <w:rFonts w:cs="Arial"/>
          <w:sz w:val="22"/>
          <w:szCs w:val="22"/>
        </w:rPr>
        <w:t>rly form</w:t>
      </w:r>
      <w:r w:rsidR="00B9734E">
        <w:rPr>
          <w:rFonts w:cs="Arial"/>
          <w:sz w:val="22"/>
          <w:szCs w:val="22"/>
        </w:rPr>
        <w:t xml:space="preserve">, and only electric models require an additional daily model for the FSU </w:t>
      </w:r>
      <w:r w:rsidR="00914F95">
        <w:rPr>
          <w:rFonts w:cs="Arial"/>
          <w:sz w:val="22"/>
          <w:szCs w:val="22"/>
        </w:rPr>
        <w:t>calculation</w:t>
      </w:r>
      <w:r w:rsidR="00B9734E">
        <w:rPr>
          <w:rFonts w:cs="Arial"/>
          <w:sz w:val="22"/>
          <w:szCs w:val="22"/>
        </w:rPr>
        <w:t xml:space="preserve">. </w:t>
      </w:r>
      <w:r w:rsidR="00914F95">
        <w:rPr>
          <w:rFonts w:cs="Arial"/>
          <w:sz w:val="22"/>
          <w:szCs w:val="22"/>
        </w:rPr>
        <w:t xml:space="preserve">The model form used in a project’s daily model will match the model form selected for the hourly model based on the best candidate model. </w:t>
      </w:r>
    </w:p>
    <w:p w14:paraId="7844E053" w14:textId="77777777" w:rsidR="00612C27" w:rsidRPr="00733B79" w:rsidRDefault="00612C27" w:rsidP="00612C27">
      <w:pPr>
        <w:pStyle w:val="CRNormalBody"/>
        <w:spacing w:before="0" w:after="0" w:line="240" w:lineRule="auto"/>
        <w:rPr>
          <w:rFonts w:cs="Arial"/>
          <w:sz w:val="22"/>
          <w:szCs w:val="22"/>
        </w:rPr>
      </w:pPr>
    </w:p>
    <w:p w14:paraId="055EC63E" w14:textId="48449375" w:rsidR="00612C27" w:rsidRPr="00733B79" w:rsidRDefault="00612C27" w:rsidP="00612C27">
      <w:pPr>
        <w:pStyle w:val="CRNormalBody"/>
        <w:spacing w:before="0" w:after="0" w:line="240" w:lineRule="auto"/>
        <w:rPr>
          <w:rFonts w:cs="Arial"/>
          <w:sz w:val="22"/>
          <w:szCs w:val="22"/>
          <w:lang w:val="en-US"/>
        </w:rPr>
      </w:pPr>
      <w:r w:rsidRPr="00733B79">
        <w:rPr>
          <w:rFonts w:cs="Arial"/>
          <w:sz w:val="22"/>
          <w:szCs w:val="22"/>
          <w:lang w:val="en-US"/>
        </w:rPr>
        <w:t xml:space="preserve">Assuming that </w:t>
      </w:r>
      <w:r w:rsidR="00D52C7A" w:rsidRPr="00733B79">
        <w:rPr>
          <w:rFonts w:cs="Arial"/>
          <w:sz w:val="22"/>
          <w:szCs w:val="22"/>
          <w:lang w:val="en-US"/>
        </w:rPr>
        <w:t>MSSR</w:t>
      </w:r>
      <w:r w:rsidRPr="00733B79">
        <w:rPr>
          <w:rFonts w:cs="Arial"/>
          <w:sz w:val="22"/>
          <w:szCs w:val="22"/>
          <w:lang w:val="en-US"/>
        </w:rPr>
        <w:t xml:space="preserve"> achieves a minimum of 100 annual installations of a diverse range of EE measures and achieves forecasted average savings of 8% of total participant consumption, PG&amp;E forecasts that fractional savings uncertainty will fall within the bounds of the NMEC Rulebook requirements of FSU of +/- 25% at the 90% confidence level. </w:t>
      </w:r>
    </w:p>
    <w:p w14:paraId="1FE7F631" w14:textId="77777777" w:rsidR="00612C27" w:rsidRPr="00733B79" w:rsidRDefault="00612C27" w:rsidP="00612C27">
      <w:pPr>
        <w:pStyle w:val="CRNormalBody"/>
        <w:spacing w:before="0" w:after="0" w:line="240" w:lineRule="auto"/>
        <w:rPr>
          <w:rFonts w:cs="Arial"/>
          <w:sz w:val="22"/>
          <w:szCs w:val="22"/>
        </w:rPr>
      </w:pPr>
    </w:p>
    <w:p w14:paraId="20DC7C16" w14:textId="09D9BA10" w:rsidR="00612C27" w:rsidRPr="00733B79" w:rsidRDefault="00612C27" w:rsidP="00B62D70">
      <w:pPr>
        <w:pStyle w:val="Heading2"/>
      </w:pPr>
      <w:bookmarkStart w:id="76" w:name="_3znysh7"/>
      <w:bookmarkStart w:id="77" w:name="_Toc173831608"/>
      <w:bookmarkStart w:id="78" w:name="_Ref173878358"/>
      <w:bookmarkStart w:id="79" w:name="_Ref173878373"/>
      <w:bookmarkStart w:id="80" w:name="_Ref173879453"/>
      <w:bookmarkStart w:id="81" w:name="_Toc162606044"/>
      <w:bookmarkEnd w:id="76"/>
      <w:r w:rsidRPr="00733B79">
        <w:t xml:space="preserve">Estimating </w:t>
      </w:r>
      <w:r w:rsidR="002346A9">
        <w:t xml:space="preserve">and Measuring </w:t>
      </w:r>
      <w:r w:rsidRPr="00733B79">
        <w:t>Savings</w:t>
      </w:r>
      <w:bookmarkEnd w:id="77"/>
      <w:bookmarkEnd w:id="78"/>
      <w:bookmarkEnd w:id="79"/>
      <w:bookmarkEnd w:id="80"/>
      <w:bookmarkEnd w:id="81"/>
    </w:p>
    <w:p w14:paraId="45911A01" w14:textId="77777777" w:rsidR="00612C27" w:rsidRPr="00733B79" w:rsidRDefault="00612C27" w:rsidP="00612C27"/>
    <w:p w14:paraId="6A9F732D" w14:textId="45A1E4CB" w:rsidR="00612C27" w:rsidRPr="00733B79" w:rsidRDefault="00D52C7A" w:rsidP="00612C27">
      <w:r w:rsidRPr="00733B79">
        <w:t>MSSR</w:t>
      </w:r>
      <w:r w:rsidR="00612C27" w:rsidRPr="00733B79">
        <w:t xml:space="preserve"> is designed for the </w:t>
      </w:r>
      <w:r w:rsidR="00286CB6">
        <w:t>eligible Customers</w:t>
      </w:r>
      <w:r w:rsidR="008C7B35" w:rsidRPr="00733B79">
        <w:t xml:space="preserve"> </w:t>
      </w:r>
      <w:r w:rsidR="00612C27" w:rsidRPr="00733B79">
        <w:t>within PG&amp;E’s service area</w:t>
      </w:r>
      <w:r w:rsidR="009E56C1" w:rsidRPr="00733B79">
        <w:t xml:space="preserve">. </w:t>
      </w:r>
      <w:r w:rsidR="00612C27" w:rsidRPr="00733B79">
        <w:t xml:space="preserve">Targeted building types, including consumption trends, existing equipment, and likely impact of the interventions, will be reasonably consistent for each Aggregator within the program. </w:t>
      </w:r>
    </w:p>
    <w:p w14:paraId="06E2CF22" w14:textId="77777777" w:rsidR="00052287" w:rsidRPr="00733B79" w:rsidRDefault="00052287" w:rsidP="00612C27"/>
    <w:p w14:paraId="29D72B09" w14:textId="335E431B" w:rsidR="00CA6CC5" w:rsidRPr="00733B79" w:rsidRDefault="00CA6CC5" w:rsidP="00CA6CC5">
      <w:r w:rsidRPr="00733B79">
        <w:t xml:space="preserve">The Program will perform targeted outreach to raise visibility and prompt enrollment from </w:t>
      </w:r>
      <w:r w:rsidR="00286CB6">
        <w:t>C</w:t>
      </w:r>
      <w:r w:rsidRPr="00733B79">
        <w:t xml:space="preserve">ustomers and projects that may provide the most summer peak reduction and most valuable total system benefit.  </w:t>
      </w:r>
    </w:p>
    <w:p w14:paraId="3E9ACD9D" w14:textId="22915784" w:rsidR="00CA6CC5" w:rsidRPr="00733B79" w:rsidRDefault="00CA6CC5" w:rsidP="009C7B6D">
      <w:pPr>
        <w:pStyle w:val="ListParagraph"/>
        <w:numPr>
          <w:ilvl w:val="0"/>
          <w:numId w:val="71"/>
        </w:numPr>
      </w:pPr>
      <w:r w:rsidRPr="009C7B6D">
        <w:rPr>
          <w:b/>
          <w:bCs/>
        </w:rPr>
        <w:t>Locational Targeting:</w:t>
      </w:r>
      <w:r w:rsidRPr="00733B79">
        <w:t xml:space="preserve"> While </w:t>
      </w:r>
      <w:r w:rsidR="00286CB6">
        <w:t>MSSR</w:t>
      </w:r>
      <w:r w:rsidRPr="00733B79">
        <w:t xml:space="preserve"> is available to qualified </w:t>
      </w:r>
      <w:r w:rsidR="00286CB6">
        <w:t>C</w:t>
      </w:r>
      <w:r w:rsidRPr="00733B79">
        <w:t xml:space="preserve">ustomers in all PG&amp;E territories, the Program will prioritize targeting CZ 12, 13, 3 and 4 where summer peak is driven by addressable loads.  </w:t>
      </w:r>
    </w:p>
    <w:p w14:paraId="53CED59A" w14:textId="57CC2582" w:rsidR="00CA6CC5" w:rsidRPr="00733B79" w:rsidRDefault="00CA6CC5" w:rsidP="009C7B6D">
      <w:pPr>
        <w:pStyle w:val="ListParagraph"/>
        <w:numPr>
          <w:ilvl w:val="0"/>
          <w:numId w:val="71"/>
        </w:numPr>
      </w:pPr>
      <w:r w:rsidRPr="009C7B6D">
        <w:rPr>
          <w:b/>
          <w:bCs/>
        </w:rPr>
        <w:t>Market Segment Targeting:</w:t>
      </w:r>
      <w:r w:rsidRPr="00733B79">
        <w:t xml:space="preserve"> The Program will prioritize targeting market segments with high summer usage, such as retail, real estate, grocery, convenience, restaurant, lodging, medical, warehouses, and refrigerated warehouse and public sector facilities including police, fire, jails, libraries, recreation, and emergency operations. </w:t>
      </w:r>
    </w:p>
    <w:p w14:paraId="40E55F6B" w14:textId="4FFE2D5D" w:rsidR="00CA6CC5" w:rsidRPr="00733B79" w:rsidRDefault="00CA6CC5" w:rsidP="009C7B6D">
      <w:pPr>
        <w:pStyle w:val="ListParagraph"/>
        <w:numPr>
          <w:ilvl w:val="0"/>
          <w:numId w:val="71"/>
        </w:numPr>
      </w:pPr>
      <w:r w:rsidRPr="009C7B6D">
        <w:rPr>
          <w:b/>
          <w:bCs/>
        </w:rPr>
        <w:t xml:space="preserve">Targeted Measures: </w:t>
      </w:r>
      <w:r w:rsidRPr="00733B79">
        <w:t xml:space="preserve">Recommended measure bundles for targeted segments will be incorporated into Aggregator training and resources. </w:t>
      </w:r>
    </w:p>
    <w:p w14:paraId="2566D04C" w14:textId="77777777" w:rsidR="00286CB6" w:rsidRDefault="00286CB6" w:rsidP="00CA6CC5"/>
    <w:p w14:paraId="2A8A8831" w14:textId="3CD7317A" w:rsidR="00052287" w:rsidRPr="00733B79" w:rsidRDefault="00CA6CC5" w:rsidP="00CA6CC5">
      <w:r w:rsidRPr="00733B79">
        <w:t xml:space="preserve">While all qualified PG&amp;E customers and projects are welcome in the Program, this subset will be actively sought by the </w:t>
      </w:r>
      <w:r w:rsidR="00286CB6">
        <w:t>AESC Team</w:t>
      </w:r>
      <w:r w:rsidRPr="00733B79">
        <w:t xml:space="preserve">. Aside from such targeted outreach, the crux of customer outreach and engagement will be performed by Enrolled Aggregators.  </w:t>
      </w:r>
    </w:p>
    <w:p w14:paraId="021264E3" w14:textId="77777777" w:rsidR="00612C27" w:rsidRPr="00733B79" w:rsidRDefault="00612C27" w:rsidP="00612C27"/>
    <w:p w14:paraId="6A1E7DF3" w14:textId="14EBD505" w:rsidR="00612C27" w:rsidRPr="00733B79" w:rsidRDefault="00612C27" w:rsidP="00612C27">
      <w:pPr>
        <w:spacing w:after="160" w:line="259" w:lineRule="auto"/>
        <w:rPr>
          <w:b/>
          <w:bCs/>
          <w:color w:val="00B0F0"/>
          <w:sz w:val="24"/>
          <w:szCs w:val="24"/>
        </w:rPr>
      </w:pPr>
      <w:r w:rsidRPr="00733B79">
        <w:t xml:space="preserve">Initial Aggregator savings estimates will be reviewed and validated by Implementer. </w:t>
      </w:r>
      <w:r w:rsidR="00DB5928">
        <w:t>An Aggregator pre-payment</w:t>
      </w:r>
      <w:r w:rsidR="00DD1AA5">
        <w:t xml:space="preserve"> is based on forecasted energy savings</w:t>
      </w:r>
      <w:r w:rsidR="00F67A3E">
        <w:t xml:space="preserve"> </w:t>
      </w:r>
      <w:r w:rsidR="00DD1AA5">
        <w:t xml:space="preserve">and trued up </w:t>
      </w:r>
      <w:r w:rsidR="00F67A3E">
        <w:t xml:space="preserve">based on metered impacts </w:t>
      </w:r>
      <w:r w:rsidR="00625EBE">
        <w:t>following a 12-month</w:t>
      </w:r>
      <w:r w:rsidR="00F67A3E">
        <w:t xml:space="preserve"> Performance Period.</w:t>
      </w:r>
      <w:r w:rsidR="00625EBE">
        <w:t xml:space="preserve"> </w:t>
      </w:r>
      <w:r w:rsidR="00650FB2">
        <w:t>P</w:t>
      </w:r>
      <w:r w:rsidRPr="00733B79">
        <w:t xml:space="preserve">roject reviews will be </w:t>
      </w:r>
      <w:r w:rsidR="00650FB2">
        <w:t>performed</w:t>
      </w:r>
      <w:r w:rsidRPr="00733B79">
        <w:t xml:space="preserve"> to ensure estimates are reasonable and based on industry best practice. The project review process will </w:t>
      </w:r>
      <w:r w:rsidRPr="00733B79">
        <w:lastRenderedPageBreak/>
        <w:t xml:space="preserve">help ensure </w:t>
      </w:r>
      <w:r w:rsidR="00650FB2">
        <w:t>C</w:t>
      </w:r>
      <w:r w:rsidRPr="00733B79">
        <w:t xml:space="preserve">ustomers receive reliable estimates of savings potential and that PG&amp;E can have confidence in forecasted impacts and effectively manage performance payment budgets. </w:t>
      </w:r>
      <w:bookmarkStart w:id="82" w:name="_Toc162606045"/>
    </w:p>
    <w:p w14:paraId="2ED2BD3A" w14:textId="77777777" w:rsidR="00612C27" w:rsidRPr="00733B79" w:rsidRDefault="00612C27" w:rsidP="00612C27">
      <w:pPr>
        <w:pStyle w:val="Heading3"/>
        <w:rPr>
          <w:rFonts w:eastAsia="Calibri" w:cs="Arial"/>
        </w:rPr>
      </w:pPr>
      <w:bookmarkStart w:id="83" w:name="_Toc173831609"/>
      <w:r w:rsidRPr="00733B79">
        <w:rPr>
          <w:rFonts w:eastAsia="Calibri" w:cs="Arial"/>
        </w:rPr>
        <w:t>Approaches for Ex-Ante Estimates of Project Savings</w:t>
      </w:r>
      <w:bookmarkEnd w:id="82"/>
      <w:bookmarkEnd w:id="83"/>
    </w:p>
    <w:p w14:paraId="65B22DC3" w14:textId="77777777" w:rsidR="00612C27" w:rsidRDefault="00612C27" w:rsidP="00612C27"/>
    <w:p w14:paraId="7849ED8C" w14:textId="156685BC" w:rsidR="00AB1A8E" w:rsidRPr="00733B79" w:rsidRDefault="00BD337D" w:rsidP="00612C27">
      <w:r>
        <w:t xml:space="preserve">Energy savings </w:t>
      </w:r>
      <w:r w:rsidR="00F50001">
        <w:t>calculations</w:t>
      </w:r>
      <w:r>
        <w:t xml:space="preserve"> will be required </w:t>
      </w:r>
      <w:r w:rsidR="00F50001">
        <w:t xml:space="preserve">to support the </w:t>
      </w:r>
      <w:r w:rsidR="00A17EF2">
        <w:t xml:space="preserve">forecasted savings estimates used for initial prepayment incentive calculation and forecasted savings claims. </w:t>
      </w:r>
    </w:p>
    <w:p w14:paraId="7AC017D5" w14:textId="77777777" w:rsidR="007D5054" w:rsidRDefault="007D5054" w:rsidP="00612C27"/>
    <w:p w14:paraId="7FD538D6" w14:textId="19252B01" w:rsidR="00A17EF2" w:rsidRDefault="00A17EF2" w:rsidP="00612C27">
      <w:r>
        <w:t xml:space="preserve">Aggregators are required to submit </w:t>
      </w:r>
      <w:r w:rsidR="00367770">
        <w:t xml:space="preserve">measure </w:t>
      </w:r>
      <w:r w:rsidR="00121B93">
        <w:t>savings calculat</w:t>
      </w:r>
      <w:r w:rsidR="00367770">
        <w:t>ions</w:t>
      </w:r>
      <w:r w:rsidR="00121B93">
        <w:t xml:space="preserve"> </w:t>
      </w:r>
      <w:r w:rsidR="002B1AE3">
        <w:t>t</w:t>
      </w:r>
      <w:r w:rsidR="00FB015B">
        <w:t xml:space="preserve">o support </w:t>
      </w:r>
      <w:r w:rsidR="00B2285E">
        <w:t xml:space="preserve">each measure </w:t>
      </w:r>
      <w:r w:rsidR="00BB61E8">
        <w:t xml:space="preserve">input in </w:t>
      </w:r>
      <w:r w:rsidR="007F0FC0">
        <w:t>AESC’s</w:t>
      </w:r>
      <w:r w:rsidR="00BB61E8">
        <w:t xml:space="preserve"> Value Estimator Tool</w:t>
      </w:r>
      <w:r w:rsidR="00367770">
        <w:t>.</w:t>
      </w:r>
      <w:r w:rsidR="00BB61E8">
        <w:t xml:space="preserve"> </w:t>
      </w:r>
      <w:r w:rsidR="00EA5A07">
        <w:t>Calculations</w:t>
      </w:r>
      <w:r w:rsidR="008B5048">
        <w:t xml:space="preserve"> must be non-proprietary, open and reviewable </w:t>
      </w:r>
      <w:r w:rsidR="00EE4A0A">
        <w:t>so reviewers can easily t</w:t>
      </w:r>
      <w:r w:rsidR="00FB590E">
        <w:t xml:space="preserve">race all calculation inputs </w:t>
      </w:r>
      <w:r w:rsidR="00EA5A07">
        <w:t xml:space="preserve">to outputs and replicate savings values. </w:t>
      </w:r>
    </w:p>
    <w:p w14:paraId="37FD7EA6" w14:textId="3B7A2E7F" w:rsidR="00EA5A07" w:rsidRDefault="00EA5A07" w:rsidP="00612C27"/>
    <w:p w14:paraId="2E828239" w14:textId="1E8B3FB2" w:rsidR="001E7254" w:rsidRPr="00860B85" w:rsidRDefault="001E7254" w:rsidP="009C7B6D">
      <w:pPr>
        <w:pStyle w:val="Heading4"/>
      </w:pPr>
      <w:r w:rsidRPr="00860B85">
        <w:rPr>
          <w:rFonts w:cs="Arial"/>
        </w:rPr>
        <w:t>Population-Level NMEC</w:t>
      </w:r>
    </w:p>
    <w:p w14:paraId="2E346991" w14:textId="41EF978F" w:rsidR="003003BD" w:rsidRDefault="007F0FC0" w:rsidP="003003BD">
      <w:r>
        <w:t>A</w:t>
      </w:r>
      <w:r w:rsidR="003003BD">
        <w:t xml:space="preserve">ll calculation inputs and assumptions should be supported by documentation (e.g., equipment nameplate photos, trend data, spot measurements, design documents, equipment specifications, and/or technical workpapers, etc.). The calculation and documentation rigor </w:t>
      </w:r>
    </w:p>
    <w:p w14:paraId="0C19686C" w14:textId="1F962CC2" w:rsidR="00EA5A07" w:rsidRDefault="003003BD" w:rsidP="003003BD">
      <w:r>
        <w:t>should match the level of savings</w:t>
      </w:r>
      <w:r w:rsidR="002007CF">
        <w:t xml:space="preserve"> (e.g. </w:t>
      </w:r>
      <w:r>
        <w:t>higher savings should be supported with more detailed savings calculations</w:t>
      </w:r>
      <w:r w:rsidR="002007CF">
        <w:t>)</w:t>
      </w:r>
      <w:r>
        <w:t>.</w:t>
      </w:r>
    </w:p>
    <w:p w14:paraId="35A888C5" w14:textId="77777777" w:rsidR="003003BD" w:rsidRDefault="003003BD" w:rsidP="003003BD"/>
    <w:p w14:paraId="447EE397" w14:textId="77777777" w:rsidR="00AC313B" w:rsidRPr="00733B79" w:rsidRDefault="004A2281" w:rsidP="00AC313B">
      <w:r>
        <w:fldChar w:fldCharType="begin"/>
      </w:r>
      <w:r>
        <w:instrText xml:space="preserve"> REF _Ref173873477 \h </w:instrText>
      </w:r>
      <w:r>
        <w:fldChar w:fldCharType="separate"/>
      </w:r>
      <w:r>
        <w:t xml:space="preserve">Table </w:t>
      </w:r>
      <w:r w:rsidR="00266DB4">
        <w:rPr>
          <w:noProof/>
        </w:rPr>
        <w:t>8</w:t>
      </w:r>
      <w:r>
        <w:fldChar w:fldCharType="end"/>
      </w:r>
      <w:r>
        <w:t xml:space="preserve"> </w:t>
      </w:r>
      <w:r w:rsidR="00612C27" w:rsidRPr="00733B79">
        <w:t>describes the project documentation required from the Aggregator depending on the savings approach utilized.</w:t>
      </w:r>
      <w:r w:rsidR="00AC313B">
        <w:t xml:space="preserve">  Other approaches may be considered, following review by AESC Team and PG&amp;E approval.  </w:t>
      </w:r>
    </w:p>
    <w:p w14:paraId="7F928DEB" w14:textId="52EDF2E4" w:rsidR="00612C27" w:rsidRPr="00733B79" w:rsidRDefault="00612C27" w:rsidP="00612C27"/>
    <w:p w14:paraId="0BB8CBDF" w14:textId="77777777" w:rsidR="00266DB4" w:rsidRDefault="00266DB4" w:rsidP="00266DB4"/>
    <w:p w14:paraId="31CF969A" w14:textId="068CFABA" w:rsidR="00612C27" w:rsidRPr="00733B79" w:rsidRDefault="00266DB4" w:rsidP="009C7B6D">
      <w:pPr>
        <w:pStyle w:val="Caption"/>
        <w:jc w:val="center"/>
      </w:pPr>
      <w:r>
        <w:t xml:space="preserve">Table </w:t>
      </w:r>
      <w:r>
        <w:fldChar w:fldCharType="begin"/>
      </w:r>
      <w:r>
        <w:instrText xml:space="preserve"> SEQ Table \* ARABIC </w:instrText>
      </w:r>
      <w:r>
        <w:fldChar w:fldCharType="separate"/>
      </w:r>
      <w:r>
        <w:rPr>
          <w:noProof/>
        </w:rPr>
        <w:t>8</w:t>
      </w:r>
      <w:r>
        <w:rPr>
          <w:noProof/>
        </w:rPr>
        <w:fldChar w:fldCharType="end"/>
      </w:r>
      <w:r>
        <w:t xml:space="preserve"> </w:t>
      </w:r>
      <w:r w:rsidRPr="000B2335">
        <w:t>Pre-Installation Verification of Savings Estimation Options</w:t>
      </w:r>
    </w:p>
    <w:tbl>
      <w:tblPr>
        <w:tblW w:w="933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675"/>
      </w:tblGrid>
      <w:tr w:rsidR="00612C27" w:rsidRPr="00733B79" w14:paraId="1F1B2D8A" w14:textId="77777777">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00" w:type="dxa"/>
              <w:left w:w="100" w:type="dxa"/>
              <w:bottom w:w="100" w:type="dxa"/>
              <w:right w:w="100" w:type="dxa"/>
            </w:tcMar>
            <w:hideMark/>
          </w:tcPr>
          <w:p w14:paraId="03D1528A" w14:textId="77777777" w:rsidR="00612C27" w:rsidRPr="00733B79" w:rsidRDefault="00612C27">
            <w:pPr>
              <w:rPr>
                <w:b/>
                <w:bCs/>
              </w:rPr>
            </w:pPr>
            <w:r w:rsidRPr="00733B79">
              <w:rPr>
                <w:b/>
                <w:bCs/>
              </w:rPr>
              <w:t>Approach</w:t>
            </w:r>
          </w:p>
        </w:tc>
        <w:tc>
          <w:tcPr>
            <w:tcW w:w="6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00" w:type="dxa"/>
              <w:left w:w="100" w:type="dxa"/>
              <w:bottom w:w="100" w:type="dxa"/>
              <w:right w:w="100" w:type="dxa"/>
            </w:tcMar>
            <w:hideMark/>
          </w:tcPr>
          <w:p w14:paraId="10581B47" w14:textId="77777777" w:rsidR="00612C27" w:rsidRPr="00733B79" w:rsidRDefault="00612C27">
            <w:pPr>
              <w:rPr>
                <w:b/>
                <w:bCs/>
              </w:rPr>
            </w:pPr>
            <w:r w:rsidRPr="00733B79">
              <w:rPr>
                <w:b/>
                <w:bCs/>
              </w:rPr>
              <w:t>Project Documentation from Aggregator</w:t>
            </w:r>
          </w:p>
        </w:tc>
      </w:tr>
      <w:tr w:rsidR="00612C27" w:rsidRPr="00733B79" w14:paraId="57FBAAA3" w14:textId="77777777">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AECA31" w14:textId="77777777" w:rsidR="00612C27" w:rsidRPr="00733B79" w:rsidRDefault="00612C27">
            <w:r w:rsidRPr="00733B79">
              <w:t>Actuarial</w:t>
            </w:r>
          </w:p>
          <w:p w14:paraId="7C8FA971" w14:textId="77777777" w:rsidR="00612C27" w:rsidRPr="00733B79" w:rsidRDefault="00612C27">
            <w:r w:rsidRPr="00733B79">
              <w:t>Meter-based past performance</w:t>
            </w:r>
          </w:p>
        </w:tc>
        <w:tc>
          <w:tcPr>
            <w:tcW w:w="6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6446C4" w14:textId="59A07B49" w:rsidR="00612C27" w:rsidRPr="00733B79" w:rsidRDefault="00612C27">
            <w:r w:rsidRPr="00733B79">
              <w:t xml:space="preserve">Past evaluation report, third-party evaluation or engineering assessment of a similar projects’ past performance utilizing whole building IPMVP Option C methods (e.g., </w:t>
            </w:r>
            <w:proofErr w:type="spellStart"/>
            <w:r w:rsidRPr="00733B79">
              <w:t>CalTRACK</w:t>
            </w:r>
            <w:proofErr w:type="spellEnd"/>
            <w:r w:rsidRPr="00733B79">
              <w:t xml:space="preserve">, </w:t>
            </w:r>
            <w:r w:rsidR="004D68D7">
              <w:t>TOWT</w:t>
            </w:r>
            <w:r w:rsidRPr="00733B79">
              <w:t>)</w:t>
            </w:r>
          </w:p>
        </w:tc>
      </w:tr>
      <w:tr w:rsidR="00612C27" w:rsidRPr="00733B79" w14:paraId="62085D42" w14:textId="77777777">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CE1C75" w14:textId="77777777" w:rsidR="00612C27" w:rsidRPr="00733B79" w:rsidRDefault="00612C27">
            <w:r w:rsidRPr="00733B79">
              <w:t>Modeled</w:t>
            </w:r>
          </w:p>
          <w:p w14:paraId="3A26AE43" w14:textId="77777777" w:rsidR="00612C27" w:rsidRPr="00733B79" w:rsidRDefault="00612C27">
            <w:r w:rsidRPr="00733B79">
              <w:t>Building simulation projection</w:t>
            </w:r>
          </w:p>
        </w:tc>
        <w:tc>
          <w:tcPr>
            <w:tcW w:w="6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F8209F" w14:textId="697B72C1" w:rsidR="00612C27" w:rsidRPr="00733B79" w:rsidRDefault="00612C27">
            <w:r w:rsidRPr="00733B79">
              <w:t xml:space="preserve">Results of a building simulation model like Energy Plus, </w:t>
            </w:r>
            <w:proofErr w:type="spellStart"/>
            <w:r w:rsidR="00277D14">
              <w:t>e</w:t>
            </w:r>
            <w:r w:rsidRPr="00733B79">
              <w:t>Quest</w:t>
            </w:r>
            <w:proofErr w:type="spellEnd"/>
            <w:r w:rsidRPr="00733B79">
              <w:t>, or other similar IPMVP Option D modeling tool. Models calibrated with actual usage data are preferred.</w:t>
            </w:r>
          </w:p>
        </w:tc>
      </w:tr>
      <w:tr w:rsidR="00612C27" w:rsidRPr="00733B79" w14:paraId="59EA3349" w14:textId="77777777">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EEA396" w14:textId="77777777" w:rsidR="00612C27" w:rsidRPr="00733B79" w:rsidRDefault="00612C27">
            <w:r w:rsidRPr="00733B79">
              <w:t>Deemed</w:t>
            </w:r>
          </w:p>
          <w:p w14:paraId="5F069FEF" w14:textId="77777777" w:rsidR="00612C27" w:rsidRPr="00733B79" w:rsidRDefault="00612C27">
            <w:r w:rsidRPr="00733B79">
              <w:t>Pre-approved standardized measure-specific savings</w:t>
            </w:r>
          </w:p>
        </w:tc>
        <w:tc>
          <w:tcPr>
            <w:tcW w:w="6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C328A23" w14:textId="77777777" w:rsidR="00612C27" w:rsidRPr="00733B79" w:rsidRDefault="00612C27">
            <w:r w:rsidRPr="00733B79">
              <w:t xml:space="preserve">Citation of a CPUC-approved or archived workpaper, or other DEER value. Measure-specific savings estimates from CalTF via the </w:t>
            </w:r>
            <w:proofErr w:type="spellStart"/>
            <w:r w:rsidRPr="00733B79">
              <w:t>eTRM</w:t>
            </w:r>
            <w:proofErr w:type="spellEnd"/>
            <w:r w:rsidRPr="00733B79">
              <w:t xml:space="preserve"> may also be appropriate but should be calibrated for to and through code performance.</w:t>
            </w:r>
          </w:p>
        </w:tc>
      </w:tr>
      <w:tr w:rsidR="00612C27" w:rsidRPr="00733B79" w14:paraId="2BEBA3D6" w14:textId="77777777">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BE57CE" w14:textId="77777777" w:rsidR="00612C27" w:rsidRPr="00733B79" w:rsidRDefault="00612C27">
            <w:r w:rsidRPr="00733B79">
              <w:t>Bottom-Up</w:t>
            </w:r>
          </w:p>
          <w:p w14:paraId="093B3CFA" w14:textId="77777777" w:rsidR="00612C27" w:rsidRPr="00733B79" w:rsidRDefault="00612C27">
            <w:r w:rsidRPr="00733B79">
              <w:t>Multiple approved and standardized measure-specific savings</w:t>
            </w:r>
          </w:p>
        </w:tc>
        <w:tc>
          <w:tcPr>
            <w:tcW w:w="6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9EECB5" w14:textId="77777777" w:rsidR="00612C27" w:rsidRPr="00733B79" w:rsidRDefault="00612C27">
            <w:r w:rsidRPr="00733B79">
              <w:t>Citation of a suite of deemed values (see above) combined to estimate the whole impacts of a project. Interactions between measures should be considered in the estimate.</w:t>
            </w:r>
          </w:p>
        </w:tc>
      </w:tr>
    </w:tbl>
    <w:p w14:paraId="09F9188B" w14:textId="77777777" w:rsidR="00612C27" w:rsidRDefault="00612C27" w:rsidP="00612C27"/>
    <w:p w14:paraId="78A6F01A" w14:textId="77777777" w:rsidR="00B92922" w:rsidRDefault="00B92922" w:rsidP="00AB5D9F"/>
    <w:p w14:paraId="5817441B" w14:textId="0064AF18" w:rsidR="00090FF1" w:rsidRDefault="00090FF1" w:rsidP="00AB5D9F">
      <w:r>
        <w:t>T</w:t>
      </w:r>
      <w:r w:rsidRPr="009954C2">
        <w:t xml:space="preserve">he </w:t>
      </w:r>
      <w:r w:rsidR="00CE0FF5">
        <w:t>AESC Team</w:t>
      </w:r>
      <w:r w:rsidRPr="009954C2">
        <w:t xml:space="preserve"> will review </w:t>
      </w:r>
      <w:r>
        <w:t>A</w:t>
      </w:r>
      <w:r w:rsidRPr="009954C2">
        <w:t xml:space="preserve">ggregator savings estimates to confirm reasonableness of method (e.g., industry best practices, assumptions) and results pre- and post-installation. Aggregators may provide industry-accepted calculations, such as Praxis models, Excel </w:t>
      </w:r>
      <w:r w:rsidRPr="009954C2">
        <w:lastRenderedPageBreak/>
        <w:t xml:space="preserve">workbooks, </w:t>
      </w:r>
      <w:proofErr w:type="spellStart"/>
      <w:r w:rsidRPr="009954C2">
        <w:t>EnergyPlus</w:t>
      </w:r>
      <w:proofErr w:type="spellEnd"/>
      <w:r w:rsidRPr="009954C2">
        <w:t xml:space="preserve">, </w:t>
      </w:r>
      <w:proofErr w:type="spellStart"/>
      <w:r w:rsidRPr="009954C2">
        <w:t>eQ</w:t>
      </w:r>
      <w:r w:rsidR="00CA57A2">
        <w:t>uest</w:t>
      </w:r>
      <w:proofErr w:type="spellEnd"/>
      <w:r w:rsidRPr="009954C2">
        <w:t>, or deemed values. Calculation methodology is dependent on the type of project; for example, Site-Level projects</w:t>
      </w:r>
      <w:r w:rsidR="00B360A7">
        <w:t xml:space="preserve"> with multiple measures</w:t>
      </w:r>
      <w:r w:rsidRPr="009954C2">
        <w:t xml:space="preserve"> may require more complex Praxis or whole building-simulation calculations</w:t>
      </w:r>
      <w:r w:rsidR="00E10E0C">
        <w:t>,</w:t>
      </w:r>
      <w:r w:rsidR="00B360A7">
        <w:t xml:space="preserve"> while a </w:t>
      </w:r>
      <w:r w:rsidR="00692879">
        <w:t>simpler lighting project may utilize line-by-line excel calculations</w:t>
      </w:r>
      <w:r w:rsidRPr="009954C2">
        <w:t xml:space="preserve">. </w:t>
      </w:r>
      <w:r w:rsidR="00117667">
        <w:t>The AESC Team</w:t>
      </w:r>
      <w:r w:rsidR="00507FB0">
        <w:t xml:space="preserve"> </w:t>
      </w:r>
      <w:r w:rsidRPr="009954C2">
        <w:t xml:space="preserve">will apply engineering best practices to ensure forecasted savings are reliable and realistic. </w:t>
      </w:r>
    </w:p>
    <w:p w14:paraId="7E3A9725" w14:textId="77777777" w:rsidR="00AB5D9F" w:rsidRPr="009954C2" w:rsidRDefault="00AB5D9F" w:rsidP="009C7B6D"/>
    <w:p w14:paraId="1666E72D" w14:textId="460B0E26" w:rsidR="004F6525" w:rsidRDefault="00090FF1" w:rsidP="004F6525">
      <w:r w:rsidRPr="004F6525">
        <w:t xml:space="preserve">Energy savings review will focus on ensuring reasonableness of calculations and results </w:t>
      </w:r>
      <w:r w:rsidR="00B26E0C">
        <w:t xml:space="preserve">to </w:t>
      </w:r>
      <w:r w:rsidR="002D17D9" w:rsidRPr="004F6525">
        <w:t>reduce the possibility of</w:t>
      </w:r>
      <w:r w:rsidRPr="004F6525">
        <w:t xml:space="preserve"> large swings between projected savings and actual measured savings. In addition, QC reviewers will apply learnings about each installer as newer projects are reviewed. </w:t>
      </w:r>
    </w:p>
    <w:p w14:paraId="3E1685F5" w14:textId="3C835BD6" w:rsidR="00090FF1" w:rsidRPr="00406DD4" w:rsidRDefault="00090FF1" w:rsidP="009C7B6D">
      <w:r w:rsidRPr="004F6525">
        <w:t xml:space="preserve"> </w:t>
      </w:r>
    </w:p>
    <w:p w14:paraId="78A8F7BC" w14:textId="77777777" w:rsidR="001733A2" w:rsidRDefault="000F7AC5" w:rsidP="009C7B6D">
      <w:r w:rsidRPr="004F6525">
        <w:t>The Program may perform either pre- and/or post-installation inspections, via onsite visit, video-enabled virtual visits, or through photographs, as deemed necessary and appropriate</w:t>
      </w:r>
      <w:r w:rsidRPr="51E7DB95">
        <w:t>.</w:t>
      </w:r>
    </w:p>
    <w:p w14:paraId="16B8CEC1" w14:textId="77777777" w:rsidR="001733A2" w:rsidRDefault="001733A2" w:rsidP="009C7B6D"/>
    <w:p w14:paraId="18805484" w14:textId="70BC86C4" w:rsidR="000F7AC5" w:rsidRPr="00860B85" w:rsidRDefault="001733A2" w:rsidP="009C7B6D">
      <w:pPr>
        <w:pStyle w:val="Heading4"/>
      </w:pPr>
      <w:r w:rsidRPr="00860B85">
        <w:rPr>
          <w:rFonts w:cs="Arial"/>
        </w:rPr>
        <w:t>Site-level NMEC</w:t>
      </w:r>
      <w:r w:rsidR="000F7AC5" w:rsidRPr="00860B85">
        <w:rPr>
          <w:rFonts w:cs="Arial"/>
        </w:rPr>
        <w:t xml:space="preserve">  </w:t>
      </w:r>
    </w:p>
    <w:p w14:paraId="794C9662" w14:textId="673E7848" w:rsidR="00B92922" w:rsidRDefault="00B831CA" w:rsidP="002A177B">
      <w:r>
        <w:t xml:space="preserve">Site-level NMEC projects will require </w:t>
      </w:r>
      <w:r w:rsidR="00BB04B4">
        <w:t>a</w:t>
      </w:r>
      <w:r w:rsidR="00706751">
        <w:t xml:space="preserve"> </w:t>
      </w:r>
      <w:r w:rsidR="006D7E41">
        <w:t>Project Feasibility Study (</w:t>
      </w:r>
      <w:r w:rsidR="005F4301">
        <w:t>PFS</w:t>
      </w:r>
      <w:r w:rsidR="006D7E41">
        <w:t>)</w:t>
      </w:r>
      <w:r w:rsidR="009F344B">
        <w:t xml:space="preserve"> and </w:t>
      </w:r>
      <w:r w:rsidR="005F4301">
        <w:t xml:space="preserve">site-level M&amp;V plan that fully detail the scope of work and energy </w:t>
      </w:r>
      <w:r w:rsidR="001A07AC">
        <w:t xml:space="preserve">calculations. Project application packages must adhere to all requirements of </w:t>
      </w:r>
      <w:r w:rsidR="006F119E">
        <w:t xml:space="preserve">the PG&amp;E Site-level NMEC pathway including </w:t>
      </w:r>
      <w:r w:rsidR="00724A56">
        <w:t>requirements detailed in the most updated versions of the</w:t>
      </w:r>
      <w:r w:rsidR="00724A56" w:rsidRPr="00724A56">
        <w:t xml:space="preserve"> CPUC NMEC Rulebook</w:t>
      </w:r>
      <w:r w:rsidR="00C506E4">
        <w:t>, PG&amp;E Resource Savings Rulebook,</w:t>
      </w:r>
      <w:r w:rsidR="00724A56" w:rsidRPr="00724A56">
        <w:t xml:space="preserve"> and PG&amp;E M&amp;V Requirements for Site-Level NMEC.</w:t>
      </w:r>
      <w:r w:rsidR="002A177B">
        <w:t xml:space="preserve"> Site</w:t>
      </w:r>
      <w:r w:rsidR="007B1CE4">
        <w:t>-</w:t>
      </w:r>
      <w:r w:rsidR="002A177B">
        <w:t xml:space="preserve">level projects will be reviewed </w:t>
      </w:r>
      <w:r w:rsidR="003F4329">
        <w:t xml:space="preserve">and approved </w:t>
      </w:r>
      <w:r w:rsidR="002A177B">
        <w:t>by the Program and PG&amp;E</w:t>
      </w:r>
      <w:r w:rsidR="006C2F35">
        <w:t xml:space="preserve">’s </w:t>
      </w:r>
      <w:r w:rsidR="005C1FEC">
        <w:t>Quality Control and Communications (</w:t>
      </w:r>
      <w:r w:rsidR="006C2F35">
        <w:t>QC</w:t>
      </w:r>
      <w:r w:rsidR="00EA2716">
        <w:t>&amp;</w:t>
      </w:r>
      <w:r w:rsidR="006C2F35">
        <w:t>C</w:t>
      </w:r>
      <w:r w:rsidR="005C1FEC">
        <w:t>)</w:t>
      </w:r>
      <w:r w:rsidR="006C2F35">
        <w:t xml:space="preserve"> </w:t>
      </w:r>
      <w:r w:rsidR="00EA2716">
        <w:t>T</w:t>
      </w:r>
      <w:r w:rsidR="006C2F35">
        <w:t xml:space="preserve">eam </w:t>
      </w:r>
      <w:r w:rsidR="003F4329">
        <w:t>before project installation can begin</w:t>
      </w:r>
      <w:r w:rsidR="00BB10BC">
        <w:t xml:space="preserve">. </w:t>
      </w:r>
      <w:r w:rsidR="00486900">
        <w:t xml:space="preserve">Site-level NMEC projects </w:t>
      </w:r>
      <w:r w:rsidR="0036116A">
        <w:t xml:space="preserve">may be selected for additional CPUC </w:t>
      </w:r>
      <w:r w:rsidR="00B76B33">
        <w:t xml:space="preserve">staff review </w:t>
      </w:r>
      <w:r w:rsidR="00627DAF">
        <w:t>at any stage of the project</w:t>
      </w:r>
      <w:r w:rsidR="000D1D7D">
        <w:t xml:space="preserve">; however, </w:t>
      </w:r>
      <w:r w:rsidR="00F71288">
        <w:t xml:space="preserve">the CPUC review does not restrict or delay project </w:t>
      </w:r>
      <w:r w:rsidR="00E06C14">
        <w:t xml:space="preserve">development. </w:t>
      </w:r>
    </w:p>
    <w:p w14:paraId="7CB301BC" w14:textId="77777777" w:rsidR="001733A2" w:rsidRDefault="001733A2" w:rsidP="00612C27"/>
    <w:p w14:paraId="7B049AF1" w14:textId="77777777" w:rsidR="001733A2" w:rsidRPr="00733B79" w:rsidRDefault="001733A2" w:rsidP="00612C27"/>
    <w:p w14:paraId="5F91450A" w14:textId="77777777" w:rsidR="004B432C" w:rsidRDefault="004B432C" w:rsidP="007A0DD9">
      <w:bookmarkStart w:id="84" w:name="_p7im6ctgrd7n"/>
      <w:bookmarkEnd w:id="84"/>
    </w:p>
    <w:p w14:paraId="0A60D957" w14:textId="2D79D627" w:rsidR="00452686" w:rsidRDefault="00452686" w:rsidP="009C7B6D">
      <w:pPr>
        <w:pStyle w:val="Heading3"/>
      </w:pPr>
      <w:bookmarkStart w:id="85" w:name="_Toc173831610"/>
      <w:r w:rsidRPr="00733B79">
        <w:t xml:space="preserve">Savings </w:t>
      </w:r>
      <w:r w:rsidR="0071226D">
        <w:t>Calculator</w:t>
      </w:r>
      <w:r w:rsidRPr="00733B79">
        <w:t xml:space="preserve"> Used as the Basis for Aggregator Incentive Compensation</w:t>
      </w:r>
      <w:bookmarkEnd w:id="85"/>
    </w:p>
    <w:p w14:paraId="2925421B" w14:textId="77777777" w:rsidR="00452686" w:rsidRDefault="00452686" w:rsidP="007A0DD9"/>
    <w:p w14:paraId="6516B68C" w14:textId="77777777" w:rsidR="00525716" w:rsidRDefault="00525716" w:rsidP="00525716">
      <w:r>
        <w:t xml:space="preserve">Aggregator Incentive Compensation is issued as two payments: </w:t>
      </w:r>
    </w:p>
    <w:p w14:paraId="3366134B" w14:textId="77777777" w:rsidR="00525716" w:rsidRDefault="00525716" w:rsidP="00525716">
      <w:pPr>
        <w:pStyle w:val="ListParagraph"/>
        <w:numPr>
          <w:ilvl w:val="0"/>
          <w:numId w:val="90"/>
        </w:numPr>
      </w:pPr>
      <w:r>
        <w:t>Initial Payment to be paid upon project installation based on the full ex-ante estimates</w:t>
      </w:r>
    </w:p>
    <w:p w14:paraId="6DFEF671" w14:textId="500EFFEC" w:rsidR="00525716" w:rsidRDefault="00525716" w:rsidP="00525716">
      <w:pPr>
        <w:pStyle w:val="ListParagraph"/>
        <w:numPr>
          <w:ilvl w:val="0"/>
          <w:numId w:val="90"/>
        </w:numPr>
      </w:pPr>
      <w:r>
        <w:t>Final True-up Payment to be paid upon completion of the 12</w:t>
      </w:r>
      <w:r w:rsidR="000E08CF">
        <w:t>-</w:t>
      </w:r>
      <w:r>
        <w:t>month M&amp;V period based on performance and net of the Initial payment.</w:t>
      </w:r>
    </w:p>
    <w:p w14:paraId="694130DA" w14:textId="77777777" w:rsidR="00525716" w:rsidRDefault="00525716" w:rsidP="00525716"/>
    <w:p w14:paraId="04FC194E" w14:textId="6A7CD5B3" w:rsidR="00525716" w:rsidRDefault="00525716" w:rsidP="00525716">
      <w:r w:rsidRPr="00733B79">
        <w:t>The Aggregator incentive payment</w:t>
      </w:r>
      <w:r w:rsidR="00F17A7F">
        <w:t>s</w:t>
      </w:r>
      <w:r w:rsidRPr="00733B79">
        <w:t xml:space="preserve"> </w:t>
      </w:r>
      <w:r w:rsidR="00836E45">
        <w:t>are</w:t>
      </w:r>
      <w:r w:rsidRPr="00733B79">
        <w:t xml:space="preserve"> based on the TSB of the Aggregator’s </w:t>
      </w:r>
      <w:r>
        <w:t>quarterly cohort</w:t>
      </w:r>
      <w:r w:rsidRPr="00733B79">
        <w:t>.</w:t>
      </w:r>
      <w:r>
        <w:t xml:space="preserve"> Payments </w:t>
      </w:r>
      <w:r w:rsidR="004B432C">
        <w:t xml:space="preserve">are based on the </w:t>
      </w:r>
      <w:r>
        <w:t xml:space="preserve">incentive rates </w:t>
      </w:r>
      <w:r w:rsidR="00836E45">
        <w:t>($/TSB)</w:t>
      </w:r>
      <w:r>
        <w:t xml:space="preserve"> and</w:t>
      </w:r>
      <w:r w:rsidR="00836E45">
        <w:t xml:space="preserve"> incentive</w:t>
      </w:r>
      <w:r>
        <w:t xml:space="preserve"> caps by project type as outlined in</w:t>
      </w:r>
      <w:r w:rsidR="000E08CF">
        <w:t xml:space="preserve"> Section </w:t>
      </w:r>
      <w:r w:rsidR="000E08CF">
        <w:fldChar w:fldCharType="begin"/>
      </w:r>
      <w:r w:rsidR="000E08CF">
        <w:instrText xml:space="preserve"> REF _Ref173856179 \w \h </w:instrText>
      </w:r>
      <w:r w:rsidR="000E08CF">
        <w:fldChar w:fldCharType="separate"/>
      </w:r>
      <w:r w:rsidR="000E08CF">
        <w:t>4.3.7</w:t>
      </w:r>
      <w:r w:rsidR="000E08CF">
        <w:fldChar w:fldCharType="end"/>
      </w:r>
      <w:r>
        <w:t xml:space="preserve">. </w:t>
      </w:r>
    </w:p>
    <w:p w14:paraId="3410A53E" w14:textId="77777777" w:rsidR="009F69E7" w:rsidRDefault="009F69E7" w:rsidP="009F69E7"/>
    <w:p w14:paraId="7DA005EC" w14:textId="24411ABD" w:rsidR="009F69E7" w:rsidRDefault="009F69E7" w:rsidP="009F69E7">
      <w:r>
        <w:t>The initial and final payment are calculated using the TSB as calculated by California Energy Data and Reporting System (CEDARS), Cost Effectiveness Tool (CET)</w:t>
      </w:r>
      <w:r w:rsidR="00171A40">
        <w:t xml:space="preserve">, using </w:t>
      </w:r>
      <w:r w:rsidR="00723643">
        <w:t xml:space="preserve">the Avoided Cost Calculator Vintage </w:t>
      </w:r>
      <w:r w:rsidR="002B0D30">
        <w:t>“2022/E-5228</w:t>
      </w:r>
      <w:r>
        <w:t>.</w:t>
      </w:r>
      <w:r w:rsidR="002B0D30">
        <w:t>”</w:t>
      </w:r>
      <w:r>
        <w:t xml:space="preserve"> </w:t>
      </w:r>
    </w:p>
    <w:p w14:paraId="5175F45C" w14:textId="77777777" w:rsidR="009F69E7" w:rsidRDefault="009F69E7" w:rsidP="00BD1D86"/>
    <w:p w14:paraId="0AEC2999" w14:textId="521F337B" w:rsidR="004B432C" w:rsidRDefault="004B432C" w:rsidP="007A0DD9">
      <w:r>
        <w:t xml:space="preserve">Payable </w:t>
      </w:r>
      <w:r w:rsidR="00D612AB">
        <w:t xml:space="preserve">energy </w:t>
      </w:r>
      <w:r>
        <w:t>savings</w:t>
      </w:r>
      <w:r w:rsidR="009D7C9D">
        <w:t xml:space="preserve"> used in the final true-up payment</w:t>
      </w:r>
      <w:r>
        <w:t xml:space="preserve"> are </w:t>
      </w:r>
      <w:r w:rsidR="000A6220">
        <w:t>calculated using AESC’s Praxis</w:t>
      </w:r>
      <w:r>
        <w:t xml:space="preserve"> </w:t>
      </w:r>
      <w:r w:rsidR="008051D7">
        <w:t>based on the</w:t>
      </w:r>
      <w:r>
        <w:t xml:space="preserve"> </w:t>
      </w:r>
      <w:r w:rsidR="00E1473F">
        <w:t>measured savings</w:t>
      </w:r>
      <w:r>
        <w:t xml:space="preserve"> calculation</w:t>
      </w:r>
      <w:r w:rsidR="00E221AF">
        <w:t xml:space="preserve"> for 12 months (365 days) of post-installation </w:t>
      </w:r>
      <w:r w:rsidR="00926680">
        <w:t>meter</w:t>
      </w:r>
      <w:r w:rsidR="00522100">
        <w:t>-</w:t>
      </w:r>
      <w:r w:rsidR="00926680">
        <w:t xml:space="preserve">based </w:t>
      </w:r>
      <w:r w:rsidR="00E221AF">
        <w:t>performance</w:t>
      </w:r>
      <w:r>
        <w:t>, adjusted by the matched granular profile</w:t>
      </w:r>
      <w:r w:rsidR="00BA360F">
        <w:t xml:space="preserve"> to control for exogenous factors</w:t>
      </w:r>
      <w:r w:rsidR="00BD1D86">
        <w:t>.</w:t>
      </w:r>
      <w:r w:rsidR="00BD1D86" w:rsidRPr="00BD1D86">
        <w:t xml:space="preserve"> </w:t>
      </w:r>
      <w:r w:rsidR="00D6505C" w:rsidRPr="00D6505C">
        <w:t xml:space="preserve">Final </w:t>
      </w:r>
      <w:r w:rsidR="00430233">
        <w:t xml:space="preserve">payable </w:t>
      </w:r>
      <w:r w:rsidR="00D6505C" w:rsidRPr="00D6505C">
        <w:t xml:space="preserve">savings and savings reported to the CPUC will be calculated as Avoided Energy Use for Pop-NMEC projects, and Normalized Savings for Site-Level NMEC projects. Normalized </w:t>
      </w:r>
      <w:r w:rsidR="00D6505C" w:rsidRPr="00D6505C">
        <w:lastRenderedPageBreak/>
        <w:t>savings will use long-term weather based upon the most up-to-date weather files (e.g., CZ2022</w:t>
      </w:r>
      <w:r w:rsidR="00A971B4">
        <w:rPr>
          <w:rStyle w:val="FootnoteReference"/>
        </w:rPr>
        <w:footnoteReference w:id="14"/>
      </w:r>
      <w:r w:rsidR="00D6505C" w:rsidRPr="00D6505C">
        <w:t xml:space="preserve">).  </w:t>
      </w:r>
    </w:p>
    <w:p w14:paraId="3C60436D" w14:textId="77777777" w:rsidR="00612C27" w:rsidRPr="00733B79" w:rsidRDefault="00612C27" w:rsidP="00612C27"/>
    <w:p w14:paraId="54077F18" w14:textId="77777777" w:rsidR="00612C27" w:rsidRPr="00733B79" w:rsidRDefault="00612C27" w:rsidP="00612C27">
      <w:pPr>
        <w:pStyle w:val="Heading3"/>
        <w:rPr>
          <w:rFonts w:eastAsia="Calibri" w:cs="Arial"/>
        </w:rPr>
      </w:pPr>
      <w:bookmarkStart w:id="86" w:name="_Toc77332086"/>
      <w:bookmarkStart w:id="87" w:name="_Toc162606047"/>
      <w:bookmarkStart w:id="88" w:name="_Toc173831611"/>
      <w:bookmarkStart w:id="89" w:name="_Ref173965719"/>
      <w:r w:rsidRPr="00733B79">
        <w:rPr>
          <w:rFonts w:eastAsia="Calibri" w:cs="Arial"/>
        </w:rPr>
        <w:t>Calculations of Savings and Peak Impacts</w:t>
      </w:r>
      <w:bookmarkEnd w:id="86"/>
      <w:bookmarkEnd w:id="87"/>
      <w:bookmarkEnd w:id="88"/>
      <w:bookmarkEnd w:id="89"/>
    </w:p>
    <w:p w14:paraId="3EA39509" w14:textId="77777777" w:rsidR="00612C27" w:rsidRPr="00733B79" w:rsidRDefault="00612C27" w:rsidP="00612C27">
      <w:pPr>
        <w:pStyle w:val="CRNormalBody"/>
        <w:spacing w:before="0" w:after="0" w:line="240" w:lineRule="auto"/>
        <w:rPr>
          <w:rFonts w:cs="Arial"/>
          <w:sz w:val="22"/>
          <w:szCs w:val="22"/>
        </w:rPr>
      </w:pPr>
    </w:p>
    <w:p w14:paraId="1328EDFE" w14:textId="7719EC6D" w:rsidR="007E048F" w:rsidRPr="00733B79" w:rsidRDefault="004A2E14" w:rsidP="007E048F">
      <w:r>
        <w:t xml:space="preserve">Measured </w:t>
      </w:r>
      <w:r w:rsidR="007E4961">
        <w:t>e</w:t>
      </w:r>
      <w:r w:rsidR="00E474DE" w:rsidRPr="009C7B6D">
        <w:t>nergy savings and peak impacts</w:t>
      </w:r>
      <w:r w:rsidR="006C225B">
        <w:t xml:space="preserve"> for input into the CEDARS CET</w:t>
      </w:r>
      <w:r w:rsidR="00E474DE" w:rsidRPr="009C7B6D">
        <w:t xml:space="preserve"> will be calculated </w:t>
      </w:r>
      <w:r w:rsidRPr="009C7B6D">
        <w:t>by Praxis</w:t>
      </w:r>
      <w:r w:rsidR="00244ADC">
        <w:t xml:space="preserve"> usings </w:t>
      </w:r>
      <w:r w:rsidR="00883652">
        <w:t>the</w:t>
      </w:r>
      <w:r w:rsidR="007E048F" w:rsidRPr="007E048F">
        <w:t xml:space="preserve"> </w:t>
      </w:r>
      <w:r w:rsidR="007E048F">
        <w:t>Avoided Energy Use</w:t>
      </w:r>
      <w:r w:rsidR="007E048F">
        <w:rPr>
          <w:rStyle w:val="FootnoteReference"/>
        </w:rPr>
        <w:footnoteReference w:id="15"/>
      </w:r>
      <w:r w:rsidR="007E048F">
        <w:t xml:space="preserve"> </w:t>
      </w:r>
      <w:r w:rsidR="00FC12E2">
        <w:t xml:space="preserve">(energy savings) </w:t>
      </w:r>
      <w:r w:rsidR="007E048F" w:rsidRPr="00733B79">
        <w:t>us</w:t>
      </w:r>
      <w:r w:rsidR="007E048F">
        <w:t>ing</w:t>
      </w:r>
      <w:r w:rsidR="007E048F" w:rsidRPr="00733B79">
        <w:t xml:space="preserve"> multiple regression methods that are consistent with industry guidelines established by The American Society of Heating, Refrigerating and Air-Conditioning Engineers (ASHRAE Guideline 14)</w:t>
      </w:r>
      <w:r w:rsidR="007E048F" w:rsidRPr="00733B79">
        <w:rPr>
          <w:vertAlign w:val="superscript"/>
        </w:rPr>
        <w:footnoteReference w:id="16"/>
      </w:r>
      <w:r w:rsidR="007E048F" w:rsidRPr="00733B79">
        <w:t xml:space="preserve">, </w:t>
      </w:r>
      <w:proofErr w:type="spellStart"/>
      <w:r w:rsidR="007E048F" w:rsidRPr="00733B79">
        <w:t>CalTRACK</w:t>
      </w:r>
      <w:proofErr w:type="spellEnd"/>
      <w:r w:rsidR="007E048F" w:rsidRPr="00733B79">
        <w:t xml:space="preserve"> Methods</w:t>
      </w:r>
      <w:r w:rsidR="007E048F" w:rsidRPr="00733B79">
        <w:rPr>
          <w:rStyle w:val="FootnoteReference"/>
        </w:rPr>
        <w:footnoteReference w:id="17"/>
      </w:r>
      <w:r w:rsidR="007E048F" w:rsidRPr="00733B79">
        <w:t>,  and meet International Performance Measurement and Verification Protocol (IPMVP Option C)</w:t>
      </w:r>
      <w:r w:rsidR="007E048F" w:rsidRPr="00733B79">
        <w:rPr>
          <w:vertAlign w:val="superscript"/>
        </w:rPr>
        <w:footnoteReference w:id="18"/>
      </w:r>
      <w:r w:rsidR="007E048F" w:rsidRPr="00733B79">
        <w:t xml:space="preserve"> requirements. </w:t>
      </w:r>
    </w:p>
    <w:p w14:paraId="016C8568" w14:textId="490D4B39" w:rsidR="00E474DE" w:rsidRDefault="00E474DE" w:rsidP="0076701A"/>
    <w:p w14:paraId="7DD9BA1A" w14:textId="202D55AB" w:rsidR="001B4B4F" w:rsidRPr="00733B79" w:rsidRDefault="001B4B4F" w:rsidP="001B4B4F">
      <w:pPr>
        <w:pStyle w:val="CRNormalBody"/>
        <w:spacing w:before="0" w:after="0" w:line="240" w:lineRule="auto"/>
        <w:rPr>
          <w:rFonts w:cs="Arial"/>
          <w:sz w:val="22"/>
          <w:szCs w:val="22"/>
          <w:lang w:val="en-US"/>
        </w:rPr>
      </w:pPr>
      <w:r w:rsidRPr="00733B79">
        <w:rPr>
          <w:rFonts w:cs="Arial"/>
          <w:sz w:val="22"/>
          <w:szCs w:val="22"/>
          <w:lang w:val="en-US"/>
        </w:rPr>
        <w:t>The steps</w:t>
      </w:r>
      <w:r w:rsidR="007273E0">
        <w:rPr>
          <w:rFonts w:cs="Arial"/>
          <w:sz w:val="22"/>
          <w:szCs w:val="22"/>
          <w:lang w:val="en-US"/>
        </w:rPr>
        <w:t xml:space="preserve"> for calculating</w:t>
      </w:r>
      <w:r w:rsidR="005C655F">
        <w:rPr>
          <w:rFonts w:cs="Arial"/>
          <w:sz w:val="22"/>
          <w:szCs w:val="22"/>
          <w:lang w:val="en-US"/>
        </w:rPr>
        <w:t xml:space="preserve"> measured</w:t>
      </w:r>
      <w:r w:rsidR="007273E0">
        <w:rPr>
          <w:rFonts w:cs="Arial"/>
          <w:sz w:val="22"/>
          <w:szCs w:val="22"/>
          <w:lang w:val="en-US"/>
        </w:rPr>
        <w:t xml:space="preserve"> savings</w:t>
      </w:r>
      <w:r w:rsidR="005C655F">
        <w:rPr>
          <w:rFonts w:cs="Arial"/>
          <w:sz w:val="22"/>
          <w:szCs w:val="22"/>
          <w:lang w:val="en-US"/>
        </w:rPr>
        <w:t xml:space="preserve"> and peak impacts</w:t>
      </w:r>
      <w:r w:rsidRPr="00733B79">
        <w:rPr>
          <w:rFonts w:cs="Arial"/>
          <w:sz w:val="22"/>
          <w:szCs w:val="22"/>
          <w:lang w:val="en-US"/>
        </w:rPr>
        <w:t xml:space="preserve"> are as follows:</w:t>
      </w:r>
    </w:p>
    <w:p w14:paraId="24C562F8" w14:textId="77777777" w:rsidR="001B4B4F" w:rsidRPr="00733B79" w:rsidRDefault="001B4B4F" w:rsidP="001B4B4F">
      <w:pPr>
        <w:pStyle w:val="CRNormalBody"/>
        <w:spacing w:before="0" w:after="0" w:line="240" w:lineRule="auto"/>
        <w:rPr>
          <w:rFonts w:cs="Arial"/>
          <w:sz w:val="22"/>
          <w:szCs w:val="22"/>
        </w:rPr>
      </w:pPr>
    </w:p>
    <w:p w14:paraId="1D27C243" w14:textId="0159423C" w:rsidR="001B4B4F" w:rsidRDefault="001B4B4F" w:rsidP="00AD1ADA">
      <w:pPr>
        <w:pStyle w:val="CRNormalBody"/>
        <w:numPr>
          <w:ilvl w:val="0"/>
          <w:numId w:val="27"/>
        </w:numPr>
        <w:spacing w:before="0" w:after="0" w:line="240" w:lineRule="auto"/>
        <w:rPr>
          <w:rFonts w:cs="Arial"/>
          <w:sz w:val="22"/>
          <w:szCs w:val="22"/>
        </w:rPr>
      </w:pPr>
      <w:r w:rsidRPr="00733B79">
        <w:rPr>
          <w:rFonts w:cs="Arial"/>
          <w:sz w:val="22"/>
          <w:szCs w:val="22"/>
        </w:rPr>
        <w:t>Establishing the baseline</w:t>
      </w:r>
      <w:r w:rsidR="00AD1ADA">
        <w:rPr>
          <w:rFonts w:cs="Arial"/>
          <w:sz w:val="22"/>
          <w:szCs w:val="22"/>
        </w:rPr>
        <w:t xml:space="preserve"> model by normalizing for weather and occupancy</w:t>
      </w:r>
    </w:p>
    <w:p w14:paraId="71309BEC" w14:textId="53B8E01C" w:rsidR="004256FB" w:rsidRDefault="001965C5" w:rsidP="00AD1ADA">
      <w:pPr>
        <w:pStyle w:val="CRNormalBody"/>
        <w:numPr>
          <w:ilvl w:val="0"/>
          <w:numId w:val="27"/>
        </w:numPr>
        <w:spacing w:before="0" w:after="0" w:line="240" w:lineRule="auto"/>
        <w:rPr>
          <w:rFonts w:cs="Arial"/>
          <w:sz w:val="22"/>
          <w:szCs w:val="22"/>
        </w:rPr>
      </w:pPr>
      <w:r>
        <w:rPr>
          <w:rFonts w:cs="Arial"/>
          <w:sz w:val="22"/>
          <w:szCs w:val="22"/>
        </w:rPr>
        <w:t>Compute avoided energy use</w:t>
      </w:r>
    </w:p>
    <w:p w14:paraId="1425E67C" w14:textId="3B25DF6E" w:rsidR="001965C5" w:rsidRPr="00733B79" w:rsidRDefault="00FC12E2" w:rsidP="00AD1ADA">
      <w:pPr>
        <w:pStyle w:val="CRNormalBody"/>
        <w:numPr>
          <w:ilvl w:val="0"/>
          <w:numId w:val="27"/>
        </w:numPr>
        <w:spacing w:before="0" w:after="0" w:line="240" w:lineRule="auto"/>
        <w:rPr>
          <w:rFonts w:cs="Arial"/>
          <w:sz w:val="22"/>
          <w:szCs w:val="22"/>
        </w:rPr>
      </w:pPr>
      <w:r>
        <w:rPr>
          <w:rFonts w:cs="Arial"/>
          <w:sz w:val="22"/>
          <w:szCs w:val="22"/>
        </w:rPr>
        <w:t xml:space="preserve">Establish granular profile baseline model by normalizing for weather an occupancy </w:t>
      </w:r>
    </w:p>
    <w:p w14:paraId="61651D0E" w14:textId="59D6C25A" w:rsidR="00FC12E2" w:rsidRDefault="00FC12E2" w:rsidP="001B4B4F">
      <w:pPr>
        <w:pStyle w:val="CRNormalBody"/>
        <w:numPr>
          <w:ilvl w:val="0"/>
          <w:numId w:val="27"/>
        </w:numPr>
        <w:spacing w:before="0" w:after="0" w:line="240" w:lineRule="auto"/>
        <w:rPr>
          <w:rFonts w:cs="Arial"/>
          <w:sz w:val="22"/>
          <w:szCs w:val="22"/>
        </w:rPr>
      </w:pPr>
      <w:r>
        <w:rPr>
          <w:rFonts w:cs="Arial"/>
          <w:sz w:val="22"/>
          <w:szCs w:val="22"/>
        </w:rPr>
        <w:t>Compute granular profile avoided energy use</w:t>
      </w:r>
    </w:p>
    <w:p w14:paraId="508FC66F" w14:textId="06163F35" w:rsidR="001B7E9B" w:rsidRPr="008768EB" w:rsidRDefault="00D37E25" w:rsidP="008768EB">
      <w:pPr>
        <w:pStyle w:val="CRNormalBody"/>
        <w:numPr>
          <w:ilvl w:val="0"/>
          <w:numId w:val="27"/>
        </w:numPr>
        <w:spacing w:before="0" w:after="0" w:line="240" w:lineRule="auto"/>
        <w:rPr>
          <w:rFonts w:cs="Arial"/>
          <w:sz w:val="22"/>
          <w:szCs w:val="22"/>
          <w:lang w:val="en-US"/>
        </w:rPr>
      </w:pPr>
      <w:r w:rsidRPr="41B8B4D5">
        <w:rPr>
          <w:rFonts w:cs="Arial"/>
          <w:sz w:val="22"/>
          <w:szCs w:val="22"/>
          <w:lang w:val="en-US"/>
        </w:rPr>
        <w:t>Adjust gross avoided energy use for exogenous impacts</w:t>
      </w:r>
      <w:r w:rsidR="001D5488" w:rsidRPr="41B8B4D5">
        <w:rPr>
          <w:rFonts w:cs="Arial"/>
          <w:sz w:val="22"/>
          <w:szCs w:val="22"/>
          <w:lang w:val="en-US"/>
        </w:rPr>
        <w:t xml:space="preserve"> using granular profile savings and the differences-in-differences methodology</w:t>
      </w:r>
    </w:p>
    <w:p w14:paraId="0DDE387D" w14:textId="77777777" w:rsidR="00D537B9" w:rsidRDefault="00D537B9" w:rsidP="00D537B9">
      <w:pPr>
        <w:pStyle w:val="CRNormalBody"/>
        <w:spacing w:before="0" w:after="0" w:line="240" w:lineRule="auto"/>
        <w:rPr>
          <w:rFonts w:cs="Arial"/>
          <w:sz w:val="22"/>
          <w:szCs w:val="22"/>
        </w:rPr>
      </w:pPr>
    </w:p>
    <w:p w14:paraId="484C6C6F" w14:textId="545FF4A8" w:rsidR="00D537B9" w:rsidRDefault="00491AD7" w:rsidP="009C7B6D">
      <w:pPr>
        <w:pStyle w:val="CRNormalBody"/>
        <w:spacing w:before="0" w:after="0" w:line="240" w:lineRule="auto"/>
        <w:rPr>
          <w:rFonts w:cs="Arial"/>
          <w:sz w:val="22"/>
          <w:szCs w:val="22"/>
          <w:lang w:val="en-US"/>
        </w:rPr>
      </w:pPr>
      <w:r w:rsidRPr="41B8B4D5">
        <w:rPr>
          <w:rFonts w:cs="Arial"/>
          <w:sz w:val="22"/>
          <w:szCs w:val="22"/>
          <w:lang w:val="en-US"/>
        </w:rPr>
        <w:t xml:space="preserve">Baseline models </w:t>
      </w:r>
      <w:r w:rsidR="00E74D1B" w:rsidRPr="41B8B4D5">
        <w:rPr>
          <w:rFonts w:cs="Arial"/>
          <w:sz w:val="22"/>
          <w:szCs w:val="22"/>
          <w:lang w:val="en-US"/>
        </w:rPr>
        <w:t>are established using 365 days of pre-installation meter data</w:t>
      </w:r>
      <w:r w:rsidR="000A3E94" w:rsidRPr="41B8B4D5">
        <w:rPr>
          <w:rFonts w:cs="Arial"/>
          <w:sz w:val="22"/>
          <w:szCs w:val="22"/>
          <w:lang w:val="en-US"/>
        </w:rPr>
        <w:t>. Savings are reported</w:t>
      </w:r>
      <w:r w:rsidR="00A97EA5" w:rsidRPr="41B8B4D5">
        <w:rPr>
          <w:rFonts w:cs="Arial"/>
          <w:sz w:val="22"/>
          <w:szCs w:val="22"/>
          <w:lang w:val="en-US"/>
        </w:rPr>
        <w:t xml:space="preserve"> after 365 days </w:t>
      </w:r>
      <w:r w:rsidR="00C8501A" w:rsidRPr="41B8B4D5">
        <w:rPr>
          <w:rFonts w:cs="Arial"/>
          <w:sz w:val="22"/>
          <w:szCs w:val="22"/>
          <w:lang w:val="en-US"/>
        </w:rPr>
        <w:t xml:space="preserve">of post-installation </w:t>
      </w:r>
      <w:r w:rsidR="008657A9">
        <w:rPr>
          <w:rFonts w:cs="Arial"/>
          <w:sz w:val="22"/>
          <w:szCs w:val="22"/>
          <w:lang w:val="en-US"/>
        </w:rPr>
        <w:t>M&amp;V</w:t>
      </w:r>
      <w:r w:rsidR="00C8501A" w:rsidRPr="41B8B4D5">
        <w:rPr>
          <w:rFonts w:cs="Arial"/>
          <w:sz w:val="22"/>
          <w:szCs w:val="22"/>
          <w:lang w:val="en-US"/>
        </w:rPr>
        <w:t xml:space="preserve">. </w:t>
      </w:r>
      <w:r w:rsidR="00E74D1B" w:rsidRPr="41B8B4D5">
        <w:rPr>
          <w:rFonts w:cs="Arial"/>
          <w:sz w:val="22"/>
          <w:szCs w:val="22"/>
          <w:lang w:val="en-US"/>
        </w:rPr>
        <w:t xml:space="preserve"> </w:t>
      </w:r>
    </w:p>
    <w:p w14:paraId="1E1B932E" w14:textId="77777777" w:rsidR="001B4B4F" w:rsidRDefault="001B4B4F" w:rsidP="0076701A"/>
    <w:p w14:paraId="25035A3D" w14:textId="77777777" w:rsidR="00627931" w:rsidRDefault="00C8501A" w:rsidP="0076701A">
      <w:r>
        <w:t xml:space="preserve">Electric models </w:t>
      </w:r>
      <w:r w:rsidR="00BA1835">
        <w:t xml:space="preserve">use hourly AMI data </w:t>
      </w:r>
      <w:r w:rsidR="002D251C">
        <w:t>and report hourly</w:t>
      </w:r>
      <w:r w:rsidR="006A1A09">
        <w:t xml:space="preserve"> kWh</w:t>
      </w:r>
      <w:r w:rsidR="002D251C">
        <w:t xml:space="preserve"> results. Gas models use daily AMI data and report daily </w:t>
      </w:r>
      <w:proofErr w:type="spellStart"/>
      <w:r w:rsidR="007E0912">
        <w:t>therm</w:t>
      </w:r>
      <w:proofErr w:type="spellEnd"/>
      <w:r w:rsidR="00CB5A89">
        <w:t xml:space="preserve"> </w:t>
      </w:r>
      <w:r w:rsidR="002D251C">
        <w:t>results.</w:t>
      </w:r>
      <w:r w:rsidR="00CB5A89">
        <w:t xml:space="preserve"> </w:t>
      </w:r>
      <w:r w:rsidR="00725BFD">
        <w:t xml:space="preserve">The </w:t>
      </w:r>
      <w:r w:rsidR="00627931">
        <w:t xml:space="preserve">sum of the </w:t>
      </w:r>
      <w:r w:rsidR="00725BFD">
        <w:t xml:space="preserve">365 days of M&amp;V avoided energy use </w:t>
      </w:r>
      <w:r w:rsidR="003133AA">
        <w:t xml:space="preserve">will be reported as the annual energy use to be used in the CET for the TSB and incentive calculation. </w:t>
      </w:r>
    </w:p>
    <w:p w14:paraId="35A4FA83" w14:textId="77777777" w:rsidR="00627931" w:rsidRDefault="00627931" w:rsidP="0076701A"/>
    <w:p w14:paraId="6D7E5A04" w14:textId="335FDD93" w:rsidR="00627931" w:rsidRPr="008F0880" w:rsidRDefault="005C112E" w:rsidP="009C7B6D">
      <w:r w:rsidRPr="00733B79">
        <w:t xml:space="preserve">In D.21-12-011, the Commission specifically defined peak as 4:00 p.m. to 9:00 p.m. from June to September. </w:t>
      </w:r>
      <w:r w:rsidR="00FE7096">
        <w:t xml:space="preserve">Forecasted peak impacts will be reported </w:t>
      </w:r>
      <w:r w:rsidR="009F6F07">
        <w:t xml:space="preserve">using </w:t>
      </w:r>
      <w:r w:rsidR="00037ED4">
        <w:t>for the peak period using</w:t>
      </w:r>
      <w:r w:rsidR="00037ED4" w:rsidRPr="00037ED4">
        <w:t xml:space="preserve"> </w:t>
      </w:r>
      <w:r w:rsidR="00037ED4">
        <w:t xml:space="preserve">the same methodology as the </w:t>
      </w:r>
      <w:r w:rsidR="00037ED4" w:rsidRPr="00037ED4">
        <w:t xml:space="preserve">PG&amp;E approved “SEM-NMEC Demand Savings Calculator Using CET Loadshapes.xlsx” </w:t>
      </w:r>
      <w:r w:rsidR="00037ED4">
        <w:t>which gives</w:t>
      </w:r>
      <w:r w:rsidR="00037ED4" w:rsidRPr="00037ED4">
        <w:t xml:space="preserve"> the fraction of on-peak kW savings per annual kWh savings by E3MeaElecEndUseShape. The tool gives the on-peak fraction per E3MeaElecEndUseShape which is then multiplied by annual energy savings to </w:t>
      </w:r>
      <w:r w:rsidR="00DF5F3C">
        <w:t>calculate</w:t>
      </w:r>
      <w:r w:rsidR="00037ED4" w:rsidRPr="00037ED4">
        <w:t xml:space="preserve"> on-peak kW savings.</w:t>
      </w:r>
      <w:r w:rsidR="00A33F0B">
        <w:t xml:space="preserve"> </w:t>
      </w:r>
      <w:r w:rsidR="009F75F5">
        <w:t>M</w:t>
      </w:r>
      <w:r w:rsidR="003B6489">
        <w:t xml:space="preserve">easured </w:t>
      </w:r>
      <w:r w:rsidRPr="00733B79">
        <w:t xml:space="preserve">peak impacts will be reported </w:t>
      </w:r>
      <w:r w:rsidR="003E4181">
        <w:t>u</w:t>
      </w:r>
      <w:r w:rsidRPr="00733B79">
        <w:t>tilizing hourly performance data. The traditional energy efficiency program definition which estimates the peak impacts achieved by the program during the peak periods defined in the October 11, 2019, DEER Resolution will not be used.</w:t>
      </w:r>
      <w:r w:rsidRPr="00733B79">
        <w:rPr>
          <w:vertAlign w:val="superscript"/>
        </w:rPr>
        <w:footnoteReference w:id="19"/>
      </w:r>
      <w:r w:rsidR="00D3344D">
        <w:t xml:space="preserve"> </w:t>
      </w:r>
      <w:r w:rsidR="00627931">
        <w:t xml:space="preserve">Peak impacts will </w:t>
      </w:r>
      <w:r w:rsidR="00627931">
        <w:lastRenderedPageBreak/>
        <w:t xml:space="preserve">be </w:t>
      </w:r>
      <w:r w:rsidR="00BA78F6">
        <w:t>calculated and</w:t>
      </w:r>
      <w:r w:rsidR="00627931" w:rsidRPr="00523D5C">
        <w:t xml:space="preserve"> </w:t>
      </w:r>
      <w:r w:rsidR="00627931">
        <w:t xml:space="preserve">reported as </w:t>
      </w:r>
      <w:r w:rsidR="00627931" w:rsidRPr="009C7B6D">
        <w:t xml:space="preserve">Lifecycle Summer Peak kW. Lifecyle </w:t>
      </w:r>
      <w:r w:rsidR="00A43965">
        <w:t>S</w:t>
      </w:r>
      <w:r w:rsidR="00627931" w:rsidRPr="009C7B6D">
        <w:t xml:space="preserve">ummer </w:t>
      </w:r>
      <w:r w:rsidR="00A43965">
        <w:t>P</w:t>
      </w:r>
      <w:r w:rsidR="00627931" w:rsidRPr="009C7B6D">
        <w:t>eak kW is equal to the</w:t>
      </w:r>
      <w:r w:rsidR="00627931">
        <w:t xml:space="preserve"> </w:t>
      </w:r>
      <w:r w:rsidR="006F0A39">
        <w:t>project weighted</w:t>
      </w:r>
      <w:r w:rsidR="00627931" w:rsidRPr="009C7B6D">
        <w:t xml:space="preserve"> </w:t>
      </w:r>
      <w:r w:rsidR="00627931" w:rsidRPr="008F0880">
        <w:t xml:space="preserve">EUL* Summer Peak kW, where Summer Peak kW is during the summer peak period of 4 p.m. to 9 p.m., June 1 and September 30. </w:t>
      </w:r>
    </w:p>
    <w:p w14:paraId="59CED905" w14:textId="23503AB9" w:rsidR="00C8501A" w:rsidRDefault="00CB5A89" w:rsidP="0076701A">
      <w:r>
        <w:t xml:space="preserve"> </w:t>
      </w:r>
      <w:r w:rsidR="002D251C">
        <w:t xml:space="preserve"> </w:t>
      </w:r>
    </w:p>
    <w:p w14:paraId="17D13D0E" w14:textId="03C82629" w:rsidR="00E50E2C" w:rsidRPr="00860B85" w:rsidRDefault="00E50E2C" w:rsidP="009C7B6D">
      <w:pPr>
        <w:pStyle w:val="Heading4"/>
        <w:rPr>
          <w:rFonts w:cs="Arial"/>
        </w:rPr>
      </w:pPr>
      <w:r w:rsidRPr="00860B85">
        <w:rPr>
          <w:rFonts w:cs="Arial"/>
        </w:rPr>
        <w:t>Population-Level NMEC</w:t>
      </w:r>
    </w:p>
    <w:p w14:paraId="607630D6" w14:textId="022CD3CC" w:rsidR="007D3979" w:rsidRPr="00733B79" w:rsidRDefault="00F66B86" w:rsidP="009C7B6D">
      <w:r w:rsidRPr="009C7B6D">
        <w:t>Baseline</w:t>
      </w:r>
      <w:r w:rsidR="008A6385" w:rsidRPr="009C7B6D">
        <w:t xml:space="preserve"> </w:t>
      </w:r>
      <w:r>
        <w:t>c</w:t>
      </w:r>
      <w:r w:rsidR="007D3979" w:rsidRPr="00733B79">
        <w:t xml:space="preserve">andidate regression models will be selected using an automatic model selection algorithm. Praxis will analyze and assess multiple model forms </w:t>
      </w:r>
      <w:r w:rsidR="007D3979">
        <w:t xml:space="preserve">and </w:t>
      </w:r>
      <w:r w:rsidR="007D3979" w:rsidRPr="00733B79">
        <w:t>select the best possible baseline</w:t>
      </w:r>
      <w:r w:rsidR="007D3979" w:rsidRPr="00733B79">
        <w:rPr>
          <w:color w:val="7030A0"/>
        </w:rPr>
        <w:t xml:space="preserve"> </w:t>
      </w:r>
      <w:r w:rsidR="007D3979" w:rsidRPr="00733B79">
        <w:t>candidate mode</w:t>
      </w:r>
      <w:r w:rsidR="007D3979">
        <w:t>l, the model with the</w:t>
      </w:r>
      <w:r w:rsidR="00F41713">
        <w:t xml:space="preserve"> lowest </w:t>
      </w:r>
      <w:r w:rsidR="007D3979">
        <w:t>CV(RMSE)</w:t>
      </w:r>
      <w:r w:rsidR="0053270D">
        <w:t xml:space="preserve">. </w:t>
      </w:r>
      <w:r w:rsidR="007D3979" w:rsidRPr="00733B79">
        <w:t xml:space="preserve">Hundreds of candidate models will be evaluated </w:t>
      </w:r>
      <w:r w:rsidR="007D3979">
        <w:t xml:space="preserve">for each </w:t>
      </w:r>
      <w:r w:rsidR="007E5E91">
        <w:t>project</w:t>
      </w:r>
      <w:r w:rsidR="007D3979">
        <w:t xml:space="preserve"> meter</w:t>
      </w:r>
      <w:r w:rsidR="007E5E91">
        <w:t>(s)</w:t>
      </w:r>
      <w:r w:rsidR="007D3979">
        <w:t xml:space="preserve"> </w:t>
      </w:r>
      <w:r w:rsidR="0053270D">
        <w:t>using</w:t>
      </w:r>
      <w:r w:rsidR="007D3979" w:rsidRPr="00733B79">
        <w:t xml:space="preserve"> the </w:t>
      </w:r>
      <w:r w:rsidR="0053270D">
        <w:t xml:space="preserve">following </w:t>
      </w:r>
      <w:r w:rsidR="007D3979" w:rsidRPr="00733B79">
        <w:t>model forms:</w:t>
      </w:r>
    </w:p>
    <w:p w14:paraId="313C6E77" w14:textId="77777777" w:rsidR="007D3979" w:rsidRPr="00733B79" w:rsidRDefault="007D3979" w:rsidP="009C7B6D">
      <w:pPr>
        <w:pStyle w:val="ListParagraph"/>
        <w:numPr>
          <w:ilvl w:val="0"/>
          <w:numId w:val="92"/>
        </w:numPr>
      </w:pPr>
      <w:r w:rsidRPr="00733B79">
        <w:t>Simple Linear Regression</w:t>
      </w:r>
      <w:r w:rsidRPr="00733B79" w:rsidDel="00BA551D">
        <w:t xml:space="preserve"> </w:t>
      </w:r>
    </w:p>
    <w:p w14:paraId="76669435" w14:textId="77777777" w:rsidR="007D3979" w:rsidRPr="00F35199" w:rsidRDefault="007D3979" w:rsidP="009C7B6D">
      <w:pPr>
        <w:pStyle w:val="ListParagraph"/>
        <w:numPr>
          <w:ilvl w:val="0"/>
          <w:numId w:val="92"/>
        </w:numPr>
      </w:pPr>
      <w:r w:rsidRPr="00733B79">
        <w:t xml:space="preserve">Three-Parameter </w:t>
      </w:r>
    </w:p>
    <w:p w14:paraId="5850B24F" w14:textId="77777777" w:rsidR="007D3979" w:rsidRPr="00F35199" w:rsidRDefault="007D3979" w:rsidP="009C7B6D">
      <w:pPr>
        <w:pStyle w:val="ListParagraph"/>
        <w:numPr>
          <w:ilvl w:val="0"/>
          <w:numId w:val="92"/>
        </w:numPr>
      </w:pPr>
      <w:r w:rsidRPr="00733B79">
        <w:t>Four-Parameter</w:t>
      </w:r>
    </w:p>
    <w:p w14:paraId="2AD560AF" w14:textId="77777777" w:rsidR="007D3979" w:rsidRPr="00F35199" w:rsidRDefault="007D3979" w:rsidP="009C7B6D">
      <w:pPr>
        <w:pStyle w:val="ListParagraph"/>
        <w:numPr>
          <w:ilvl w:val="0"/>
          <w:numId w:val="92"/>
        </w:numPr>
      </w:pPr>
      <w:r w:rsidRPr="00733B79">
        <w:t>Five-Parameter</w:t>
      </w:r>
    </w:p>
    <w:p w14:paraId="56EAE733" w14:textId="77777777" w:rsidR="007D3979" w:rsidRPr="00733B79" w:rsidRDefault="007D3979" w:rsidP="009C7B6D">
      <w:pPr>
        <w:pStyle w:val="ListParagraph"/>
        <w:numPr>
          <w:ilvl w:val="0"/>
          <w:numId w:val="92"/>
        </w:numPr>
      </w:pPr>
      <w:proofErr w:type="spellStart"/>
      <w:r w:rsidRPr="00733B79">
        <w:t>CalTRACK</w:t>
      </w:r>
      <w:proofErr w:type="spellEnd"/>
    </w:p>
    <w:p w14:paraId="0CB47043" w14:textId="77777777" w:rsidR="007D3979" w:rsidRPr="00F35199" w:rsidRDefault="007D3979" w:rsidP="009C7B6D">
      <w:pPr>
        <w:pStyle w:val="ListParagraph"/>
        <w:numPr>
          <w:ilvl w:val="0"/>
          <w:numId w:val="92"/>
        </w:numPr>
      </w:pPr>
      <w:r w:rsidRPr="00733B79">
        <w:t>Gradient Boosting Machine Learning Model</w:t>
      </w:r>
      <w:r w:rsidRPr="00F35199">
        <w:t xml:space="preserve"> </w:t>
      </w:r>
      <w:r>
        <w:t>(</w:t>
      </w:r>
      <w:proofErr w:type="spellStart"/>
      <w:r>
        <w:t>XGBoost</w:t>
      </w:r>
      <w:proofErr w:type="spellEnd"/>
      <w:r>
        <w:t>)</w:t>
      </w:r>
    </w:p>
    <w:p w14:paraId="48080DDC" w14:textId="77777777" w:rsidR="00612C27" w:rsidRPr="00733B79" w:rsidRDefault="00612C27" w:rsidP="00612C27">
      <w:pPr>
        <w:pStyle w:val="CRNormalBody"/>
        <w:spacing w:before="0" w:after="0" w:line="240" w:lineRule="auto"/>
        <w:rPr>
          <w:rFonts w:cs="Arial"/>
          <w:sz w:val="22"/>
          <w:szCs w:val="22"/>
        </w:rPr>
      </w:pPr>
    </w:p>
    <w:p w14:paraId="75D2E37A" w14:textId="77777777" w:rsidR="00612C27" w:rsidRPr="00733B79" w:rsidRDefault="00612C27" w:rsidP="00612C27">
      <w:pPr>
        <w:pStyle w:val="CRNormalBody"/>
        <w:spacing w:before="0" w:after="0" w:line="240" w:lineRule="auto"/>
        <w:rPr>
          <w:rFonts w:cs="Arial"/>
          <w:sz w:val="22"/>
          <w:szCs w:val="22"/>
        </w:rPr>
      </w:pPr>
    </w:p>
    <w:p w14:paraId="58B8C18F" w14:textId="23D6F3F6" w:rsidR="008025A2" w:rsidRPr="009C7B6D" w:rsidRDefault="00E50E2C" w:rsidP="009C7B6D">
      <w:pPr>
        <w:pStyle w:val="Heading4"/>
      </w:pPr>
      <w:bookmarkStart w:id="90" w:name="_tyjcwt"/>
      <w:bookmarkStart w:id="91" w:name="_3dy6vkm"/>
      <w:bookmarkStart w:id="92" w:name="_1t3h5sf"/>
      <w:bookmarkStart w:id="93" w:name="_4d34og8"/>
      <w:bookmarkStart w:id="94" w:name="_2s8eyo1"/>
      <w:bookmarkStart w:id="95" w:name="_Toc162606048"/>
      <w:bookmarkEnd w:id="90"/>
      <w:bookmarkEnd w:id="91"/>
      <w:bookmarkEnd w:id="92"/>
      <w:bookmarkEnd w:id="93"/>
      <w:bookmarkEnd w:id="94"/>
      <w:r w:rsidRPr="00860B85">
        <w:rPr>
          <w:rFonts w:cs="Arial"/>
        </w:rPr>
        <w:t>Site-level NMEC</w:t>
      </w:r>
    </w:p>
    <w:p w14:paraId="07CE2DAC" w14:textId="76BB3B51" w:rsidR="00C16174" w:rsidRPr="009C7B6D" w:rsidRDefault="008025A2" w:rsidP="00612C27">
      <w:pPr>
        <w:spacing w:after="160" w:line="259" w:lineRule="auto"/>
      </w:pPr>
      <w:r w:rsidRPr="000A29D1">
        <w:t>Similar to Pop</w:t>
      </w:r>
      <w:r w:rsidR="00982920">
        <w:t xml:space="preserve">ulation-level </w:t>
      </w:r>
      <w:r w:rsidRPr="000A29D1">
        <w:t>NMEC, an automatic model selection algorithm will be utilized, but the Site-Level</w:t>
      </w:r>
      <w:r w:rsidR="001A7AA3">
        <w:t xml:space="preserve"> NMEC</w:t>
      </w:r>
      <w:r w:rsidRPr="000A29D1">
        <w:t xml:space="preserve"> pathway will allow engineering input and discretion for model form and independent variable selection in order to customize the model to the customer’s primary energy drivers. Simple linear regression and machine learning models will allow engineers to specify up to ten custom independent variables. Site-Level NMEC will allow custom NRE adjustments to the baseline and performance periods when they are detected. Custom NRE adjustments will be reviewed during project approval quality assurance and quality control (QA/QC). Site-Level M&amp;V plans will be provided with project submission according to the requirements of the CPUC NMEC Rulebook and PG&amp;E M&amp;V Requirements for Site-Level NMEC.</w:t>
      </w:r>
      <w:r w:rsidR="00147EA5">
        <w:t xml:space="preserve"> </w:t>
      </w:r>
      <w:r w:rsidR="00C16174" w:rsidRPr="006228AC">
        <w:t xml:space="preserve">Praxis can be used to generate the </w:t>
      </w:r>
      <w:r w:rsidR="00B93920">
        <w:t>S</w:t>
      </w:r>
      <w:r w:rsidR="00C16174" w:rsidRPr="006228AC">
        <w:t>ite-</w:t>
      </w:r>
      <w:r w:rsidR="00B93920">
        <w:t>L</w:t>
      </w:r>
      <w:r w:rsidR="00C16174" w:rsidRPr="006228AC">
        <w:t>evel M&amp;V plan template with baseline model development/predictability analysis based on Praxis generat</w:t>
      </w:r>
      <w:r w:rsidR="00591D4C">
        <w:t>ed</w:t>
      </w:r>
      <w:r w:rsidR="00C16174" w:rsidRPr="006228AC">
        <w:t xml:space="preserve"> information. The template will align with “PG&amp;E M&amp;V Requirements for Site-Level NMEC: Measurement and Verification Plan Template”</w:t>
      </w:r>
      <w:r w:rsidR="00C16174">
        <w:t>.</w:t>
      </w:r>
    </w:p>
    <w:p w14:paraId="366DB9AE" w14:textId="07DF98C7" w:rsidR="00612C27" w:rsidRPr="009C7B6D" w:rsidRDefault="0076701A" w:rsidP="00612C27">
      <w:pPr>
        <w:spacing w:after="160" w:line="259" w:lineRule="auto"/>
        <w:rPr>
          <w:b/>
          <w:color w:val="00B0F0"/>
          <w:sz w:val="24"/>
          <w:szCs w:val="24"/>
          <w:u w:val="single"/>
        </w:rPr>
      </w:pPr>
      <w:r>
        <w:rPr>
          <w:rFonts w:eastAsia="MS Mincho"/>
          <w:color w:val="222222"/>
        </w:rPr>
        <w:t xml:space="preserve"> </w:t>
      </w:r>
      <w:r w:rsidR="00AE1C76">
        <w:rPr>
          <w:rFonts w:eastAsia="MS Mincho"/>
          <w:color w:val="222222"/>
        </w:rPr>
        <w:t xml:space="preserve"> </w:t>
      </w:r>
    </w:p>
    <w:p w14:paraId="2A791384" w14:textId="27F4B1A2" w:rsidR="00612C27" w:rsidRPr="00733B79" w:rsidRDefault="00612C27" w:rsidP="00612C27">
      <w:pPr>
        <w:pStyle w:val="Heading3"/>
        <w:rPr>
          <w:rFonts w:eastAsia="Calibri" w:cs="Arial"/>
        </w:rPr>
      </w:pPr>
      <w:bookmarkStart w:id="96" w:name="_Toc173831612"/>
      <w:r w:rsidRPr="00733B79">
        <w:rPr>
          <w:rFonts w:eastAsia="Calibri" w:cs="Arial"/>
        </w:rPr>
        <w:t xml:space="preserve">Normalization for </w:t>
      </w:r>
      <w:bookmarkEnd w:id="95"/>
      <w:r w:rsidR="000E5A8E">
        <w:rPr>
          <w:rFonts w:eastAsia="Calibri" w:cs="Arial"/>
        </w:rPr>
        <w:t>Independent Variables</w:t>
      </w:r>
      <w:bookmarkEnd w:id="96"/>
    </w:p>
    <w:p w14:paraId="4097E40B" w14:textId="77777777" w:rsidR="00653AE9" w:rsidRDefault="00653AE9" w:rsidP="00612C27"/>
    <w:p w14:paraId="261A94BE" w14:textId="6BC7611F" w:rsidR="00D06B21" w:rsidRDefault="001A448C" w:rsidP="00612C27">
      <w:r>
        <w:t xml:space="preserve">The primary independent variable that influences </w:t>
      </w:r>
      <w:r w:rsidR="00F11089">
        <w:t xml:space="preserve">whole building energy consumption for commercial buildings is </w:t>
      </w:r>
      <w:r w:rsidR="00DC27AF">
        <w:t xml:space="preserve">usually outdoor air temperature (dry-bulb). </w:t>
      </w:r>
      <w:r w:rsidR="003B4B65">
        <w:t>Therefore</w:t>
      </w:r>
      <w:r w:rsidR="00A70DE8">
        <w:t>,</w:t>
      </w:r>
      <w:r w:rsidR="003B4B65">
        <w:t xml:space="preserve"> all baseline </w:t>
      </w:r>
      <w:r w:rsidR="004E078E">
        <w:t xml:space="preserve">candidate </w:t>
      </w:r>
      <w:r w:rsidR="003B4B65">
        <w:t>models</w:t>
      </w:r>
      <w:r w:rsidR="004E078E">
        <w:t xml:space="preserve"> tested by Praxis</w:t>
      </w:r>
      <w:r w:rsidR="00885FA8">
        <w:t xml:space="preserve"> </w:t>
      </w:r>
      <w:r w:rsidR="00F21ECA">
        <w:t xml:space="preserve">attempt to normalize </w:t>
      </w:r>
      <w:r w:rsidR="00F17EC6">
        <w:t>energy use to temperature</w:t>
      </w:r>
      <w:r w:rsidR="00A70DE8">
        <w:t xml:space="preserve">, or some </w:t>
      </w:r>
      <w:r w:rsidR="00D06B21">
        <w:t>derivation of it (</w:t>
      </w:r>
      <w:r w:rsidR="00812374">
        <w:t xml:space="preserve">e.g. </w:t>
      </w:r>
      <w:r w:rsidR="00D06B21">
        <w:t>heating/cooling degree days, or temperature change points)</w:t>
      </w:r>
      <w:r w:rsidR="00F17EC6">
        <w:t>.</w:t>
      </w:r>
    </w:p>
    <w:p w14:paraId="5B009060" w14:textId="77777777" w:rsidR="00D06B21" w:rsidRDefault="00D06B21" w:rsidP="00612C27"/>
    <w:p w14:paraId="0E6ECD1C" w14:textId="5E9634B5" w:rsidR="00163B29" w:rsidRDefault="00117933" w:rsidP="00612C27">
      <w:r>
        <w:t xml:space="preserve">The Three-, Four-, and Five-Parameter models </w:t>
      </w:r>
      <w:r w:rsidR="00D50678">
        <w:t>test for temperature normalization</w:t>
      </w:r>
      <w:r w:rsidR="003766EB">
        <w:t xml:space="preserve">. The </w:t>
      </w:r>
      <w:r w:rsidR="008A2651">
        <w:t xml:space="preserve">Simple Linear Regression, </w:t>
      </w:r>
      <w:proofErr w:type="spellStart"/>
      <w:r w:rsidR="008A2651">
        <w:t>CalTRACK</w:t>
      </w:r>
      <w:proofErr w:type="spellEnd"/>
      <w:r w:rsidR="008A2651">
        <w:t xml:space="preserve">, and </w:t>
      </w:r>
      <w:proofErr w:type="spellStart"/>
      <w:r w:rsidR="008A2651">
        <w:t>XGBoost</w:t>
      </w:r>
      <w:proofErr w:type="spellEnd"/>
      <w:r w:rsidR="008A2651">
        <w:t xml:space="preserve"> </w:t>
      </w:r>
      <w:r w:rsidR="007453A5">
        <w:t>candidate</w:t>
      </w:r>
      <w:r w:rsidR="004A63C9">
        <w:t xml:space="preserve"> </w:t>
      </w:r>
      <w:r w:rsidR="008A2651">
        <w:t xml:space="preserve">models </w:t>
      </w:r>
      <w:r w:rsidR="004A63C9">
        <w:t xml:space="preserve">test for </w:t>
      </w:r>
      <w:r w:rsidR="00E619AD">
        <w:t xml:space="preserve">temperature and </w:t>
      </w:r>
      <w:r w:rsidR="004A63C9">
        <w:t xml:space="preserve">additional variables such as </w:t>
      </w:r>
      <w:r w:rsidR="0052177E">
        <w:t>time</w:t>
      </w:r>
      <w:r w:rsidR="00FE4B17">
        <w:t>-</w:t>
      </w:r>
      <w:r w:rsidR="0052177E">
        <w:t xml:space="preserve">based </w:t>
      </w:r>
      <w:r w:rsidR="00FE4B17">
        <w:t>variables like</w:t>
      </w:r>
      <w:r w:rsidR="00327C39">
        <w:t xml:space="preserve"> </w:t>
      </w:r>
      <w:r w:rsidR="00584212">
        <w:t>hour of the day, hour of the week, month</w:t>
      </w:r>
      <w:r w:rsidR="00D90907">
        <w:t>, and season</w:t>
      </w:r>
      <w:r w:rsidR="00262F1B">
        <w:t xml:space="preserve">. The </w:t>
      </w:r>
      <w:proofErr w:type="spellStart"/>
      <w:r w:rsidR="00262F1B">
        <w:t>CalTRACK</w:t>
      </w:r>
      <w:proofErr w:type="spellEnd"/>
      <w:r w:rsidR="00262F1B">
        <w:t xml:space="preserve"> model includes an additional occupancy proxy variable</w:t>
      </w:r>
      <w:r w:rsidR="00B628BE">
        <w:t>.</w:t>
      </w:r>
      <w:r w:rsidR="00262F1B">
        <w:t xml:space="preserve"> </w:t>
      </w:r>
    </w:p>
    <w:p w14:paraId="0EDEC5C9" w14:textId="77777777" w:rsidR="00E0272B" w:rsidRDefault="00E0272B" w:rsidP="00612C27"/>
    <w:p w14:paraId="20C8AC4B" w14:textId="373D4EA8" w:rsidR="00D06B21" w:rsidRDefault="00170B7A" w:rsidP="002B0EEB">
      <w:r>
        <w:lastRenderedPageBreak/>
        <w:t>Simple Linear Regression, Three-, Four-, and Five-Parameter</w:t>
      </w:r>
      <w:r w:rsidR="00885FA8">
        <w:t xml:space="preserve"> models</w:t>
      </w:r>
      <w:r w:rsidR="00355B62">
        <w:t xml:space="preserve"> are implemented in Praxis as outlined in</w:t>
      </w:r>
      <w:r>
        <w:t xml:space="preserve"> </w:t>
      </w:r>
      <w:r w:rsidR="00A23735">
        <w:t>ASHRAE Guideline 14-2023</w:t>
      </w:r>
      <w:r w:rsidR="000F5A2E">
        <w:t>: Measurement of Energy, Demand and Water Savings</w:t>
      </w:r>
      <w:r w:rsidR="00D1729D">
        <w:rPr>
          <w:rStyle w:val="FootnoteReference"/>
        </w:rPr>
        <w:footnoteReference w:id="20"/>
      </w:r>
      <w:r w:rsidR="00D1729D">
        <w:t>.</w:t>
      </w:r>
      <w:r w:rsidR="00117933">
        <w:t xml:space="preserve"> </w:t>
      </w:r>
    </w:p>
    <w:p w14:paraId="1D735F26" w14:textId="77777777" w:rsidR="00CC6974" w:rsidRDefault="00CC6974" w:rsidP="00355B62"/>
    <w:p w14:paraId="4EAD2A44" w14:textId="40B4F385" w:rsidR="00E0272B" w:rsidRDefault="00E0272B" w:rsidP="009C7B6D">
      <w:proofErr w:type="spellStart"/>
      <w:r>
        <w:t>CalTRACK</w:t>
      </w:r>
      <w:proofErr w:type="spellEnd"/>
      <w:r w:rsidR="00355B62">
        <w:t xml:space="preserve"> is implemented in Praxis through EE</w:t>
      </w:r>
      <w:r w:rsidR="00AF6C52">
        <w:t>m</w:t>
      </w:r>
      <w:r w:rsidR="00355B62">
        <w:t>eter</w:t>
      </w:r>
      <w:r w:rsidR="002E1185">
        <w:rPr>
          <w:rStyle w:val="FootnoteReference"/>
        </w:rPr>
        <w:footnoteReference w:id="21"/>
      </w:r>
      <w:r w:rsidR="002C780F">
        <w:t xml:space="preserve"> </w:t>
      </w:r>
    </w:p>
    <w:p w14:paraId="0AB22BBB" w14:textId="77777777" w:rsidR="00CC6974" w:rsidRDefault="00CC6974" w:rsidP="00CC6974"/>
    <w:p w14:paraId="1F32CAE8" w14:textId="234D47B6" w:rsidR="00E0272B" w:rsidRDefault="00BA4AC0" w:rsidP="00CC6974">
      <w:proofErr w:type="spellStart"/>
      <w:r>
        <w:t>XGBoost</w:t>
      </w:r>
      <w:proofErr w:type="spellEnd"/>
      <w:r w:rsidR="00862656">
        <w:t xml:space="preserve"> is implemented in Praxis through </w:t>
      </w:r>
      <w:r w:rsidR="00081620">
        <w:t xml:space="preserve">the </w:t>
      </w:r>
      <w:proofErr w:type="spellStart"/>
      <w:r w:rsidR="00081620">
        <w:t>XGBoost</w:t>
      </w:r>
      <w:proofErr w:type="spellEnd"/>
      <w:r w:rsidR="00081620">
        <w:t xml:space="preserve"> python package</w:t>
      </w:r>
      <w:r w:rsidR="00117913">
        <w:rPr>
          <w:rStyle w:val="FootnoteReference"/>
        </w:rPr>
        <w:footnoteReference w:id="22"/>
      </w:r>
      <w:r w:rsidR="00081620">
        <w:t xml:space="preserve"> </w:t>
      </w:r>
    </w:p>
    <w:p w14:paraId="7D45E52B" w14:textId="77777777" w:rsidR="00E0272B" w:rsidRDefault="00E0272B" w:rsidP="00612C27"/>
    <w:p w14:paraId="0554F66E" w14:textId="199FA5DE" w:rsidR="000E5A8E" w:rsidRDefault="001D1944" w:rsidP="00612C27">
      <w:r>
        <w:t>Praxis ut</w:t>
      </w:r>
      <w:r w:rsidR="007B353A">
        <w:t xml:space="preserve">ilizes </w:t>
      </w:r>
      <w:proofErr w:type="spellStart"/>
      <w:r w:rsidR="00451665">
        <w:t>EE</w:t>
      </w:r>
      <w:r w:rsidR="00F72D0B">
        <w:t>weather</w:t>
      </w:r>
      <w:proofErr w:type="spellEnd"/>
      <w:r w:rsidR="00451665">
        <w:rPr>
          <w:rStyle w:val="FootnoteReference"/>
        </w:rPr>
        <w:footnoteReference w:id="23"/>
      </w:r>
      <w:r w:rsidR="00F72D0B">
        <w:t xml:space="preserve"> </w:t>
      </w:r>
      <w:r w:rsidR="009D2BE8">
        <w:t xml:space="preserve">service </w:t>
      </w:r>
      <w:r w:rsidR="00F72D0B">
        <w:t xml:space="preserve">for weather station matching </w:t>
      </w:r>
      <w:r w:rsidR="007F6BBB">
        <w:t xml:space="preserve">and retrieving temperature data from the </w:t>
      </w:r>
      <w:r w:rsidR="006A0ABF" w:rsidRPr="006A0ABF">
        <w:t>National Climatic Data Center</w:t>
      </w:r>
      <w:r w:rsidR="006A0ABF">
        <w:t xml:space="preserve"> </w:t>
      </w:r>
      <w:r w:rsidR="006A0ABF" w:rsidRPr="006A0ABF">
        <w:t>(NCDC)</w:t>
      </w:r>
      <w:r w:rsidR="00801EFA">
        <w:rPr>
          <w:rStyle w:val="FootnoteReference"/>
        </w:rPr>
        <w:footnoteReference w:id="24"/>
      </w:r>
      <w:r w:rsidR="00F72D0B">
        <w:t xml:space="preserve"> </w:t>
      </w:r>
      <w:r w:rsidR="006A0ABF">
        <w:t>database.</w:t>
      </w:r>
      <w:r w:rsidR="00F72D0B">
        <w:t xml:space="preserve"> </w:t>
      </w:r>
    </w:p>
    <w:p w14:paraId="005AB464" w14:textId="77777777" w:rsidR="00103576" w:rsidRDefault="00103576" w:rsidP="00612C27"/>
    <w:p w14:paraId="0136D6F7" w14:textId="6C6E5448" w:rsidR="00103576" w:rsidRPr="00733B79" w:rsidRDefault="00103576" w:rsidP="00612C27">
      <w:r>
        <w:t>All data</w:t>
      </w:r>
      <w:r w:rsidR="002455F7">
        <w:t>, code, and scripts</w:t>
      </w:r>
      <w:r>
        <w:t xml:space="preserve"> needed to replicate model </w:t>
      </w:r>
      <w:r w:rsidR="00621CDD">
        <w:t xml:space="preserve">predictions and counterfactuals will be made available to </w:t>
      </w:r>
      <w:r w:rsidR="00CC6AC9">
        <w:t>3</w:t>
      </w:r>
      <w:r w:rsidR="00CC6AC9" w:rsidRPr="009C7B6D">
        <w:rPr>
          <w:vertAlign w:val="superscript"/>
        </w:rPr>
        <w:t>rd</w:t>
      </w:r>
      <w:r w:rsidR="00CC6AC9">
        <w:t xml:space="preserve"> Party </w:t>
      </w:r>
      <w:r w:rsidR="00621CDD">
        <w:t xml:space="preserve">reviewers </w:t>
      </w:r>
      <w:r w:rsidR="001D6E6D">
        <w:t>through each site’s model download file, a csv that contains all model data, variables, statistics</w:t>
      </w:r>
      <w:r w:rsidR="00983284">
        <w:t>, and other parameters</w:t>
      </w:r>
      <w:r w:rsidR="009952B8">
        <w:t xml:space="preserve">. </w:t>
      </w:r>
    </w:p>
    <w:p w14:paraId="34E22674" w14:textId="77777777" w:rsidR="00E50E2C" w:rsidRDefault="00E50E2C" w:rsidP="00612C27"/>
    <w:p w14:paraId="0D512613" w14:textId="77777777" w:rsidR="00612C27" w:rsidRPr="00733B79" w:rsidRDefault="00612C27" w:rsidP="00612C27"/>
    <w:p w14:paraId="447A62CA" w14:textId="77777777" w:rsidR="00612C27" w:rsidRPr="00733B79" w:rsidRDefault="00612C27" w:rsidP="00612C27">
      <w:pPr>
        <w:pStyle w:val="Heading3"/>
        <w:rPr>
          <w:rFonts w:eastAsia="Calibri" w:cs="Arial"/>
        </w:rPr>
      </w:pPr>
      <w:bookmarkStart w:id="97" w:name="_Toc162606049"/>
      <w:bookmarkStart w:id="98" w:name="_Toc162606050"/>
      <w:bookmarkStart w:id="99" w:name="_Toc162606051"/>
      <w:bookmarkStart w:id="100" w:name="_Toc162606052"/>
      <w:bookmarkStart w:id="101" w:name="_Toc173831613"/>
      <w:bookmarkStart w:id="102" w:name="_Toc173831614"/>
      <w:bookmarkStart w:id="103" w:name="_Toc173831615"/>
      <w:bookmarkStart w:id="104" w:name="_Toc173831616"/>
      <w:bookmarkStart w:id="105" w:name="_Toc173831617"/>
      <w:bookmarkStart w:id="106" w:name="_Toc173831618"/>
      <w:bookmarkStart w:id="107" w:name="_Toc173831619"/>
      <w:bookmarkStart w:id="108" w:name="_Toc173831620"/>
      <w:bookmarkStart w:id="109" w:name="_Toc173831621"/>
      <w:bookmarkStart w:id="110" w:name="_Toc173831622"/>
      <w:bookmarkStart w:id="111" w:name="_17dp8vu"/>
      <w:bookmarkStart w:id="112" w:name="_Toc162606054"/>
      <w:bookmarkStart w:id="113" w:name="_Toc17383162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33B79">
        <w:rPr>
          <w:rFonts w:eastAsia="Calibri" w:cs="Arial"/>
        </w:rPr>
        <w:t>Adjustments to Gross Savings for Participants in Demand Response Programs</w:t>
      </w:r>
      <w:bookmarkEnd w:id="112"/>
      <w:bookmarkEnd w:id="113"/>
    </w:p>
    <w:p w14:paraId="262CA61E" w14:textId="77777777" w:rsidR="00612C27" w:rsidRPr="00733B79" w:rsidRDefault="00612C27" w:rsidP="00612C27"/>
    <w:p w14:paraId="19ED925C" w14:textId="7CA6983A" w:rsidR="00612C27" w:rsidRDefault="00A16288" w:rsidP="00612C27">
      <w:r>
        <w:t xml:space="preserve">One of the intents of MSSR is to encourage dual participation with PG&amp;E Demand Response Programs.  </w:t>
      </w:r>
      <w:r w:rsidR="00D50D0E">
        <w:t xml:space="preserve">However, </w:t>
      </w:r>
      <w:r w:rsidR="006B068B">
        <w:t xml:space="preserve">in order to </w:t>
      </w:r>
      <w:r w:rsidR="00931602">
        <w:t>avoid</w:t>
      </w:r>
      <w:r w:rsidR="00BA25A4">
        <w:t xml:space="preserve"> double-counting of savings between the two programs, </w:t>
      </w:r>
      <w:r w:rsidR="00C36981">
        <w:t>the following</w:t>
      </w:r>
      <w:r w:rsidR="009C1745">
        <w:t xml:space="preserve"> adjustments will be made</w:t>
      </w:r>
      <w:r w:rsidR="005A4687">
        <w:t xml:space="preserve"> for </w:t>
      </w:r>
      <w:r w:rsidR="004C12BD">
        <w:t>sites</w:t>
      </w:r>
      <w:r w:rsidR="001A5193">
        <w:t xml:space="preserve"> dually participating in the program.  </w:t>
      </w:r>
      <w:r w:rsidR="00612C27" w:rsidRPr="00733B79">
        <w:t xml:space="preserve">For sites participating in demand response (DR) events, </w:t>
      </w:r>
      <w:r w:rsidR="00A45662">
        <w:t>MSSR</w:t>
      </w:r>
      <w:r w:rsidR="00612C27" w:rsidRPr="00733B79">
        <w:t xml:space="preserve"> intends to exclude DR response days from the baseline period and set savings for </w:t>
      </w:r>
      <w:r w:rsidR="00DC71E8">
        <w:t xml:space="preserve">DR days to zero </w:t>
      </w:r>
      <w:r w:rsidR="00612C27" w:rsidRPr="00733B79">
        <w:t xml:space="preserve">in the reporting period. </w:t>
      </w:r>
      <w:r w:rsidR="002D1233">
        <w:t xml:space="preserve">The entire DR </w:t>
      </w:r>
      <w:r w:rsidR="00BE3B4C">
        <w:t>day</w:t>
      </w:r>
      <w:r w:rsidR="002D1233">
        <w:t xml:space="preserve"> will be “blacked out” </w:t>
      </w:r>
      <w:r w:rsidR="00EB644F">
        <w:t xml:space="preserve">to exclude the </w:t>
      </w:r>
      <w:r w:rsidR="00821C6A">
        <w:t xml:space="preserve">full </w:t>
      </w:r>
      <w:r w:rsidR="00EB644F">
        <w:t xml:space="preserve">DR response </w:t>
      </w:r>
      <w:r w:rsidR="00821C6A">
        <w:t>which</w:t>
      </w:r>
      <w:r w:rsidR="00EB644F">
        <w:t xml:space="preserve"> </w:t>
      </w:r>
      <w:r w:rsidR="00170C2C">
        <w:t xml:space="preserve">typically </w:t>
      </w:r>
      <w:r w:rsidR="00FD61E1">
        <w:t xml:space="preserve">includes </w:t>
      </w:r>
      <w:r w:rsidR="004F446B">
        <w:t>load increase</w:t>
      </w:r>
      <w:r w:rsidR="00756B50">
        <w:t>s</w:t>
      </w:r>
      <w:r w:rsidR="004F446B">
        <w:t xml:space="preserve"> prior to the</w:t>
      </w:r>
      <w:r w:rsidR="00170C2C">
        <w:t xml:space="preserve"> event, such as pre-cooling or pre-charging. </w:t>
      </w:r>
      <w:r w:rsidR="006C1B9C">
        <w:t>T</w:t>
      </w:r>
      <w:r w:rsidR="00612C27" w:rsidRPr="00733B79">
        <w:t>his approach will simplify savings estimation and will avoid double counting of load reductions.</w:t>
      </w:r>
      <w:r w:rsidR="00DC71E8">
        <w:t xml:space="preserve"> </w:t>
      </w:r>
      <w:r w:rsidR="00612C27" w:rsidRPr="00733B79">
        <w:t>Event data for sites participating in DR programs must be provided as outlined in the “Demand Response Participation” section.</w:t>
      </w:r>
      <w:r w:rsidR="00FD35B7">
        <w:t xml:space="preserve">  The AESC Team and PG&amp;E will explore other ways to </w:t>
      </w:r>
      <w:r w:rsidR="00C54CF5">
        <w:t xml:space="preserve">address and improve dual </w:t>
      </w:r>
      <w:r w:rsidR="005E083A">
        <w:t>participation going forward.</w:t>
      </w:r>
    </w:p>
    <w:p w14:paraId="4A149582" w14:textId="77777777" w:rsidR="00612C27" w:rsidRPr="00733B79" w:rsidRDefault="00612C27" w:rsidP="00612C27"/>
    <w:p w14:paraId="12B87E03" w14:textId="77777777" w:rsidR="00612C27" w:rsidRPr="00733B79" w:rsidRDefault="00612C27" w:rsidP="00612C27">
      <w:pPr>
        <w:pStyle w:val="Heading3"/>
        <w:rPr>
          <w:rFonts w:eastAsia="Calibri" w:cs="Arial"/>
        </w:rPr>
      </w:pPr>
      <w:bookmarkStart w:id="114" w:name="_Toc162606055"/>
      <w:bookmarkStart w:id="115" w:name="_Toc173831624"/>
      <w:r w:rsidRPr="00733B79">
        <w:rPr>
          <w:rFonts w:eastAsia="Calibri" w:cs="Arial"/>
        </w:rPr>
        <w:t>Adjustments to Gross Savings to Control for Exogenous Factors</w:t>
      </w:r>
      <w:bookmarkEnd w:id="114"/>
      <w:bookmarkEnd w:id="115"/>
    </w:p>
    <w:p w14:paraId="4AC6EE24" w14:textId="77777777" w:rsidR="00612C27" w:rsidRPr="00733B79" w:rsidRDefault="00612C27" w:rsidP="00612C27"/>
    <w:p w14:paraId="4CAAA5A2" w14:textId="77777777" w:rsidR="00612C27" w:rsidRPr="00733B79" w:rsidRDefault="00612C27" w:rsidP="00612C27">
      <w:r w:rsidRPr="00733B79">
        <w:t xml:space="preserve">Population NMEC controls for one observable exogenous factor (i.e., outside temperature) that affects energy use, but not others (e.g., economic factors, natural adoption of commercial equipment). Many consumption data analyses compare changes in energy use observed in the treatment group to a carefully constructed group of similar eligible customers that didn’t participate in the program over the same time period to adjust savings estimates for exogenous changes. Typically, comparison groups are constructed after the characteristics of program participants are understood and, when energy change in such groups is compared to the </w:t>
      </w:r>
      <w:r w:rsidRPr="00733B79">
        <w:lastRenderedPageBreak/>
        <w:t>change observed in program participants, provide a means to estimate the impact of exogenous change, with program free ridership being an important exception.</w:t>
      </w:r>
      <w:r w:rsidRPr="00733B79">
        <w:rPr>
          <w:rStyle w:val="FootnoteReference"/>
        </w:rPr>
        <w:footnoteReference w:id="25"/>
      </w:r>
    </w:p>
    <w:p w14:paraId="49A1076D" w14:textId="77777777" w:rsidR="00612C27" w:rsidRPr="00733B79" w:rsidRDefault="00612C27" w:rsidP="00612C27"/>
    <w:p w14:paraId="41A6B6B1" w14:textId="77777777" w:rsidR="00612C27" w:rsidRPr="00733B79" w:rsidRDefault="00612C27" w:rsidP="00612C27">
      <w:r w:rsidRPr="00733B79">
        <w:t>To control for exogenous forces that may have affected energy use on program participants and non-participants alike, the calculations of energy savings produced by Population NMEC of the effect of the intervention (treatment) can be compared to changes in energy use during the same period to a comparison group using a Difference-in-Differences (</w:t>
      </w:r>
      <w:proofErr w:type="spellStart"/>
      <w:r w:rsidRPr="00733B79">
        <w:t>DiD</w:t>
      </w:r>
      <w:proofErr w:type="spellEnd"/>
      <w:r w:rsidRPr="00733B79">
        <w:t>) methodology. Non-participating customers are matched to customers participating in the program within industry sector (NAICs codes) and climate zone based on similarities in interval data. Pre-post differences of energy use of the treatment group are compared to pre-post differences of energy use of the control group to estimate the treatment effect as is illustrated in the figure below.</w:t>
      </w:r>
      <w:r w:rsidRPr="00733B79">
        <w:rPr>
          <w:vertAlign w:val="superscript"/>
        </w:rPr>
        <w:footnoteReference w:id="26"/>
      </w:r>
    </w:p>
    <w:p w14:paraId="33BB72D4" w14:textId="77777777" w:rsidR="00612C27" w:rsidRPr="00733B79" w:rsidRDefault="00612C27" w:rsidP="00612C27"/>
    <w:p w14:paraId="7833B107" w14:textId="25288744" w:rsidR="00BF60ED" w:rsidRPr="00BF60ED" w:rsidRDefault="00BF60ED" w:rsidP="009C7B6D">
      <w:pPr>
        <w:pStyle w:val="Caption"/>
        <w:jc w:val="center"/>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A274DA">
        <w:t>Pre-Installation Verification of Savings Estimation Options</w:t>
      </w:r>
    </w:p>
    <w:p w14:paraId="257EB5A7" w14:textId="77777777" w:rsidR="00612C27" w:rsidRPr="00733B79" w:rsidRDefault="00612C27" w:rsidP="009C7B6D">
      <w:pPr>
        <w:jc w:val="center"/>
      </w:pPr>
      <w:r w:rsidRPr="00733B79">
        <w:rPr>
          <w:noProof/>
        </w:rPr>
        <w:drawing>
          <wp:inline distT="0" distB="0" distL="0" distR="0" wp14:anchorId="5039E42A" wp14:editId="6C1F0C15">
            <wp:extent cx="4733925" cy="2714625"/>
            <wp:effectExtent l="0" t="0" r="9525" b="9525"/>
            <wp:docPr id="1414" name="Picture 1414" descr="A diagram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14" name="Picture 1414" descr="A diagram of a graph&#10;&#10;Description automatically generated with medium confidence"/>
                    <pic:cNvPicPr preferRelativeResize="0"/>
                  </pic:nvPicPr>
                  <pic:blipFill>
                    <a:blip r:embed="rId14"/>
                    <a:srcRect/>
                    <a:stretch>
                      <a:fillRect/>
                    </a:stretch>
                  </pic:blipFill>
                  <pic:spPr>
                    <a:xfrm>
                      <a:off x="0" y="0"/>
                      <a:ext cx="4734253" cy="2714813"/>
                    </a:xfrm>
                    <a:prstGeom prst="rect">
                      <a:avLst/>
                    </a:prstGeom>
                    <a:ln/>
                  </pic:spPr>
                </pic:pic>
              </a:graphicData>
            </a:graphic>
          </wp:inline>
        </w:drawing>
      </w:r>
    </w:p>
    <w:p w14:paraId="090B83B0" w14:textId="77777777" w:rsidR="00612C27" w:rsidRPr="00733B79" w:rsidRDefault="00612C27" w:rsidP="00612C27"/>
    <w:p w14:paraId="19C7BD5F" w14:textId="79A3BA65" w:rsidR="00612C27" w:rsidRPr="00733B79" w:rsidRDefault="00612C27" w:rsidP="00612C27">
      <w:r w:rsidRPr="00733B79">
        <w:t xml:space="preserve">The same savings </w:t>
      </w:r>
      <w:r w:rsidR="004D3092">
        <w:t xml:space="preserve">model selected by </w:t>
      </w:r>
      <w:r w:rsidR="00676D29" w:rsidRPr="00733B79">
        <w:t>automatic model selection algorithm</w:t>
      </w:r>
      <w:r w:rsidRPr="00733B79">
        <w:t xml:space="preserve"> as described in </w:t>
      </w:r>
      <w:r w:rsidR="00C06BA5">
        <w:t xml:space="preserve">Section </w:t>
      </w:r>
      <w:r w:rsidR="001D3E40">
        <w:fldChar w:fldCharType="begin"/>
      </w:r>
      <w:r w:rsidR="001D3E40">
        <w:instrText xml:space="preserve"> REF _Ref173965719 \w \h </w:instrText>
      </w:r>
      <w:r w:rsidR="001D3E40">
        <w:fldChar w:fldCharType="separate"/>
      </w:r>
      <w:r w:rsidR="001D3E40">
        <w:t>6.5.3</w:t>
      </w:r>
      <w:r w:rsidR="001D3E40">
        <w:fldChar w:fldCharType="end"/>
      </w:r>
      <w:r w:rsidR="00D5115E">
        <w:t>:</w:t>
      </w:r>
      <w:r w:rsidRPr="00733B79">
        <w:t xml:space="preserve"> “</w:t>
      </w:r>
      <w:r w:rsidR="00A22D4A">
        <w:t>Calculation of Savings and Peak Impacts</w:t>
      </w:r>
      <w:r w:rsidRPr="00733B79">
        <w:t>”, including method and software, will be applied to understand participant and comparison group changes in energy consumption. The calculated incremental impact of the program over the non-participant population will adjust both performance payments and claimable savings for the portfolio reported to the Program Administrator. Adjustments to gross savings</w:t>
      </w:r>
      <w:r w:rsidRPr="00733B79">
        <w:rPr>
          <w:vertAlign w:val="superscript"/>
        </w:rPr>
        <w:footnoteReference w:id="27"/>
      </w:r>
      <w:r w:rsidRPr="00733B79">
        <w:t xml:space="preserve"> for exogenous effects will be made using the </w:t>
      </w:r>
      <w:proofErr w:type="spellStart"/>
      <w:r w:rsidRPr="00733B79">
        <w:t>DiD</w:t>
      </w:r>
      <w:proofErr w:type="spellEnd"/>
      <w:r w:rsidRPr="00733B79">
        <w:t xml:space="preserve"> methodology, calculated on a percentage basis and then applied to the treatment group counterfactual. </w:t>
      </w:r>
    </w:p>
    <w:p w14:paraId="1EB8B576" w14:textId="77777777" w:rsidR="00612C27" w:rsidRPr="00733B79" w:rsidRDefault="00612C27" w:rsidP="00612C27"/>
    <w:p w14:paraId="2F164271" w14:textId="77777777" w:rsidR="00612C27" w:rsidRPr="00733B79" w:rsidRDefault="00612C27" w:rsidP="00612C27">
      <w:pPr>
        <w:pStyle w:val="Heading4"/>
        <w:rPr>
          <w:rFonts w:eastAsia="Calibri" w:cs="Arial"/>
        </w:rPr>
      </w:pPr>
      <w:bookmarkStart w:id="116" w:name="_Hlk106152776"/>
      <w:r w:rsidRPr="00733B79">
        <w:rPr>
          <w:rFonts w:eastAsia="Calibri" w:cs="Arial"/>
        </w:rPr>
        <w:lastRenderedPageBreak/>
        <w:t xml:space="preserve">Use </w:t>
      </w:r>
      <w:bookmarkEnd w:id="116"/>
      <w:r w:rsidRPr="00733B79">
        <w:rPr>
          <w:rFonts w:eastAsia="Calibri" w:cs="Arial"/>
        </w:rPr>
        <w:t>of Granular Profiles in Place of Comparison Groups Using</w:t>
      </w:r>
      <w:r w:rsidRPr="00733B79">
        <w:rPr>
          <w:rFonts w:cs="Arial"/>
        </w:rPr>
        <w:t xml:space="preserve"> t</w:t>
      </w:r>
      <w:r w:rsidRPr="00733B79">
        <w:rPr>
          <w:rFonts w:eastAsia="Calibri" w:cs="Arial"/>
        </w:rPr>
        <w:t>he Difference-in-Differences (</w:t>
      </w:r>
      <w:proofErr w:type="spellStart"/>
      <w:r w:rsidRPr="00733B79">
        <w:rPr>
          <w:rFonts w:eastAsia="Calibri" w:cs="Arial"/>
        </w:rPr>
        <w:t>DiD</w:t>
      </w:r>
      <w:proofErr w:type="spellEnd"/>
      <w:r w:rsidRPr="00733B79">
        <w:rPr>
          <w:rFonts w:eastAsia="Calibri" w:cs="Arial"/>
        </w:rPr>
        <w:t>) Approach</w:t>
      </w:r>
    </w:p>
    <w:p w14:paraId="52974FB0" w14:textId="77777777" w:rsidR="007C1BB7" w:rsidRDefault="007C1BB7" w:rsidP="00612C27"/>
    <w:p w14:paraId="011BED99" w14:textId="141610E5" w:rsidR="00612C27" w:rsidRPr="00733B79" w:rsidRDefault="00612C27" w:rsidP="00612C27">
      <w:r w:rsidRPr="00733B79">
        <w:t xml:space="preserve">In place of a comparison group comprised of actual non-participant customer data, PG&amp;E will provide </w:t>
      </w:r>
      <w:r w:rsidR="00C12709">
        <w:t xml:space="preserve">the </w:t>
      </w:r>
      <w:r w:rsidR="00295DC6">
        <w:t>AESC</w:t>
      </w:r>
      <w:r w:rsidR="00C12709">
        <w:t xml:space="preserve"> Team</w:t>
      </w:r>
      <w:r w:rsidRPr="00733B79">
        <w:t xml:space="preserve"> with </w:t>
      </w:r>
      <w:r w:rsidRPr="00733B79">
        <w:rPr>
          <w:i/>
          <w:iCs/>
        </w:rPr>
        <w:t>granular profiles</w:t>
      </w:r>
      <w:r w:rsidR="00F3112A">
        <w:rPr>
          <w:rStyle w:val="FootnoteReference"/>
          <w:i/>
          <w:iCs/>
        </w:rPr>
        <w:footnoteReference w:id="28"/>
      </w:r>
      <w:r w:rsidRPr="00733B79">
        <w:rPr>
          <w:i/>
          <w:iCs/>
        </w:rPr>
        <w:t xml:space="preserve">, </w:t>
      </w:r>
      <w:r w:rsidRPr="00733B79">
        <w:t xml:space="preserve">which are load profiles that characterize the energy consumption of specific segments of the non-participant customer population over the time of the baseline and intervention periods. The granular profiles are generated from interval data (hourly for electric, daily for gas) from non-participant </w:t>
      </w:r>
      <w:r w:rsidR="00050B13">
        <w:t>non-residential and residential</w:t>
      </w:r>
      <w:r w:rsidRPr="00733B79">
        <w:t xml:space="preserve"> customers. As such, the profiles characterize the energy use of unique customer strata that are not being treated by the </w:t>
      </w:r>
      <w:r w:rsidR="00E47F45">
        <w:t>AESC Team</w:t>
      </w:r>
      <w:r w:rsidRPr="00733B79">
        <w:t>.</w:t>
      </w:r>
      <w:r w:rsidRPr="00733B79">
        <w:rPr>
          <w:rStyle w:val="FootnoteReference"/>
        </w:rPr>
        <w:footnoteReference w:id="29"/>
      </w:r>
      <w:r w:rsidRPr="00733B79">
        <w:t xml:space="preserve"> The profiles are defined by business type (NAICS codes), size (defined by energy use), and climate region. For sites lacking a matched granular profile, or for which the meter is not impacted by typical external or market factors (e.g., exterior lighting on its own meter), </w:t>
      </w:r>
      <w:r w:rsidR="00BF1895">
        <w:t xml:space="preserve">the </w:t>
      </w:r>
      <w:r w:rsidR="00295DC6">
        <w:t xml:space="preserve">AESC </w:t>
      </w:r>
      <w:r w:rsidR="00BF1895">
        <w:t>Team</w:t>
      </w:r>
      <w:r w:rsidR="00295DC6">
        <w:t xml:space="preserve"> </w:t>
      </w:r>
      <w:r w:rsidRPr="00733B79">
        <w:t>may choose to use a different methodology.</w:t>
      </w:r>
    </w:p>
    <w:p w14:paraId="2776B078" w14:textId="77777777" w:rsidR="00612C27" w:rsidRPr="00733B79" w:rsidRDefault="00612C27" w:rsidP="00612C27"/>
    <w:p w14:paraId="0F5CB3AE" w14:textId="0ECA5F84" w:rsidR="00612C27" w:rsidRPr="00733B79" w:rsidRDefault="00BF1895" w:rsidP="00612C27">
      <w:r>
        <w:t>The</w:t>
      </w:r>
      <w:r w:rsidR="009A65BE">
        <w:t xml:space="preserve"> </w:t>
      </w:r>
      <w:r w:rsidR="00366634">
        <w:t>AESC Team</w:t>
      </w:r>
      <w:r w:rsidR="00612C27" w:rsidRPr="00733B79">
        <w:t xml:space="preserve"> will match each participant to its appropriate profile according to business type, size and climate region. Using a </w:t>
      </w:r>
      <w:proofErr w:type="spellStart"/>
      <w:r w:rsidR="00612C27" w:rsidRPr="00733B79">
        <w:t>DiD</w:t>
      </w:r>
      <w:proofErr w:type="spellEnd"/>
      <w:r w:rsidR="00612C27" w:rsidRPr="00733B79">
        <w:t xml:space="preserve"> method, </w:t>
      </w:r>
      <w:r w:rsidR="00607A72" w:rsidRPr="00733B79">
        <w:t>t</w:t>
      </w:r>
      <w:r w:rsidR="00607A72">
        <w:t>he AESC Team</w:t>
      </w:r>
      <w:r w:rsidR="00607A72" w:rsidRPr="00733B79">
        <w:t xml:space="preserve"> </w:t>
      </w:r>
      <w:r w:rsidR="00612C27" w:rsidRPr="00733B79">
        <w:t>will adjust site-level gross savings estimates. The segmentation approach for defining the granular profiles is being refined so that it incorporates learnings from the original research conducted for PG&amp;E on granular profiles</w:t>
      </w:r>
      <w:r w:rsidR="00612C27" w:rsidRPr="00733B79">
        <w:rPr>
          <w:rStyle w:val="FootnoteReference"/>
        </w:rPr>
        <w:t xml:space="preserve"> </w:t>
      </w:r>
      <w:r w:rsidR="00612C27" w:rsidRPr="00733B79">
        <w:t xml:space="preserve">and will be supplied when available. </w:t>
      </w:r>
    </w:p>
    <w:p w14:paraId="7265CF25" w14:textId="77777777" w:rsidR="00612C27" w:rsidRPr="00733B79" w:rsidRDefault="00612C27" w:rsidP="00612C27"/>
    <w:p w14:paraId="46C8B816" w14:textId="77777777" w:rsidR="00612C27" w:rsidRPr="00733B79" w:rsidRDefault="00612C27" w:rsidP="00612C27">
      <w:pPr>
        <w:pStyle w:val="Heading4"/>
        <w:rPr>
          <w:rFonts w:cs="Arial"/>
        </w:rPr>
      </w:pPr>
      <w:r w:rsidRPr="00733B79">
        <w:rPr>
          <w:rFonts w:eastAsia="Calibri" w:cs="Arial"/>
        </w:rPr>
        <w:t>Alternative Method in Case of Outlier Buildings</w:t>
      </w:r>
    </w:p>
    <w:p w14:paraId="1D4B0CF8" w14:textId="77777777" w:rsidR="00612C27" w:rsidRPr="00733B79" w:rsidRDefault="00612C27" w:rsidP="00612C27"/>
    <w:p w14:paraId="633D4BED" w14:textId="04BF0999" w:rsidR="00612C27" w:rsidRPr="00733B79" w:rsidRDefault="003B4449" w:rsidP="00612C27">
      <w:r>
        <w:t>T</w:t>
      </w:r>
      <w:r w:rsidR="00612C27" w:rsidRPr="00733B79">
        <w:t>here are rare instances in which granular profiles do not provide accurate adjustments in highly unique buildings. In these instances, PG&amp;E will do the following:</w:t>
      </w:r>
    </w:p>
    <w:p w14:paraId="4196A807" w14:textId="77777777" w:rsidR="00612C27" w:rsidRPr="00733B79" w:rsidRDefault="00612C27" w:rsidP="00612C27"/>
    <w:p w14:paraId="4BB8E1B8" w14:textId="77777777" w:rsidR="00612C27" w:rsidRPr="00733B79" w:rsidRDefault="00612C27" w:rsidP="001614E7">
      <w:pPr>
        <w:pStyle w:val="ListParagraph"/>
        <w:numPr>
          <w:ilvl w:val="0"/>
          <w:numId w:val="31"/>
        </w:numPr>
        <w:autoSpaceDE/>
        <w:autoSpaceDN/>
        <w:adjustRightInd/>
      </w:pPr>
      <w:r w:rsidRPr="00733B79">
        <w:t>Assess the accuracy of the synthetic controls at the site level. If the site-level out-of-sample CV(RMSE) is above 0.75, PG&amp;E will identify a matched control for the participating customer.</w:t>
      </w:r>
    </w:p>
    <w:p w14:paraId="0EB82D22" w14:textId="423DFC0D" w:rsidR="00612C27" w:rsidRPr="00733B79" w:rsidRDefault="00612C27" w:rsidP="001614E7">
      <w:pPr>
        <w:pStyle w:val="ListParagraph"/>
        <w:numPr>
          <w:ilvl w:val="0"/>
          <w:numId w:val="31"/>
        </w:numPr>
        <w:autoSpaceDE/>
        <w:autoSpaceDN/>
        <w:adjustRightInd/>
      </w:pPr>
      <w:r w:rsidRPr="00733B79">
        <w:t xml:space="preserve">If site-level out-of-sample CV(RMSE) is higher for the matched control group </w:t>
      </w:r>
      <w:proofErr w:type="spellStart"/>
      <w:r w:rsidRPr="00733B79">
        <w:t>DiD</w:t>
      </w:r>
      <w:proofErr w:type="spellEnd"/>
      <w:r w:rsidRPr="00733B79">
        <w:t xml:space="preserve">, then PG&amp;E will use the matched control to calculate savings and payments for the identified site. </w:t>
      </w:r>
    </w:p>
    <w:p w14:paraId="4AA82A4C" w14:textId="77777777" w:rsidR="00612C27" w:rsidRPr="00733B79" w:rsidRDefault="00612C27" w:rsidP="00612C27"/>
    <w:p w14:paraId="306B813F" w14:textId="08FDA27D" w:rsidR="00612C27" w:rsidRPr="00733B79" w:rsidRDefault="00612C27" w:rsidP="00612C27">
      <w:r w:rsidRPr="00733B79">
        <w:t xml:space="preserve">For sites lacking a matched granular profile or for which the meter is not impacted by typical external or market factors (e.g., exterior lighting on its own meter), the </w:t>
      </w:r>
      <w:r w:rsidR="00B5141D">
        <w:t>AESC Team</w:t>
      </w:r>
      <w:r w:rsidRPr="00733B79">
        <w:t xml:space="preserve"> reserves the right to calculate claimable and payable savings without a granular profile adjustment. Other scenarios can be justified by </w:t>
      </w:r>
      <w:r w:rsidRPr="00733B79" w:rsidDel="000C0ECC">
        <w:t xml:space="preserve">the </w:t>
      </w:r>
      <w:r w:rsidR="009C2CFC">
        <w:t>AESC</w:t>
      </w:r>
      <w:r w:rsidR="005F5CB9">
        <w:t xml:space="preserve"> Team</w:t>
      </w:r>
      <w:r w:rsidRPr="00733B79">
        <w:t xml:space="preserve"> with PG&amp;E approval.</w:t>
      </w:r>
    </w:p>
    <w:p w14:paraId="274A2D59" w14:textId="77777777" w:rsidR="00612C27" w:rsidRPr="00733B79" w:rsidRDefault="00612C27" w:rsidP="00612C27"/>
    <w:p w14:paraId="63BA728A" w14:textId="77777777" w:rsidR="00612C27" w:rsidRPr="00733B79" w:rsidRDefault="00612C27" w:rsidP="00612C27">
      <w:pPr>
        <w:pStyle w:val="Heading4"/>
        <w:rPr>
          <w:rFonts w:eastAsia="Calibri" w:cs="Arial"/>
        </w:rPr>
      </w:pPr>
      <w:r w:rsidRPr="00733B79">
        <w:rPr>
          <w:rFonts w:eastAsia="Calibri" w:cs="Arial"/>
        </w:rPr>
        <w:t>Application of the Default Net-to-Gross Ratio</w:t>
      </w:r>
    </w:p>
    <w:p w14:paraId="02C915B7" w14:textId="77777777" w:rsidR="00612C27" w:rsidRPr="00733B79" w:rsidRDefault="00612C27" w:rsidP="00612C27"/>
    <w:p w14:paraId="7752D170" w14:textId="23472295" w:rsidR="00612C27" w:rsidRPr="00733B79" w:rsidRDefault="00612C27" w:rsidP="00612C27">
      <w:r w:rsidRPr="00733B79">
        <w:t xml:space="preserve">In addition to the </w:t>
      </w:r>
      <w:proofErr w:type="spellStart"/>
      <w:r w:rsidRPr="00733B79">
        <w:t>DiD</w:t>
      </w:r>
      <w:proofErr w:type="spellEnd"/>
      <w:r w:rsidRPr="00733B79">
        <w:t xml:space="preserve"> adjustment using granular profiles, PG&amp;E will apply the 0.95 default net to gross ratio adopted for Commercial NMEC programs as specified in the October 12, 2019</w:t>
      </w:r>
      <w:r w:rsidR="00387ECF">
        <w:t>,</w:t>
      </w:r>
      <w:r w:rsidRPr="00733B79">
        <w:t xml:space="preserve"> DEER Resolution to account for free ridership.</w:t>
      </w:r>
      <w:r w:rsidRPr="00733B79">
        <w:rPr>
          <w:rStyle w:val="FootnoteReference"/>
        </w:rPr>
        <w:footnoteReference w:id="30"/>
      </w:r>
      <w:r w:rsidRPr="00733B79">
        <w:t xml:space="preserve"> This adjustment will be applied on top of the </w:t>
      </w:r>
      <w:r w:rsidRPr="00733B79">
        <w:lastRenderedPageBreak/>
        <w:t>comparison group adjustment that also adjusts for free ridership and thereby provides a more conservative estimate of net savings.</w:t>
      </w:r>
    </w:p>
    <w:p w14:paraId="3F39AC3A" w14:textId="77777777" w:rsidR="00612C27" w:rsidRDefault="00612C27" w:rsidP="00612C27"/>
    <w:p w14:paraId="21BBC839" w14:textId="77777777" w:rsidR="003476BF" w:rsidRDefault="003476BF" w:rsidP="00612C27"/>
    <w:p w14:paraId="1CB6E291" w14:textId="77777777" w:rsidR="003476BF" w:rsidRPr="00733B79" w:rsidRDefault="003476BF" w:rsidP="003476BF">
      <w:pPr>
        <w:pStyle w:val="Heading2"/>
      </w:pPr>
      <w:bookmarkStart w:id="117" w:name="_Toc173831625"/>
      <w:bookmarkStart w:id="118" w:name="_Ref173879457"/>
      <w:r w:rsidRPr="00733B79">
        <w:t>Outlier Site and Site-Specific Non-Routine Event Identification</w:t>
      </w:r>
      <w:bookmarkEnd w:id="117"/>
      <w:bookmarkEnd w:id="118"/>
    </w:p>
    <w:p w14:paraId="2F1E847B" w14:textId="77777777" w:rsidR="003476BF" w:rsidRPr="00733B79" w:rsidRDefault="003476BF" w:rsidP="003476BF"/>
    <w:p w14:paraId="40CD382D" w14:textId="77777777" w:rsidR="003476BF" w:rsidRDefault="003476BF" w:rsidP="003476BF">
      <w:r>
        <w:t xml:space="preserve">Outlier site and site-specific non-routine event identification is specific to the type of NMEC project. Population-level NMEC projects do not allow for calculated adjustments specific to the project site and instead use “pre-set methods” that are “applied uniformly to all sites in the program” as required by the CPUC NMEC Rulebook. Site-level NMEC projects allow for site specific adjustments when described in the project’s site-level M&amp;V plan. </w:t>
      </w:r>
    </w:p>
    <w:p w14:paraId="78823CB0" w14:textId="77777777" w:rsidR="00A156B3" w:rsidRDefault="00A156B3" w:rsidP="003476BF"/>
    <w:p w14:paraId="205E50F2" w14:textId="77777777" w:rsidR="00FA73DE" w:rsidRDefault="00FA73DE" w:rsidP="00FA73DE">
      <w:r>
        <w:t xml:space="preserve">A non-routine event (NRE) is an event that changes the energy consumption within the measurement boundary (project meter(s)) that is unrelated to the project’s installed energy efficiency measures’ scope. NREs may include change in building load (add/remove equipment, add/remove IT load), change of occupancy, renovation/construction, change of building use, change in setpoints, etc. </w:t>
      </w:r>
    </w:p>
    <w:p w14:paraId="1BF0F9DB" w14:textId="77777777" w:rsidR="003476BF" w:rsidRDefault="003476BF" w:rsidP="003476BF"/>
    <w:p w14:paraId="06AE026E" w14:textId="77777777" w:rsidR="003476BF" w:rsidRDefault="003476BF" w:rsidP="003476BF"/>
    <w:p w14:paraId="1089AF04" w14:textId="233E008E" w:rsidR="00350122" w:rsidRPr="00F634E8" w:rsidRDefault="007436F2" w:rsidP="009C7B6D">
      <w:pPr>
        <w:pStyle w:val="Heading3"/>
        <w:rPr>
          <w:rFonts w:eastAsia="Calibri"/>
        </w:rPr>
      </w:pPr>
      <w:r w:rsidRPr="00F634E8">
        <w:rPr>
          <w:rFonts w:eastAsia="Calibri"/>
        </w:rPr>
        <w:t>Population Level NMEC</w:t>
      </w:r>
    </w:p>
    <w:p w14:paraId="7E8BD6B1" w14:textId="46283BC4" w:rsidR="003476BF" w:rsidRPr="009C7B6D" w:rsidRDefault="003476BF" w:rsidP="009C7B6D">
      <w:pPr>
        <w:pStyle w:val="Heading4"/>
        <w:rPr>
          <w:rFonts w:eastAsia="Calibri"/>
          <w:u w:val="single"/>
        </w:rPr>
      </w:pPr>
      <w:r w:rsidRPr="009C7B6D">
        <w:rPr>
          <w:rFonts w:eastAsia="Calibri" w:cs="Arial"/>
        </w:rPr>
        <w:t xml:space="preserve">Pre-Screening </w:t>
      </w:r>
    </w:p>
    <w:p w14:paraId="55B83C7C" w14:textId="51411223" w:rsidR="003476BF" w:rsidRPr="009C7B6D" w:rsidRDefault="003476BF" w:rsidP="009C7B6D">
      <w:r w:rsidRPr="543FD19B">
        <w:t xml:space="preserve">In the process of customer acquisition, Aggregators will verify with customers that they do not plan to install major new load additions or subtractions, solar PV, or EV charging in the reporting year (post-program implementation). In addition, </w:t>
      </w:r>
      <w:r w:rsidR="00DE27F3">
        <w:t xml:space="preserve">the </w:t>
      </w:r>
      <w:r w:rsidRPr="543FD19B">
        <w:t xml:space="preserve">AESC Team will work with PG&amp;E to determine if customers are already participating in other energy efficiency programs, have installed an EV charging system, or solar PV or battery storage within the baseline year. In these instances, </w:t>
      </w:r>
      <w:r w:rsidR="001F4CC0">
        <w:t>the</w:t>
      </w:r>
      <w:r w:rsidRPr="543FD19B">
        <w:t xml:space="preserve"> AESC Team will determine if the baseline can be adjusted to account for those interventions. Program participation will be at</w:t>
      </w:r>
      <w:r w:rsidR="001F4CC0">
        <w:t xml:space="preserve"> the</w:t>
      </w:r>
      <w:r w:rsidRPr="543FD19B">
        <w:t xml:space="preserve"> AESC Team’s discretion, with PG&amp;E approval. Aggregator</w:t>
      </w:r>
      <w:r w:rsidR="00732BF0">
        <w:t>s</w:t>
      </w:r>
      <w:r w:rsidRPr="543FD19B">
        <w:t xml:space="preserve"> will also identify if customers are participating in a demand response program in order to comply with conditions specified in the “Demand Response Participation” section. Finally, PG&amp;E will ensure that savings claims will not be duplicated by cross-referencing known participants in other programs. PG&amp;E will be responsible for providing this data </w:t>
      </w:r>
      <w:r w:rsidR="00744468">
        <w:t xml:space="preserve">to </w:t>
      </w:r>
      <w:r w:rsidR="008C7918">
        <w:t xml:space="preserve">the </w:t>
      </w:r>
      <w:r w:rsidR="00744468">
        <w:t>AESC</w:t>
      </w:r>
      <w:r w:rsidRPr="543FD19B">
        <w:t xml:space="preserve"> </w:t>
      </w:r>
      <w:r w:rsidR="008C7918">
        <w:t>Team</w:t>
      </w:r>
      <w:r w:rsidRPr="543FD19B">
        <w:t xml:space="preserve"> on a monthly basis to ensure accurate monthly program forecasting and reporting, per reporting </w:t>
      </w:r>
      <w:r w:rsidR="00F4359D">
        <w:t xml:space="preserve">CPUC </w:t>
      </w:r>
      <w:r w:rsidRPr="543FD19B">
        <w:t>requirements</w:t>
      </w:r>
      <w:r w:rsidR="004B526E">
        <w:t>. I</w:t>
      </w:r>
      <w:r w:rsidRPr="543FD19B">
        <w:t>f data is not provided in a timely fashion and sites are enrolled that have participated within the previous year, project reservations, tracking, and payments to Aggregators will be maintained.</w:t>
      </w:r>
    </w:p>
    <w:p w14:paraId="17F54860" w14:textId="77777777" w:rsidR="003476BF" w:rsidRDefault="003476BF" w:rsidP="003476BF">
      <w:pPr>
        <w:spacing w:after="120"/>
        <w:rPr>
          <w:u w:val="single"/>
        </w:rPr>
      </w:pPr>
    </w:p>
    <w:p w14:paraId="37E650DC" w14:textId="77777777" w:rsidR="003476BF" w:rsidRPr="009C7B6D" w:rsidRDefault="003476BF" w:rsidP="009C7B6D">
      <w:pPr>
        <w:pStyle w:val="Heading4"/>
      </w:pPr>
      <w:r w:rsidRPr="009C7B6D">
        <w:rPr>
          <w:rFonts w:eastAsia="Calibri" w:cs="Arial"/>
        </w:rPr>
        <w:t xml:space="preserve">Baseline Data </w:t>
      </w:r>
    </w:p>
    <w:p w14:paraId="62BA1E88" w14:textId="26DF0D1B" w:rsidR="003476BF" w:rsidRDefault="003476BF" w:rsidP="009C7B6D">
      <w:r w:rsidRPr="00733B79">
        <w:t xml:space="preserve">Customers who experience a baseline, site-specific NRE (such as a wholesale change to equipment operating at the site, or a significant change in building hours or operations, or erratic energy consumption that </w:t>
      </w:r>
      <w:r>
        <w:t xml:space="preserve">cannot be normalized well to temperature </w:t>
      </w:r>
      <w:r w:rsidRPr="00733B79">
        <w:t>during the baseline period) may be excluded from the program. Some scenarios in which they may remain include:</w:t>
      </w:r>
    </w:p>
    <w:p w14:paraId="19322572" w14:textId="77777777" w:rsidR="003476BF" w:rsidRDefault="003476BF" w:rsidP="003476BF">
      <w:pPr>
        <w:pStyle w:val="Bullets1"/>
        <w:spacing w:after="120"/>
      </w:pPr>
      <w:r>
        <w:t xml:space="preserve">Affected metered energy consumption can be excluded from the analysis without violating minimum data sufficiency standards. </w:t>
      </w:r>
    </w:p>
    <w:p w14:paraId="33D33851" w14:textId="77777777" w:rsidR="003476BF" w:rsidRDefault="003476BF" w:rsidP="003476BF">
      <w:pPr>
        <w:pStyle w:val="Bullets1"/>
        <w:spacing w:after="120"/>
      </w:pPr>
      <w:r>
        <w:t xml:space="preserve">The site-specific NRE does not materially affect the project and population savings. </w:t>
      </w:r>
    </w:p>
    <w:p w14:paraId="49245437" w14:textId="6A7C5D34" w:rsidR="003476BF" w:rsidRDefault="003476BF" w:rsidP="003476BF">
      <w:pPr>
        <w:pStyle w:val="Bullets1"/>
        <w:spacing w:after="120"/>
      </w:pPr>
      <w:r>
        <w:t xml:space="preserve">Other situations </w:t>
      </w:r>
      <w:r w:rsidR="00467BBA">
        <w:t xml:space="preserve">with </w:t>
      </w:r>
      <w:r w:rsidR="00146450">
        <w:t>AESC Team</w:t>
      </w:r>
      <w:r>
        <w:t xml:space="preserve"> and PG&amp;E approval. </w:t>
      </w:r>
    </w:p>
    <w:p w14:paraId="11BFA530" w14:textId="77777777" w:rsidR="003476BF" w:rsidRDefault="003476BF" w:rsidP="009C7B6D">
      <w:pPr>
        <w:pStyle w:val="Bullets1"/>
        <w:numPr>
          <w:ilvl w:val="0"/>
          <w:numId w:val="0"/>
        </w:numPr>
        <w:spacing w:after="120"/>
        <w:ind w:left="1080"/>
      </w:pPr>
    </w:p>
    <w:p w14:paraId="0030E8CD" w14:textId="77777777" w:rsidR="003476BF" w:rsidRPr="009C7B6D" w:rsidRDefault="003476BF" w:rsidP="009C7B6D">
      <w:pPr>
        <w:pStyle w:val="Heading4"/>
      </w:pPr>
      <w:r w:rsidRPr="009C7B6D">
        <w:rPr>
          <w:rFonts w:eastAsia="Calibri" w:cs="Arial"/>
        </w:rPr>
        <w:lastRenderedPageBreak/>
        <w:t xml:space="preserve">Performance   </w:t>
      </w:r>
    </w:p>
    <w:p w14:paraId="6F5FA316" w14:textId="40108E66" w:rsidR="003476BF" w:rsidRDefault="003476BF" w:rsidP="003476BF">
      <w:pPr>
        <w:pStyle w:val="Body1"/>
      </w:pPr>
      <w:r>
        <w:t xml:space="preserve">The </w:t>
      </w:r>
      <w:r w:rsidR="00146450">
        <w:t>AESC Team</w:t>
      </w:r>
      <w:r>
        <w:t xml:space="preserve"> will not make site-specific NRE adjustments. Projects will be regularly and systematically screened in Praxis for possible site-specific NRE according to the following procedure: </w:t>
      </w:r>
    </w:p>
    <w:p w14:paraId="4300800D" w14:textId="77777777" w:rsidR="003476BF" w:rsidRDefault="003476BF" w:rsidP="003476BF">
      <w:pPr>
        <w:pStyle w:val="Bullets1"/>
        <w:spacing w:after="120"/>
      </w:pPr>
      <w:r w:rsidRPr="00693019">
        <w:rPr>
          <w:b/>
          <w:lang w:val="en-US"/>
        </w:rPr>
        <w:t>Excess Savings:</w:t>
      </w:r>
      <w:r w:rsidRPr="543FD19B">
        <w:rPr>
          <w:lang w:val="en-US"/>
        </w:rPr>
        <w:t xml:space="preserve"> Calculate the GP adjusted savings compared to GP adjusted counterfactual for each project on a quarterly basis. Any projects with quarterly savings that exceed 50% will be flagged as an NRE. Justification can be given to override the NRE flag. For example, if the project savings estimate exceeded the threshold.  </w:t>
      </w:r>
    </w:p>
    <w:p w14:paraId="053D3ABC" w14:textId="0E2FE81A" w:rsidR="003476BF" w:rsidRDefault="003476BF" w:rsidP="003476BF">
      <w:pPr>
        <w:pStyle w:val="Bullets1"/>
        <w:spacing w:after="120"/>
      </w:pPr>
      <w:r w:rsidRPr="00693019">
        <w:rPr>
          <w:b/>
          <w:lang w:val="en-US"/>
        </w:rPr>
        <w:t>Deterioration of Model Fit:</w:t>
      </w:r>
      <w:r w:rsidRPr="543FD19B">
        <w:rPr>
          <w:lang w:val="en-US"/>
        </w:rPr>
        <w:t xml:space="preserve"> After 12 months of M&amp;V, a regression model will be fit to the post-install consumption data and if the CV(RMSE) is greater than 0.75, then the project will be flagged as a site-specific NRE. The regression model form for this test will match the form used </w:t>
      </w:r>
      <w:r w:rsidR="00914F95">
        <w:rPr>
          <w:lang w:val="en-US"/>
        </w:rPr>
        <w:t>to define the</w:t>
      </w:r>
      <w:r w:rsidRPr="543FD19B">
        <w:rPr>
          <w:lang w:val="en-US"/>
        </w:rPr>
        <w:t xml:space="preserve"> baseline model.  </w:t>
      </w:r>
    </w:p>
    <w:p w14:paraId="1902E0C4" w14:textId="77777777" w:rsidR="003476BF" w:rsidRDefault="003476BF" w:rsidP="003476BF">
      <w:pPr>
        <w:pStyle w:val="Body1"/>
      </w:pPr>
      <w:r w:rsidRPr="543FD19B">
        <w:rPr>
          <w:lang w:val="en-US"/>
        </w:rPr>
        <w:t xml:space="preserve">A project may be classified as having an NRE if the savings are determined to be invalid and unrelated to the approved/installed project measure.   </w:t>
      </w:r>
    </w:p>
    <w:p w14:paraId="1E7587F6" w14:textId="77777777" w:rsidR="003476BF" w:rsidRDefault="003476BF" w:rsidP="003476BF"/>
    <w:p w14:paraId="1DEDAA28" w14:textId="77777777" w:rsidR="003476BF" w:rsidRPr="00857DD6" w:rsidRDefault="003476BF" w:rsidP="009C7B6D">
      <w:pPr>
        <w:pStyle w:val="Heading3"/>
      </w:pPr>
      <w:r w:rsidRPr="009C7B6D">
        <w:rPr>
          <w:rFonts w:eastAsia="Calibri" w:cs="Arial"/>
        </w:rPr>
        <w:t xml:space="preserve">Non-Routine Event Treatment – </w:t>
      </w:r>
      <w:r>
        <w:t>Forecasted</w:t>
      </w:r>
      <w:r w:rsidRPr="00857DD6">
        <w:t xml:space="preserve"> Savings Method  </w:t>
      </w:r>
    </w:p>
    <w:p w14:paraId="41A58671" w14:textId="77777777" w:rsidR="003476BF" w:rsidRPr="00733B79" w:rsidRDefault="003476BF" w:rsidP="003476BF">
      <w:pPr>
        <w:pStyle w:val="Body1"/>
      </w:pPr>
      <w:r w:rsidRPr="543FD19B">
        <w:rPr>
          <w:lang w:val="en-US"/>
        </w:rPr>
        <w:t xml:space="preserve">Projects that are flagged as having one or more NRE in the Performance period, or when savings are no longer valid, will transition to assigned savings where the project savings will be estimated using a consistent adjustment applied uniformly to all NRE projects, called the “NRE Treatment – Forecasted Savings Method.” Projects will be clearly marked as NRE throughout the software. Projects marked with NRE will have payable and claimable savings based on forecasted savings (according to the assigned default load shape) and the Aggregator’s realization rate. Realization rates will be calculated based on the Aggregator’s portfolio performance (excluding NRE sites), as the ratio of realized savings to forecasted savings. The Forecasted Savings Method process is detailed below.  </w:t>
      </w:r>
    </w:p>
    <w:p w14:paraId="06236297" w14:textId="77777777" w:rsidR="003476BF" w:rsidRPr="00733B79" w:rsidRDefault="003476BF" w:rsidP="003476BF"/>
    <w:p w14:paraId="1689DD8D" w14:textId="77777777" w:rsidR="003476BF" w:rsidRPr="00733B79" w:rsidRDefault="003476BF" w:rsidP="003476BF">
      <w:pPr>
        <w:numPr>
          <w:ilvl w:val="0"/>
          <w:numId w:val="34"/>
        </w:numPr>
        <w:autoSpaceDE/>
        <w:autoSpaceDN/>
        <w:adjustRightInd/>
      </w:pPr>
      <w:r w:rsidRPr="00733B79">
        <w:t>Measured savings will be cleared from the project and replaced with the forecasted annual savings, distributed hourly</w:t>
      </w:r>
      <w:r>
        <w:t xml:space="preserve"> (daily for gas)</w:t>
      </w:r>
      <w:r w:rsidRPr="00733B79">
        <w:t xml:space="preserve"> according to project’s primary measure’s load shape, and adjusted by the Aggregator’s realization rate. </w:t>
      </w:r>
    </w:p>
    <w:p w14:paraId="42052185" w14:textId="77777777" w:rsidR="003476BF" w:rsidRPr="00733B79" w:rsidRDefault="003476BF" w:rsidP="003476BF">
      <w:pPr>
        <w:numPr>
          <w:ilvl w:val="0"/>
          <w:numId w:val="34"/>
        </w:numPr>
        <w:autoSpaceDE/>
        <w:autoSpaceDN/>
        <w:adjustRightInd/>
      </w:pPr>
      <w:r w:rsidRPr="00733B79">
        <w:t xml:space="preserve">An interim realization rate will be established based on the Aggregator’s portfolio of non-NRE treated sites and include all performance available at the time the project is marked as NRE Treatment. The interim realization rate will be used to report monthly and quarterly savings for the project while the project is still in the M&amp;V period. </w:t>
      </w:r>
    </w:p>
    <w:p w14:paraId="125A1DD8" w14:textId="77777777" w:rsidR="003476BF" w:rsidRPr="00733B79" w:rsidRDefault="003476BF" w:rsidP="003476BF">
      <w:pPr>
        <w:numPr>
          <w:ilvl w:val="0"/>
          <w:numId w:val="34"/>
        </w:numPr>
        <w:autoSpaceDE/>
        <w:autoSpaceDN/>
        <w:adjustRightInd/>
      </w:pPr>
      <w:r w:rsidRPr="00733B79">
        <w:t xml:space="preserve">Once the NRE treated site has completed the full 12-month M&amp;V period, a new realization rate will be calculated using the Aggregator’s portfolio of non-NRE Treated Sites and all performance data up to that date. The new realization rate will replace the project’s interim realization rate, and forecasted savings will be recalculated for the entire M&amp;V period. </w:t>
      </w:r>
    </w:p>
    <w:p w14:paraId="2637A270" w14:textId="6C13F300" w:rsidR="003476BF" w:rsidRDefault="003476BF" w:rsidP="003476BF">
      <w:pPr>
        <w:numPr>
          <w:ilvl w:val="0"/>
          <w:numId w:val="34"/>
        </w:numPr>
        <w:autoSpaceDE/>
        <w:autoSpaceDN/>
        <w:adjustRightInd/>
      </w:pPr>
      <w:r w:rsidRPr="00733B79">
        <w:t xml:space="preserve">The project will receive a final true-up payment based on the recalculated results. </w:t>
      </w:r>
    </w:p>
    <w:p w14:paraId="4C0D5103" w14:textId="77777777" w:rsidR="003476BF" w:rsidRPr="00733B79" w:rsidRDefault="003476BF" w:rsidP="00612C27"/>
    <w:p w14:paraId="2F1F3780" w14:textId="77777777" w:rsidR="00612C27" w:rsidRPr="00733B79" w:rsidRDefault="00612C27" w:rsidP="00612C27"/>
    <w:p w14:paraId="5BA0FEB1" w14:textId="0492CA9E" w:rsidR="00612C27" w:rsidRPr="00733B79" w:rsidRDefault="00612C27" w:rsidP="00B62D70">
      <w:pPr>
        <w:pStyle w:val="Heading2"/>
      </w:pPr>
      <w:bookmarkStart w:id="119" w:name="_a250whh0u6y9"/>
      <w:bookmarkStart w:id="120" w:name="_Toc162606057"/>
      <w:bookmarkStart w:id="121" w:name="_Toc173831626"/>
      <w:bookmarkEnd w:id="119"/>
      <w:r w:rsidRPr="00733B79">
        <w:t>Demand Response Participation</w:t>
      </w:r>
      <w:bookmarkEnd w:id="120"/>
      <w:bookmarkEnd w:id="121"/>
    </w:p>
    <w:p w14:paraId="4A57BA4C" w14:textId="77777777" w:rsidR="00612C27" w:rsidRPr="00733B79" w:rsidRDefault="00612C27" w:rsidP="00612C27"/>
    <w:p w14:paraId="2292C1F7" w14:textId="2431B102" w:rsidR="00612C27" w:rsidRPr="00733B79" w:rsidRDefault="00612C27" w:rsidP="00612C27">
      <w:r w:rsidRPr="00733B79">
        <w:lastRenderedPageBreak/>
        <w:t xml:space="preserve">Customer sites may participate in both the </w:t>
      </w:r>
      <w:r w:rsidR="00A22E94">
        <w:t>MSSR</w:t>
      </w:r>
      <w:r w:rsidRPr="00733B79">
        <w:t xml:space="preserve"> and a separate Demand Response (DR) program. To qualify for Dual Enrollment, the following conditions must be met:</w:t>
      </w:r>
    </w:p>
    <w:p w14:paraId="7327D7BA" w14:textId="77777777" w:rsidR="00612C27" w:rsidRPr="00733B79" w:rsidRDefault="00612C27" w:rsidP="00612C27"/>
    <w:p w14:paraId="5A8BE0D9" w14:textId="71DE1DD6" w:rsidR="00612C27" w:rsidRPr="00733B79" w:rsidRDefault="00D52C7A" w:rsidP="001614E7">
      <w:pPr>
        <w:pStyle w:val="ListParagraph"/>
        <w:numPr>
          <w:ilvl w:val="0"/>
          <w:numId w:val="22"/>
        </w:numPr>
        <w:autoSpaceDE/>
        <w:autoSpaceDN/>
        <w:adjustRightInd/>
      </w:pPr>
      <w:r w:rsidRPr="00733B79">
        <w:t>MSSR</w:t>
      </w:r>
      <w:r w:rsidR="00612C27" w:rsidRPr="00733B79">
        <w:t xml:space="preserve"> Aggregators agree that the site may participate in DR events during the energy efficiency measurement period.</w:t>
      </w:r>
    </w:p>
    <w:p w14:paraId="433DBC6C" w14:textId="0011F7F7" w:rsidR="00612C27" w:rsidRPr="00733B79" w:rsidRDefault="00D52C7A" w:rsidP="001614E7">
      <w:pPr>
        <w:pStyle w:val="ListParagraph"/>
        <w:numPr>
          <w:ilvl w:val="0"/>
          <w:numId w:val="22"/>
        </w:numPr>
        <w:autoSpaceDE/>
        <w:autoSpaceDN/>
        <w:adjustRightInd/>
      </w:pPr>
      <w:r w:rsidRPr="00733B79">
        <w:t>MSSR</w:t>
      </w:r>
      <w:r w:rsidR="00612C27" w:rsidRPr="00733B79">
        <w:t xml:space="preserve"> Aggregators must disclose any separate Demand Response program participation during enrollment for each site.</w:t>
      </w:r>
    </w:p>
    <w:p w14:paraId="3272620A" w14:textId="1EA6F26F" w:rsidR="00612C27" w:rsidRPr="00733B79" w:rsidRDefault="00612C27" w:rsidP="001614E7">
      <w:pPr>
        <w:pStyle w:val="ListParagraph"/>
        <w:numPr>
          <w:ilvl w:val="0"/>
          <w:numId w:val="22"/>
        </w:numPr>
        <w:autoSpaceDE/>
        <w:autoSpaceDN/>
        <w:adjustRightInd/>
      </w:pPr>
      <w:r w:rsidRPr="00733B79">
        <w:t xml:space="preserve">Participation in the </w:t>
      </w:r>
      <w:r w:rsidR="00D52C7A" w:rsidRPr="00733B79">
        <w:t>MSSR</w:t>
      </w:r>
      <w:r w:rsidRPr="00733B79">
        <w:t xml:space="preserve"> does not hinder or violate the Aggregator’s obligations to deliver DR resources in other markets (programs, CAISO, contracts, etc.). </w:t>
      </w:r>
    </w:p>
    <w:p w14:paraId="6927D533" w14:textId="77777777" w:rsidR="00612C27" w:rsidRPr="00733B79" w:rsidRDefault="00612C27" w:rsidP="00612C27"/>
    <w:p w14:paraId="382AEEE1" w14:textId="52D73FC5" w:rsidR="00612C27" w:rsidRPr="00733B79" w:rsidRDefault="00612C27" w:rsidP="00612C27">
      <w:r w:rsidRPr="00733B79">
        <w:t xml:space="preserve">Dual participation requires timely information about called events and reliable transfer of this data. The Aggregator of a site or sites enrolled in both </w:t>
      </w:r>
      <w:proofErr w:type="gramStart"/>
      <w:r w:rsidR="00D52C7A" w:rsidRPr="00733B79">
        <w:t>MSSR</w:t>
      </w:r>
      <w:proofErr w:type="gramEnd"/>
      <w:r w:rsidRPr="00733B79">
        <w:t xml:space="preserve"> and a DR program will be subject to different requirements depending on which party provides the data. The two types of Aggregator requirements are listed below:</w:t>
      </w:r>
    </w:p>
    <w:p w14:paraId="621AF00C" w14:textId="77777777" w:rsidR="00612C27" w:rsidRPr="00733B79" w:rsidRDefault="00612C27" w:rsidP="00612C27"/>
    <w:p w14:paraId="3E77F30C" w14:textId="77777777" w:rsidR="00612C27" w:rsidRPr="00733B79" w:rsidRDefault="00612C27" w:rsidP="001614E7">
      <w:pPr>
        <w:pStyle w:val="ListParagraph"/>
        <w:numPr>
          <w:ilvl w:val="0"/>
          <w:numId w:val="36"/>
        </w:numPr>
        <w:autoSpaceDE/>
        <w:autoSpaceDN/>
        <w:adjustRightInd/>
      </w:pPr>
      <w:r w:rsidRPr="009C7B6D">
        <w:rPr>
          <w:b/>
          <w:bCs/>
        </w:rPr>
        <w:t>Type 1: Dual Participation in PG&amp;E DR Programs in which PG&amp;E has Agreed to Transfer Event Data</w:t>
      </w:r>
      <w:r w:rsidRPr="00733B79">
        <w:t xml:space="preserve"> -- For PG&amp;E DR programs, PG&amp;E may elect to send event data for certain programs each month, in which case event data would no longer be required from Aggregators for these programs. Aggregators will be notified if this occurs.</w:t>
      </w:r>
    </w:p>
    <w:p w14:paraId="1AB3E269" w14:textId="77777777" w:rsidR="00612C27" w:rsidRPr="00733B79" w:rsidRDefault="00612C27" w:rsidP="00612C27"/>
    <w:p w14:paraId="0201A1D4" w14:textId="0B49FE58" w:rsidR="00612C27" w:rsidRPr="00733B79" w:rsidRDefault="00612C27" w:rsidP="001614E7">
      <w:pPr>
        <w:pStyle w:val="ListParagraph"/>
        <w:numPr>
          <w:ilvl w:val="0"/>
          <w:numId w:val="36"/>
        </w:numPr>
        <w:autoSpaceDE/>
        <w:autoSpaceDN/>
        <w:adjustRightInd/>
      </w:pPr>
      <w:r w:rsidRPr="009C7B6D">
        <w:rPr>
          <w:b/>
          <w:bCs/>
        </w:rPr>
        <w:t xml:space="preserve">Type 2: Dual Participation in a DR or CAISO Program </w:t>
      </w:r>
      <w:r w:rsidR="002564FD" w:rsidRPr="002564FD">
        <w:rPr>
          <w:b/>
          <w:bCs/>
        </w:rPr>
        <w:t>for</w:t>
      </w:r>
      <w:r w:rsidRPr="009C7B6D">
        <w:rPr>
          <w:b/>
          <w:bCs/>
        </w:rPr>
        <w:t xml:space="preserve"> Which Data is Not Provided by PG&amp;E</w:t>
      </w:r>
      <w:r w:rsidRPr="00733B79">
        <w:t xml:space="preserve"> -- For scenarios in which </w:t>
      </w:r>
      <w:r w:rsidR="008C6C1E">
        <w:t>AESC</w:t>
      </w:r>
      <w:r w:rsidRPr="00733B79">
        <w:t xml:space="preserve"> is not receiving event data from PG&amp;E, Aggregators must complete the onboarding process before enrollment and comply with the following additional requirements:</w:t>
      </w:r>
    </w:p>
    <w:p w14:paraId="13A9E0AA" w14:textId="77777777" w:rsidR="00612C27" w:rsidRPr="00733B79" w:rsidRDefault="00612C27" w:rsidP="00612C27"/>
    <w:p w14:paraId="771C9866" w14:textId="6666685D" w:rsidR="00612C27" w:rsidRPr="00733B79" w:rsidRDefault="00D52C7A" w:rsidP="001614E7">
      <w:pPr>
        <w:pStyle w:val="ListParagraph"/>
        <w:numPr>
          <w:ilvl w:val="0"/>
          <w:numId w:val="23"/>
        </w:numPr>
        <w:autoSpaceDE/>
        <w:autoSpaceDN/>
        <w:adjustRightInd/>
      </w:pPr>
      <w:r w:rsidRPr="00733B79">
        <w:t>MSSR</w:t>
      </w:r>
      <w:r w:rsidR="00612C27" w:rsidRPr="00733B79">
        <w:t xml:space="preserve"> Aggregator completes the onboarding process for event data submittal, demonstrating ability to provide the program with event data required in the specified format. This must be completed before any Dually Participating site is enrolled.</w:t>
      </w:r>
    </w:p>
    <w:p w14:paraId="1F0F6C34" w14:textId="5595A1DD" w:rsidR="00612C27" w:rsidRPr="00733B79" w:rsidRDefault="00D52C7A" w:rsidP="001614E7">
      <w:pPr>
        <w:pStyle w:val="ListParagraph"/>
        <w:numPr>
          <w:ilvl w:val="0"/>
          <w:numId w:val="23"/>
        </w:numPr>
        <w:autoSpaceDE/>
        <w:autoSpaceDN/>
        <w:adjustRightInd/>
      </w:pPr>
      <w:r w:rsidRPr="00733B79">
        <w:t>MSSR</w:t>
      </w:r>
      <w:r w:rsidR="00612C27" w:rsidRPr="00733B79">
        <w:t xml:space="preserve"> Aggregator provides all participating event data, timestamped, and in the specified format for each site within 15 days following the end of the previous month. If no events have occurred, Aggregator must submit the same event data template, confirming that there have been no events.</w:t>
      </w:r>
    </w:p>
    <w:p w14:paraId="2DB6D724" w14:textId="57F4C971" w:rsidR="00612C27" w:rsidRPr="00733B79" w:rsidRDefault="00D52C7A" w:rsidP="001614E7">
      <w:pPr>
        <w:pStyle w:val="ListParagraph"/>
        <w:numPr>
          <w:ilvl w:val="0"/>
          <w:numId w:val="23"/>
        </w:numPr>
        <w:autoSpaceDE/>
        <w:autoSpaceDN/>
        <w:adjustRightInd/>
      </w:pPr>
      <w:r w:rsidRPr="00733B79">
        <w:t>MSSR</w:t>
      </w:r>
      <w:r w:rsidR="00612C27" w:rsidRPr="00733B79">
        <w:t xml:space="preserve"> Aggregator attests to the accuracy and completeness of the submitted event data. The event data may be audited in the future.</w:t>
      </w:r>
    </w:p>
    <w:p w14:paraId="5A684828" w14:textId="77777777" w:rsidR="00612C27" w:rsidRPr="00733B79" w:rsidRDefault="00612C27" w:rsidP="00612C27"/>
    <w:p w14:paraId="6DA51CB1" w14:textId="30AF2E04" w:rsidR="00612C27" w:rsidRPr="00733B79" w:rsidRDefault="00612C27" w:rsidP="00612C27">
      <w:r w:rsidRPr="00733B79">
        <w:t xml:space="preserve">Failure to provide this information accurately, in the specified format, or in the timeframe specified may result in delay of payment until the following payment period and suspension from the </w:t>
      </w:r>
      <w:r w:rsidR="00D67E86">
        <w:t>MSSR</w:t>
      </w:r>
      <w:r w:rsidRPr="00733B79">
        <w:t xml:space="preserve"> Program. </w:t>
      </w:r>
    </w:p>
    <w:p w14:paraId="724A9D4C" w14:textId="77777777" w:rsidR="00612C27" w:rsidRPr="00733B79" w:rsidRDefault="00612C27" w:rsidP="00612C27"/>
    <w:p w14:paraId="33815523" w14:textId="4DCA7CB6" w:rsidR="00612C27" w:rsidRPr="00733B79" w:rsidRDefault="00612C27" w:rsidP="00612C27">
      <w:r w:rsidRPr="00733B79">
        <w:t xml:space="preserve">By default, event days from separate Demand Response programs will be blacked out from M&amp;V and </w:t>
      </w:r>
      <w:r w:rsidR="00D67E86">
        <w:t>MSSR</w:t>
      </w:r>
      <w:r w:rsidRPr="00733B79">
        <w:t xml:space="preserve"> payment. As the </w:t>
      </w:r>
      <w:r w:rsidR="00D52C7A" w:rsidRPr="00733B79">
        <w:t>MSSR</w:t>
      </w:r>
      <w:r w:rsidRPr="00733B79">
        <w:t xml:space="preserve"> matures, disaggregation to separate EE and DR impacts during event hours may be used to increase potential for Aggregator payment from </w:t>
      </w:r>
      <w:r w:rsidR="00D67E86">
        <w:t>MSSR</w:t>
      </w:r>
      <w:r w:rsidRPr="00733B79">
        <w:t>. Possible demand response disaggregation methods are described in the following Demand Response Disaggregation section.</w:t>
      </w:r>
    </w:p>
    <w:p w14:paraId="2D8FD204" w14:textId="3FC27587" w:rsidR="00612C27" w:rsidRPr="00733B79" w:rsidRDefault="00612C27" w:rsidP="00612C27">
      <w:bookmarkStart w:id="122" w:name="_Toc162606058"/>
      <w:bookmarkStart w:id="123" w:name="_Toc162606059"/>
      <w:bookmarkStart w:id="124" w:name="_s6xfw1yy57cb"/>
      <w:bookmarkEnd w:id="122"/>
      <w:bookmarkEnd w:id="123"/>
      <w:bookmarkEnd w:id="124"/>
    </w:p>
    <w:p w14:paraId="757519D7" w14:textId="22EA4832" w:rsidR="00612C27" w:rsidRPr="00733B79" w:rsidRDefault="00612C27" w:rsidP="00B62D70">
      <w:pPr>
        <w:pStyle w:val="Heading2"/>
      </w:pPr>
      <w:bookmarkStart w:id="125" w:name="_bgkwy82ojq8i"/>
      <w:bookmarkStart w:id="126" w:name="_lnxbz9"/>
      <w:bookmarkStart w:id="127" w:name="_35nkun2"/>
      <w:bookmarkStart w:id="128" w:name="_Toc121486246"/>
      <w:bookmarkStart w:id="129" w:name="_Toc121494188"/>
      <w:bookmarkStart w:id="130" w:name="_Toc121494584"/>
      <w:bookmarkStart w:id="131" w:name="_Toc121486247"/>
      <w:bookmarkStart w:id="132" w:name="_Toc121494189"/>
      <w:bookmarkStart w:id="133" w:name="_Toc121494585"/>
      <w:bookmarkStart w:id="134" w:name="_Toc121486248"/>
      <w:bookmarkStart w:id="135" w:name="_Toc121494190"/>
      <w:bookmarkStart w:id="136" w:name="_Toc121494586"/>
      <w:bookmarkStart w:id="137" w:name="_Toc121486249"/>
      <w:bookmarkStart w:id="138" w:name="_Toc121494191"/>
      <w:bookmarkStart w:id="139" w:name="_Toc121494587"/>
      <w:bookmarkStart w:id="140" w:name="_Toc121486250"/>
      <w:bookmarkStart w:id="141" w:name="_Toc121494192"/>
      <w:bookmarkStart w:id="142" w:name="_Toc121494588"/>
      <w:bookmarkStart w:id="143" w:name="_Toc121486251"/>
      <w:bookmarkStart w:id="144" w:name="_Toc121494193"/>
      <w:bookmarkStart w:id="145" w:name="_Toc121494589"/>
      <w:bookmarkStart w:id="146" w:name="_Toc121486252"/>
      <w:bookmarkStart w:id="147" w:name="_Toc121494194"/>
      <w:bookmarkStart w:id="148" w:name="_Toc121494590"/>
      <w:bookmarkStart w:id="149" w:name="_Toc121486253"/>
      <w:bookmarkStart w:id="150" w:name="_Toc121494195"/>
      <w:bookmarkStart w:id="151" w:name="_Toc121494591"/>
      <w:bookmarkStart w:id="152" w:name="_1ksv4uv"/>
      <w:bookmarkStart w:id="153" w:name="_Toc173831628"/>
      <w:bookmarkStart w:id="154" w:name="_Toc173831629"/>
      <w:bookmarkStart w:id="155" w:name="_Toc173831630"/>
      <w:bookmarkStart w:id="156" w:name="_Toc173831631"/>
      <w:bookmarkStart w:id="157" w:name="_Toc173831632"/>
      <w:bookmarkStart w:id="158" w:name="_Toc173831633"/>
      <w:bookmarkStart w:id="159" w:name="_Toc121486255"/>
      <w:bookmarkStart w:id="160" w:name="_Toc121494197"/>
      <w:bookmarkStart w:id="161" w:name="_Toc121494593"/>
      <w:bookmarkStart w:id="162" w:name="_44sinio"/>
      <w:bookmarkStart w:id="163" w:name="_2jxsxqh"/>
      <w:bookmarkStart w:id="164" w:name="_z337ya"/>
      <w:bookmarkStart w:id="165" w:name="_3j2qqm3"/>
      <w:bookmarkStart w:id="166" w:name="_Toc162606062"/>
      <w:bookmarkStart w:id="167" w:name="_Toc1738316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33B79">
        <w:t>Payments, Measures, and Cost Effectiveness</w:t>
      </w:r>
      <w:bookmarkEnd w:id="166"/>
      <w:bookmarkEnd w:id="167"/>
    </w:p>
    <w:p w14:paraId="286D3E79" w14:textId="77777777" w:rsidR="00612C27" w:rsidRPr="00733B79" w:rsidRDefault="00612C27" w:rsidP="00612C27"/>
    <w:p w14:paraId="02027B0E" w14:textId="0C5D4471" w:rsidR="00612C27" w:rsidRPr="00733B79" w:rsidRDefault="00612C27" w:rsidP="00612C27">
      <w:pPr>
        <w:pStyle w:val="Heading3"/>
        <w:rPr>
          <w:rFonts w:eastAsia="Calibri" w:cs="Arial"/>
        </w:rPr>
      </w:pPr>
      <w:bookmarkStart w:id="168" w:name="_1y810tw"/>
      <w:bookmarkStart w:id="169" w:name="_4i7ojhp"/>
      <w:bookmarkStart w:id="170" w:name="_3whwml4"/>
      <w:bookmarkStart w:id="171" w:name="_Toc162606063"/>
      <w:bookmarkStart w:id="172" w:name="_Toc173831635"/>
      <w:bookmarkStart w:id="173" w:name="_Ref173877512"/>
      <w:bookmarkStart w:id="174" w:name="_Ref173877520"/>
      <w:bookmarkStart w:id="175" w:name="_Ref173877534"/>
      <w:bookmarkStart w:id="176" w:name="_Ref173877695"/>
      <w:bookmarkEnd w:id="168"/>
      <w:bookmarkEnd w:id="169"/>
      <w:bookmarkEnd w:id="170"/>
      <w:r w:rsidRPr="00733B79">
        <w:rPr>
          <w:rFonts w:eastAsia="Calibri" w:cs="Arial"/>
        </w:rPr>
        <w:t>Customer Payments</w:t>
      </w:r>
      <w:bookmarkEnd w:id="171"/>
      <w:bookmarkEnd w:id="172"/>
      <w:bookmarkEnd w:id="173"/>
      <w:bookmarkEnd w:id="174"/>
      <w:bookmarkEnd w:id="175"/>
      <w:bookmarkEnd w:id="176"/>
    </w:p>
    <w:p w14:paraId="34378C6C" w14:textId="77777777" w:rsidR="00612C27" w:rsidRPr="00733B79" w:rsidRDefault="00612C27" w:rsidP="00612C27"/>
    <w:p w14:paraId="04563399" w14:textId="6249E71C" w:rsidR="0023447E" w:rsidRDefault="00D80FC9" w:rsidP="00D80FC9">
      <w:pPr>
        <w:spacing w:after="120"/>
      </w:pPr>
      <w:r w:rsidRPr="00733B79">
        <w:lastRenderedPageBreak/>
        <w:t>There are no predetermined direct-to-customer payments</w:t>
      </w:r>
      <w:r>
        <w:t xml:space="preserve"> or incentives. </w:t>
      </w:r>
      <w:r w:rsidRPr="0010564B">
        <w:t>Incentives will be paid solely to Enrolled Aggregators. Customer</w:t>
      </w:r>
      <w:r>
        <w:t>s</w:t>
      </w:r>
      <w:r w:rsidRPr="0010564B">
        <w:t xml:space="preserve"> will acknowledge and accept that the incentives will be used to buy down the cost of the project and will be paid directly to the Enrolled Aggregator</w:t>
      </w:r>
      <w:r>
        <w:t xml:space="preserve">, through an agreement that the incentive payment is assigned to the Aggregator. </w:t>
      </w:r>
      <w:r w:rsidRPr="0010564B">
        <w:t xml:space="preserve"> Enrolled Aggregators will acknowledge that the incentives </w:t>
      </w:r>
      <w:r>
        <w:t>must</w:t>
      </w:r>
      <w:r w:rsidRPr="0010564B">
        <w:t xml:space="preserve"> be used to buy</w:t>
      </w:r>
      <w:r w:rsidR="00591304">
        <w:t>-</w:t>
      </w:r>
      <w:r w:rsidRPr="0010564B">
        <w:t xml:space="preserve">down the cost of the project and are responsible for designing a market approach that supports this buy-down. </w:t>
      </w:r>
    </w:p>
    <w:p w14:paraId="79558DC9" w14:textId="546E9C8D" w:rsidR="00856187" w:rsidRDefault="00D80FC9" w:rsidP="00856187">
      <w:pPr>
        <w:spacing w:after="120"/>
      </w:pPr>
      <w:r>
        <w:t xml:space="preserve">The customer-assigned incentive will be </w:t>
      </w:r>
      <w:r w:rsidR="00044BA8">
        <w:t xml:space="preserve">based on </w:t>
      </w:r>
      <w:r w:rsidR="00291195">
        <w:t xml:space="preserve">the </w:t>
      </w:r>
      <w:r w:rsidR="00B56D65">
        <w:t>estimated and delivered TSB generated by their projects based on the incentive rates outlined</w:t>
      </w:r>
      <w:r w:rsidR="0095372C">
        <w:t xml:space="preserve"> in Secti</w:t>
      </w:r>
      <w:r w:rsidR="00CE4411">
        <w:t xml:space="preserve">on </w:t>
      </w:r>
      <w:r w:rsidR="00CE4411">
        <w:fldChar w:fldCharType="begin"/>
      </w:r>
      <w:r w:rsidR="00CE4411">
        <w:instrText xml:space="preserve"> REF _Ref173877582 \r \h </w:instrText>
      </w:r>
      <w:r w:rsidR="00CE4411">
        <w:fldChar w:fldCharType="separate"/>
      </w:r>
      <w:r w:rsidR="00CE4411">
        <w:t>4.3.7.2</w:t>
      </w:r>
      <w:r w:rsidR="00CE4411">
        <w:fldChar w:fldCharType="end"/>
      </w:r>
      <w:r w:rsidR="00CE4411">
        <w:t xml:space="preserve"> </w:t>
      </w:r>
      <w:r w:rsidR="00971AD0">
        <w:t>“</w:t>
      </w:r>
      <w:r w:rsidR="00CE4411">
        <w:fldChar w:fldCharType="begin"/>
      </w:r>
      <w:r w:rsidR="00CE4411">
        <w:instrText xml:space="preserve"> REF _Ref173877582 \h </w:instrText>
      </w:r>
      <w:r w:rsidR="00CE4411">
        <w:fldChar w:fldCharType="separate"/>
      </w:r>
      <w:r w:rsidR="00CE4411" w:rsidRPr="00733B79">
        <w:t>Aggregator Incentive Payments</w:t>
      </w:r>
      <w:r w:rsidR="00CE4411">
        <w:fldChar w:fldCharType="end"/>
      </w:r>
      <w:r w:rsidR="00971AD0">
        <w:t>”</w:t>
      </w:r>
      <w:r w:rsidR="00CE4411">
        <w:t xml:space="preserve">.  </w:t>
      </w:r>
      <w:r w:rsidR="005C0D13">
        <w:t xml:space="preserve">The incentive is </w:t>
      </w:r>
      <w:r w:rsidR="00856187">
        <w:t xml:space="preserve">limited to 100% of the project cost, to buy down the cost of the project. In addition to receiving the customer’s incentive to buy-down the cost of the customer’s project, Enrolled Aggregators are eligible to receive an additional project payment up to 10% of the project cost, or 120% of the TSB minus the </w:t>
      </w:r>
      <w:r w:rsidR="007C1EEB">
        <w:t xml:space="preserve">paid </w:t>
      </w:r>
      <w:r w:rsidR="00856187">
        <w:t>customer incentive, whichever is less.</w:t>
      </w:r>
    </w:p>
    <w:p w14:paraId="174DC7CC" w14:textId="77777777" w:rsidR="00F15968" w:rsidRDefault="00F15968" w:rsidP="00D80FC9">
      <w:pPr>
        <w:spacing w:after="120"/>
      </w:pPr>
    </w:p>
    <w:p w14:paraId="7617EADE" w14:textId="77777777" w:rsidR="00BE2E69" w:rsidRPr="00733B79" w:rsidRDefault="00BE2E69" w:rsidP="00BE2E69">
      <w:r>
        <w:t xml:space="preserve">MSSR </w:t>
      </w:r>
      <w:r w:rsidRPr="00733B79">
        <w:t xml:space="preserve">uses the following payment terms: </w:t>
      </w:r>
    </w:p>
    <w:p w14:paraId="688B54EA" w14:textId="62776465" w:rsidR="00C55E46" w:rsidRDefault="00BE2E69" w:rsidP="009C7B6D">
      <w:pPr>
        <w:pStyle w:val="ListParagraph"/>
        <w:numPr>
          <w:ilvl w:val="0"/>
          <w:numId w:val="20"/>
        </w:numPr>
      </w:pPr>
      <w:r w:rsidRPr="00733B79">
        <w:t xml:space="preserve">120% of the project’s estimated incentive payments are reserved at project approval; and capped at 110% of the project costs. </w:t>
      </w:r>
    </w:p>
    <w:p w14:paraId="444578F6" w14:textId="77777777" w:rsidR="00C55E46" w:rsidRDefault="00C55E46" w:rsidP="009C7B6D">
      <w:pPr>
        <w:pStyle w:val="ListParagraph"/>
        <w:numPr>
          <w:ilvl w:val="0"/>
          <w:numId w:val="20"/>
        </w:numPr>
        <w:spacing w:after="120"/>
      </w:pPr>
      <w:r>
        <w:t xml:space="preserve">The Program will pay incentives in two installments: </w:t>
      </w:r>
    </w:p>
    <w:p w14:paraId="3A447818" w14:textId="5A3B5F41" w:rsidR="00C55E46" w:rsidRDefault="00BA7EE5" w:rsidP="009C7B6D">
      <w:pPr>
        <w:pStyle w:val="ListParagraph"/>
        <w:numPr>
          <w:ilvl w:val="0"/>
          <w:numId w:val="98"/>
        </w:numPr>
        <w:spacing w:after="120"/>
        <w:ind w:left="1080"/>
      </w:pPr>
      <w:r>
        <w:t>Once the project is installed</w:t>
      </w:r>
      <w:r w:rsidR="006758F2">
        <w:t>,</w:t>
      </w:r>
      <w:r w:rsidR="008F7699">
        <w:t xml:space="preserve"> inspected (if applicable),</w:t>
      </w:r>
      <w:r w:rsidR="00041A7A">
        <w:t xml:space="preserve"> and</w:t>
      </w:r>
      <w:r w:rsidR="00DF6980" w:rsidRPr="00DF6980">
        <w:t xml:space="preserve"> </w:t>
      </w:r>
      <w:r w:rsidR="00041A7A">
        <w:t>post-installation</w:t>
      </w:r>
      <w:r w:rsidR="00DF6980">
        <w:t xml:space="preserve"> project documentation is approved by </w:t>
      </w:r>
      <w:r w:rsidR="00041A7A">
        <w:t>the AESC Team</w:t>
      </w:r>
      <w:r w:rsidR="00DF6980">
        <w:t xml:space="preserve"> and PG&amp;E</w:t>
      </w:r>
      <w:r w:rsidR="00041A7A">
        <w:t>, th</w:t>
      </w:r>
      <w:r w:rsidR="00691558">
        <w:t>e Payment Performance Notification Letter</w:t>
      </w:r>
      <w:r w:rsidR="00895164">
        <w:t xml:space="preserve"> (PPNL)</w:t>
      </w:r>
      <w:r w:rsidR="00BE2E69" w:rsidRPr="00733B79">
        <w:t xml:space="preserve"> </w:t>
      </w:r>
      <w:r w:rsidR="001C31A2">
        <w:t>will</w:t>
      </w:r>
      <w:r w:rsidR="00717F06">
        <w:t xml:space="preserve"> be</w:t>
      </w:r>
      <w:r w:rsidR="008F7699">
        <w:t xml:space="preserve"> issued</w:t>
      </w:r>
      <w:r w:rsidR="009C440D">
        <w:t>.</w:t>
      </w:r>
      <w:r w:rsidR="00C55E46">
        <w:t xml:space="preserve"> </w:t>
      </w:r>
      <w:r w:rsidR="00246E48">
        <w:t xml:space="preserve">Once the PPNL is </w:t>
      </w:r>
      <w:r w:rsidR="00AF23ED">
        <w:t xml:space="preserve">issued, </w:t>
      </w:r>
      <w:r w:rsidR="00BE2E69" w:rsidRPr="00733B79">
        <w:t xml:space="preserve">45% of the forecasted incentive will be issued. </w:t>
      </w:r>
    </w:p>
    <w:p w14:paraId="73467ECF" w14:textId="3CA0D547" w:rsidR="00B23709" w:rsidRDefault="00B23709" w:rsidP="009C7B6D">
      <w:pPr>
        <w:pStyle w:val="ListParagraph"/>
        <w:numPr>
          <w:ilvl w:val="0"/>
          <w:numId w:val="98"/>
        </w:numPr>
        <w:spacing w:after="120"/>
        <w:ind w:left="1080"/>
      </w:pPr>
      <w:r>
        <w:t>Final Payment after 12-months of</w:t>
      </w:r>
      <w:r w:rsidR="00C55E46">
        <w:t xml:space="preserve"> measurement and</w:t>
      </w:r>
      <w:r>
        <w:t xml:space="preserve"> verification and submittal of all supporting project documentation is approved by MSSR and PG&amp;E</w:t>
      </w:r>
      <w:r w:rsidR="00812AF8">
        <w:t xml:space="preserve">. </w:t>
      </w:r>
      <w:r w:rsidR="00416C5A">
        <w:t xml:space="preserve">The remaining </w:t>
      </w:r>
      <w:r w:rsidR="00856187">
        <w:t xml:space="preserve">incentive will be issued based on the measured savings </w:t>
      </w:r>
      <w:r w:rsidR="00B946FF">
        <w:t>multiplied by the incentive rate, net</w:t>
      </w:r>
      <w:r w:rsidR="00856187">
        <w:t xml:space="preserve"> the prepayment. </w:t>
      </w:r>
    </w:p>
    <w:p w14:paraId="423F5FEC" w14:textId="77777777" w:rsidR="00F15968" w:rsidRDefault="00F15968" w:rsidP="00F15968"/>
    <w:p w14:paraId="509B2F55" w14:textId="5A3BE75B" w:rsidR="0052113D" w:rsidRDefault="00937436" w:rsidP="009A3E4E">
      <w:pPr>
        <w:spacing w:after="120"/>
      </w:pPr>
      <w:r>
        <w:t>Any project with a</w:t>
      </w:r>
      <w:r w:rsidR="00DA39DD">
        <w:t xml:space="preserve"> total forecasted</w:t>
      </w:r>
      <w:r>
        <w:t xml:space="preserve"> incentive value above $500,000 requires</w:t>
      </w:r>
      <w:r w:rsidR="00EA389A">
        <w:t xml:space="preserve"> additional PG&amp;E written approval before the project is committed. </w:t>
      </w:r>
    </w:p>
    <w:p w14:paraId="6D850361" w14:textId="5A99AC65" w:rsidR="00F15968" w:rsidRDefault="00F15968" w:rsidP="00F15968">
      <w:r w:rsidRPr="00733B79">
        <w:t xml:space="preserve">These payment terms are designed in accordance with guidance provided in the NMEC Rulebook and all known Commission directives related to terms and conditions. </w:t>
      </w:r>
    </w:p>
    <w:p w14:paraId="27D00DDB" w14:textId="77777777" w:rsidR="00F15968" w:rsidRDefault="00F15968" w:rsidP="00EA389A">
      <w:pPr>
        <w:spacing w:after="120"/>
      </w:pPr>
    </w:p>
    <w:p w14:paraId="37F10957" w14:textId="77777777" w:rsidR="00612C27" w:rsidRPr="00733B79" w:rsidRDefault="00612C27" w:rsidP="00612C27"/>
    <w:p w14:paraId="35001B55" w14:textId="6A0D3190" w:rsidR="00612C27" w:rsidRPr="00733B79" w:rsidRDefault="00612C27" w:rsidP="00612C27">
      <w:pPr>
        <w:pStyle w:val="Heading3"/>
        <w:rPr>
          <w:rFonts w:cs="Arial"/>
        </w:rPr>
      </w:pPr>
      <w:bookmarkStart w:id="177" w:name="_Toc162606064"/>
      <w:bookmarkStart w:id="178" w:name="_Toc173831636"/>
      <w:r w:rsidRPr="00733B79">
        <w:rPr>
          <w:rFonts w:eastAsia="Calibri" w:cs="Arial"/>
        </w:rPr>
        <w:t>Calculation Total System Benefit</w:t>
      </w:r>
      <w:bookmarkEnd w:id="177"/>
      <w:bookmarkEnd w:id="178"/>
    </w:p>
    <w:p w14:paraId="602565B7" w14:textId="77777777" w:rsidR="00612C27" w:rsidRPr="00733B79" w:rsidRDefault="00612C27" w:rsidP="00612C27"/>
    <w:p w14:paraId="15BC1585" w14:textId="0F649717" w:rsidR="00612C27" w:rsidRPr="00733B79" w:rsidRDefault="00612C27" w:rsidP="00612C27">
      <w:r w:rsidRPr="00733B79">
        <w:t xml:space="preserve">Aggregator incentive payments are designed to compensate Aggregators directly on the </w:t>
      </w:r>
      <w:r w:rsidR="00A94D99">
        <w:t>Total System Benefit</w:t>
      </w:r>
      <w:r w:rsidRPr="00733B79">
        <w:t xml:space="preserve"> of delivered metered net savings achieved by their </w:t>
      </w:r>
      <w:r w:rsidR="00A94D99">
        <w:t>cohorts</w:t>
      </w:r>
      <w:r w:rsidRPr="00733B79">
        <w:t>.</w:t>
      </w:r>
    </w:p>
    <w:p w14:paraId="6B924257" w14:textId="77777777" w:rsidR="00612C27" w:rsidRPr="00733B79" w:rsidRDefault="00612C27" w:rsidP="00612C27"/>
    <w:p w14:paraId="6507F831" w14:textId="06D726F9" w:rsidR="00612C27" w:rsidRDefault="00612C27" w:rsidP="0081229C">
      <w:r w:rsidRPr="00733B79">
        <w:t xml:space="preserve">Total System Benefit (TSB) is defined as an expression, in dollar value at a discounted rate, of </w:t>
      </w:r>
      <w:r w:rsidR="0081229C">
        <w:t>“lifecycle energy, ancillary services, generation capacity, transmission and distribution capacity, and GHG benefits of energy efficiency activities, on an annual basis</w:t>
      </w:r>
      <w:r w:rsidR="00C4705D">
        <w:t>.</w:t>
      </w:r>
      <w:r w:rsidR="0081229C">
        <w:t>”</w:t>
      </w:r>
      <w:r w:rsidR="00A45578">
        <w:rPr>
          <w:rStyle w:val="FootnoteReference"/>
        </w:rPr>
        <w:footnoteReference w:id="31"/>
      </w:r>
      <w:r w:rsidR="00A45578">
        <w:t xml:space="preserve"> </w:t>
      </w:r>
      <w:r w:rsidR="00AD0D82">
        <w:t xml:space="preserve">More generally, </w:t>
      </w:r>
      <w:r w:rsidR="00DC1E48">
        <w:t xml:space="preserve">TSB represents the total benefits or “avoided costs,” that a measure (or project) provides the electric and natural gas </w:t>
      </w:r>
      <w:r w:rsidR="00AE04E3">
        <w:t>systems</w:t>
      </w:r>
      <w:r w:rsidR="00DC1E48">
        <w:t xml:space="preserve">. </w:t>
      </w:r>
      <w:r w:rsidR="00C105A3">
        <w:t>The defini</w:t>
      </w:r>
      <w:r w:rsidR="0086463A">
        <w:t xml:space="preserve">tion accounts for increased supply cost as a reduction in </w:t>
      </w:r>
      <w:r w:rsidR="0086463A">
        <w:lastRenderedPageBreak/>
        <w:t>benefits</w:t>
      </w:r>
      <w:r w:rsidR="00A45578">
        <w:t xml:space="preserve"> </w:t>
      </w:r>
      <w:r w:rsidR="00AD0D82">
        <w:t>when electricity increases</w:t>
      </w:r>
      <w:r w:rsidR="00B42B49">
        <w:rPr>
          <w:rStyle w:val="FootnoteReference"/>
        </w:rPr>
        <w:footnoteReference w:id="32"/>
      </w:r>
      <w:r w:rsidR="00AD0D82">
        <w:t xml:space="preserve">. </w:t>
      </w:r>
      <w:r w:rsidRPr="00733B79">
        <w:t>The metric encourages interventions to target “high value” load reduction and longer-duration energy savings while being fuel agnostic.</w:t>
      </w:r>
      <w:r w:rsidRPr="00733B79">
        <w:rPr>
          <w:rStyle w:val="FootnoteReference"/>
        </w:rPr>
        <w:footnoteReference w:id="33"/>
      </w:r>
      <w:r w:rsidRPr="00733B79">
        <w:t xml:space="preserve"> </w:t>
      </w:r>
    </w:p>
    <w:p w14:paraId="2AAE0E31" w14:textId="77777777" w:rsidR="00AE04E3" w:rsidRDefault="00AE04E3" w:rsidP="0081229C"/>
    <w:p w14:paraId="67707A33" w14:textId="77777777" w:rsidR="00AE04E3" w:rsidRDefault="00AE04E3" w:rsidP="0081229C"/>
    <w:p w14:paraId="389B79AE" w14:textId="77777777" w:rsidR="004F78C9" w:rsidRPr="009C7B6D" w:rsidRDefault="004F78C9" w:rsidP="009C7B6D">
      <w:pPr>
        <w:pStyle w:val="ListParagraph"/>
        <w:numPr>
          <w:ilvl w:val="0"/>
          <w:numId w:val="97"/>
        </w:numPr>
        <w:rPr>
          <w:i/>
        </w:rPr>
      </w:pPr>
      <w:r w:rsidRPr="009C7B6D">
        <w:rPr>
          <w:i/>
        </w:rPr>
        <w:t>Total System Benefit = Sum of All Net Benefits – Sum of All Net Increased Supply Costs</w:t>
      </w:r>
    </w:p>
    <w:p w14:paraId="3F97CECB" w14:textId="77777777" w:rsidR="004F78C9" w:rsidRPr="009C7B6D" w:rsidRDefault="004F78C9" w:rsidP="009C7B6D">
      <w:pPr>
        <w:pStyle w:val="ListParagraph"/>
        <w:numPr>
          <w:ilvl w:val="1"/>
          <w:numId w:val="97"/>
        </w:numPr>
        <w:rPr>
          <w:i/>
        </w:rPr>
      </w:pPr>
      <w:r w:rsidRPr="009C7B6D">
        <w:rPr>
          <w:i/>
        </w:rPr>
        <w:t>Sum of All Net Benefits = (Net Electric Benefits + Net Gas Benefits + Net Other Benefits)</w:t>
      </w:r>
    </w:p>
    <w:p w14:paraId="3DE51FA2" w14:textId="77777777" w:rsidR="004F78C9" w:rsidRPr="009C7B6D" w:rsidRDefault="004F78C9" w:rsidP="009C7B6D">
      <w:pPr>
        <w:pStyle w:val="ListParagraph"/>
        <w:numPr>
          <w:ilvl w:val="1"/>
          <w:numId w:val="97"/>
        </w:numPr>
        <w:rPr>
          <w:i/>
        </w:rPr>
      </w:pPr>
      <w:r w:rsidRPr="009C7B6D">
        <w:rPr>
          <w:i/>
        </w:rPr>
        <w:t>Sum of All Net Increased Supply Costs = (Net Electric Supply Costs + Net Gas Supply Costs + Net Other Costs)</w:t>
      </w:r>
    </w:p>
    <w:p w14:paraId="7C001A22" w14:textId="77777777" w:rsidR="004F78C9" w:rsidRDefault="004F78C9" w:rsidP="004F78C9"/>
    <w:p w14:paraId="7882057F" w14:textId="77777777" w:rsidR="00AE04E3" w:rsidRPr="00733B79" w:rsidRDefault="00AE04E3" w:rsidP="0081229C"/>
    <w:p w14:paraId="591071CB" w14:textId="20BBE77D" w:rsidR="00A11B87" w:rsidRDefault="006174FC" w:rsidP="00A11B87">
      <w:r>
        <w:t xml:space="preserve">MSSR will rely on the </w:t>
      </w:r>
      <w:r w:rsidR="00A11B87">
        <w:t xml:space="preserve">official TSB as calculated by California Energy Data and Reporting System (CEDARS), Cost Effectiveness Tool (CET), using the Avoided Cost Calculator Vintage “2022/E-5228.” </w:t>
      </w:r>
      <w:r w:rsidR="004259D4">
        <w:t>A project’s weighted EUL</w:t>
      </w:r>
      <w:r w:rsidR="000D1D7A">
        <w:t xml:space="preserve"> assigned savings load shape, and annual energy savings</w:t>
      </w:r>
      <w:r w:rsidR="00F3560B">
        <w:t>,</w:t>
      </w:r>
      <w:r w:rsidR="000D1D7A">
        <w:t xml:space="preserve"> will be the primary inputs. </w:t>
      </w:r>
    </w:p>
    <w:p w14:paraId="048D3B30" w14:textId="77777777" w:rsidR="000D1D7A" w:rsidRDefault="000D1D7A" w:rsidP="00A11B87"/>
    <w:p w14:paraId="49F57FF5" w14:textId="45F4DE0A" w:rsidR="000D1D7A" w:rsidRDefault="0062528C" w:rsidP="00A11B87">
      <w:r>
        <w:t xml:space="preserve">Aggregators can maximize TSB and incentive payments by promoting </w:t>
      </w:r>
      <w:r w:rsidR="000F3839">
        <w:t xml:space="preserve">projects with </w:t>
      </w:r>
      <w:r w:rsidR="007F07F3">
        <w:t xml:space="preserve">high energy savings, </w:t>
      </w:r>
      <w:r w:rsidR="00601EAA">
        <w:t xml:space="preserve">long EULs, </w:t>
      </w:r>
      <w:r w:rsidR="00845AE8">
        <w:t xml:space="preserve">and </w:t>
      </w:r>
      <w:r w:rsidR="00165BD8">
        <w:t xml:space="preserve">measures that target </w:t>
      </w:r>
      <w:r w:rsidR="000F0987">
        <w:t>summer peak</w:t>
      </w:r>
      <w:r w:rsidR="00777C41">
        <w:t xml:space="preserve"> savings. </w:t>
      </w:r>
      <w:r w:rsidR="000F0987">
        <w:t xml:space="preserve"> </w:t>
      </w:r>
    </w:p>
    <w:p w14:paraId="40FE0777" w14:textId="2C22705C" w:rsidR="00A20DF4" w:rsidRDefault="00A20DF4" w:rsidP="00612C27"/>
    <w:p w14:paraId="1C75E8A3" w14:textId="5248242A" w:rsidR="0067322E" w:rsidRPr="00733B79" w:rsidRDefault="00A20DF4" w:rsidP="00612C27">
      <w:r>
        <w:t>I</w:t>
      </w:r>
      <w:r w:rsidR="00F5114F" w:rsidRPr="00F5114F">
        <w:t xml:space="preserve">ncremental refrigerant benefits </w:t>
      </w:r>
      <w:r w:rsidR="00F5114F">
        <w:t>can</w:t>
      </w:r>
      <w:r w:rsidR="00F5114F" w:rsidRPr="00F5114F">
        <w:t xml:space="preserve"> be </w:t>
      </w:r>
      <w:r w:rsidR="00F5114F">
        <w:t xml:space="preserve">included </w:t>
      </w:r>
      <w:r w:rsidR="00B050C1">
        <w:t>in the TSB and incentive calculation</w:t>
      </w:r>
      <w:r w:rsidR="00F5114F" w:rsidRPr="00F5114F">
        <w:t xml:space="preserve"> </w:t>
      </w:r>
      <w:r w:rsidR="00867598">
        <w:t>(</w:t>
      </w:r>
      <w:r w:rsidR="00185B70">
        <w:t xml:space="preserve">as Net Other Benefits in the above calculation) </w:t>
      </w:r>
      <w:r w:rsidR="00F5114F" w:rsidRPr="00F5114F">
        <w:t xml:space="preserve">for refrigerant measures that reduce lifecycle GHGs through changes in refrigerant to natural or ultra-low Global Warming Potential refrigerants, such as self-contained unit upgrades, refrigeration system replacements, and gas swaps. </w:t>
      </w:r>
      <w:r w:rsidR="00F22594">
        <w:t xml:space="preserve">The </w:t>
      </w:r>
      <w:r w:rsidR="00EC42D4">
        <w:t>“</w:t>
      </w:r>
      <w:r w:rsidR="00F22594">
        <w:t xml:space="preserve">2022 ACC Refrigerant </w:t>
      </w:r>
      <w:r w:rsidR="007C1BB7">
        <w:t>Calculator</w:t>
      </w:r>
      <w:r w:rsidR="00F22594">
        <w:t xml:space="preserve"> v1b.xlsx</w:t>
      </w:r>
      <w:r w:rsidR="00EC42D4">
        <w:t>”</w:t>
      </w:r>
      <w:r w:rsidR="00F22594">
        <w:t xml:space="preserve"> </w:t>
      </w:r>
      <w:r w:rsidR="00E04727">
        <w:t xml:space="preserve">is required </w:t>
      </w:r>
      <w:r w:rsidR="00B32312">
        <w:t xml:space="preserve">to claim refrigerant benefits. </w:t>
      </w:r>
    </w:p>
    <w:p w14:paraId="6871BB2C" w14:textId="77777777" w:rsidR="00612C27" w:rsidRPr="00733B79" w:rsidRDefault="00612C27" w:rsidP="00612C27"/>
    <w:p w14:paraId="6E2671AE" w14:textId="75F25A8B" w:rsidR="00612C27" w:rsidRPr="00733B79" w:rsidRDefault="00612C27" w:rsidP="00612C27">
      <w:r w:rsidRPr="00733B79">
        <w:t xml:space="preserve">If a project with solar is accepted, Payments for projects involving solar in the baseline or reporting year will be adjusted based on non-IOU fuel source analysis, and may be paid annually rather than quarterly, per </w:t>
      </w:r>
      <w:r w:rsidR="00A01CAC">
        <w:t>the AESC Team’s</w:t>
      </w:r>
      <w:r w:rsidRPr="00733B79">
        <w:t xml:space="preserve"> discretion.</w:t>
      </w:r>
    </w:p>
    <w:p w14:paraId="0C21F407" w14:textId="77777777" w:rsidR="00612C27" w:rsidRPr="00733B79" w:rsidRDefault="00612C27" w:rsidP="00612C27">
      <w:bookmarkStart w:id="179" w:name="_2bn6wsx"/>
      <w:bookmarkStart w:id="180" w:name="_qsh70q"/>
      <w:bookmarkEnd w:id="179"/>
      <w:bookmarkEnd w:id="180"/>
    </w:p>
    <w:p w14:paraId="0D9B6A3E" w14:textId="77777777" w:rsidR="00612C27" w:rsidRPr="00733B79" w:rsidRDefault="00612C27" w:rsidP="00B62D70">
      <w:pPr>
        <w:pStyle w:val="Heading2"/>
      </w:pPr>
      <w:bookmarkStart w:id="181" w:name="_3as4poj"/>
      <w:bookmarkStart w:id="182" w:name="_Toc106001755"/>
      <w:bookmarkStart w:id="183" w:name="_Toc106007832"/>
      <w:bookmarkStart w:id="184" w:name="_Toc106001756"/>
      <w:bookmarkStart w:id="185" w:name="_Toc106007833"/>
      <w:bookmarkStart w:id="186" w:name="_Toc106001757"/>
      <w:bookmarkStart w:id="187" w:name="_Toc106007834"/>
      <w:bookmarkStart w:id="188" w:name="_Toc106001758"/>
      <w:bookmarkStart w:id="189" w:name="_Toc106007835"/>
      <w:bookmarkStart w:id="190" w:name="_Toc106001759"/>
      <w:bookmarkStart w:id="191" w:name="_Toc106007836"/>
      <w:bookmarkStart w:id="192" w:name="_Toc106001760"/>
      <w:bookmarkStart w:id="193" w:name="_Toc106007837"/>
      <w:bookmarkStart w:id="194" w:name="_Toc106001761"/>
      <w:bookmarkStart w:id="195" w:name="_Toc106007838"/>
      <w:bookmarkStart w:id="196" w:name="_Toc106001762"/>
      <w:bookmarkStart w:id="197" w:name="_Toc106007839"/>
      <w:bookmarkStart w:id="198" w:name="_Toc106001763"/>
      <w:bookmarkStart w:id="199" w:name="_Toc106007840"/>
      <w:bookmarkStart w:id="200" w:name="_Toc106001764"/>
      <w:bookmarkStart w:id="201" w:name="_Toc106007841"/>
      <w:bookmarkStart w:id="202" w:name="_Toc106001765"/>
      <w:bookmarkStart w:id="203" w:name="_Toc106007842"/>
      <w:bookmarkStart w:id="204" w:name="_Toc106001766"/>
      <w:bookmarkStart w:id="205" w:name="_Toc106007843"/>
      <w:bookmarkStart w:id="206" w:name="_Toc106001767"/>
      <w:bookmarkStart w:id="207" w:name="_Toc106007844"/>
      <w:bookmarkStart w:id="208" w:name="_Toc106001768"/>
      <w:bookmarkStart w:id="209" w:name="_Toc106007845"/>
      <w:bookmarkStart w:id="210" w:name="_Toc106001769"/>
      <w:bookmarkStart w:id="211" w:name="_Toc106007846"/>
      <w:bookmarkStart w:id="212" w:name="_Toc106001770"/>
      <w:bookmarkStart w:id="213" w:name="_Toc106007847"/>
      <w:bookmarkStart w:id="214" w:name="_Toc106001771"/>
      <w:bookmarkStart w:id="215" w:name="_Toc106007848"/>
      <w:bookmarkStart w:id="216" w:name="_Toc106001772"/>
      <w:bookmarkStart w:id="217" w:name="_Toc106007849"/>
      <w:bookmarkStart w:id="218" w:name="_1pxezwc"/>
      <w:bookmarkStart w:id="219" w:name="_Toc162606065"/>
      <w:bookmarkStart w:id="220" w:name="_Toc17383163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733B79">
        <w:t>Effective Useful Life (EUL)</w:t>
      </w:r>
      <w:bookmarkEnd w:id="219"/>
      <w:bookmarkEnd w:id="220"/>
    </w:p>
    <w:p w14:paraId="1E477AC2" w14:textId="77777777" w:rsidR="00612C27" w:rsidRPr="00733B79" w:rsidRDefault="00612C27" w:rsidP="00612C27"/>
    <w:p w14:paraId="7AEA7815" w14:textId="5F64636F" w:rsidR="00131CA8" w:rsidRDefault="00D52C7A" w:rsidP="00131CA8">
      <w:pPr>
        <w:contextualSpacing/>
      </w:pPr>
      <w:r w:rsidRPr="00733B79">
        <w:t>MSSR</w:t>
      </w:r>
      <w:r w:rsidR="00612C27" w:rsidRPr="00733B79">
        <w:t xml:space="preserve"> may include, but is not limited to, the following interventions: lighting, HVAC, water heating, building envelope, refrigeration, and controls-based technologies. </w:t>
      </w:r>
      <w:r w:rsidR="00131CA8" w:rsidRPr="00733B79">
        <w:t xml:space="preserve">The measures listed in Tables A through </w:t>
      </w:r>
      <w:r w:rsidR="000B0F73">
        <w:t>D</w:t>
      </w:r>
      <w:r w:rsidR="00131CA8" w:rsidRPr="00733B79">
        <w:t xml:space="preserve"> are utilized by </w:t>
      </w:r>
      <w:r w:rsidR="00657DB0">
        <w:t xml:space="preserve">the AESC Team </w:t>
      </w:r>
      <w:r w:rsidR="00131CA8" w:rsidRPr="00733B79">
        <w:t xml:space="preserve">to calculate weighted EUL values for each project as applicable. The EULs listed, combined with the default </w:t>
      </w:r>
      <w:r w:rsidR="00480450">
        <w:t xml:space="preserve">savings </w:t>
      </w:r>
      <w:r w:rsidR="00131CA8" w:rsidRPr="00733B79">
        <w:t>load shapes</w:t>
      </w:r>
      <w:r w:rsidR="00480450">
        <w:t>,</w:t>
      </w:r>
      <w:r w:rsidR="00131CA8" w:rsidRPr="00733B79">
        <w:t xml:space="preserve"> are used to calculate</w:t>
      </w:r>
      <w:r w:rsidR="00EE368F">
        <w:t xml:space="preserve"> TSB </w:t>
      </w:r>
      <w:r w:rsidR="00131CA8" w:rsidRPr="00733B79">
        <w:t xml:space="preserve">for submitted interventions and for savings claims. The </w:t>
      </w:r>
      <w:r w:rsidR="00F701A8">
        <w:t>Program</w:t>
      </w:r>
      <w:r w:rsidR="00131CA8" w:rsidRPr="00733B79">
        <w:t xml:space="preserve"> is technology-agnostic, and a wide array of measures may be installed to meet the savings and demand impact targets. </w:t>
      </w:r>
      <w:r w:rsidR="00EE368F">
        <w:t>L</w:t>
      </w:r>
      <w:r w:rsidR="00131CA8" w:rsidRPr="00733B79">
        <w:t xml:space="preserve">oad shapes and EULs used by </w:t>
      </w:r>
      <w:r w:rsidR="00131CA8">
        <w:t>MSSR</w:t>
      </w:r>
      <w:r w:rsidR="00EE368F">
        <w:t xml:space="preserve"> are</w:t>
      </w:r>
      <w:r w:rsidR="00131CA8" w:rsidRPr="00733B79">
        <w:t xml:space="preserve"> based on best available research from </w:t>
      </w:r>
      <w:proofErr w:type="spellStart"/>
      <w:r w:rsidR="00131CA8" w:rsidRPr="00733B79">
        <w:t>eTRM</w:t>
      </w:r>
      <w:proofErr w:type="spellEnd"/>
      <w:r w:rsidR="00131CA8" w:rsidRPr="00733B79">
        <w:t xml:space="preserve"> measure packages and customer load shapes. New load shapes may be added at th</w:t>
      </w:r>
      <w:r w:rsidR="00F701A8">
        <w:t>e</w:t>
      </w:r>
      <w:r w:rsidR="00131CA8" w:rsidRPr="00733B79">
        <w:t xml:space="preserve"> AESC Team’s discretion.</w:t>
      </w:r>
    </w:p>
    <w:p w14:paraId="7727B160" w14:textId="77777777" w:rsidR="00E771FD" w:rsidRDefault="00E771FD" w:rsidP="00131CA8">
      <w:pPr>
        <w:contextualSpacing/>
      </w:pPr>
    </w:p>
    <w:p w14:paraId="5A27D2FC" w14:textId="5BCFACCF" w:rsidR="00761987" w:rsidRDefault="00E771FD" w:rsidP="00E771FD">
      <w:r w:rsidRPr="00733B79">
        <w:lastRenderedPageBreak/>
        <w:t xml:space="preserve">In calculating </w:t>
      </w:r>
      <w:r w:rsidR="001C57AF">
        <w:t xml:space="preserve">TSB and </w:t>
      </w:r>
      <w:r w:rsidRPr="00733B79">
        <w:t>savings claims, MSSR will combine measure attributes in accordance with the CPUC’s guidance on “Weighted Average Expected Useful Life/Net to Gross Method</w:t>
      </w:r>
      <w:r w:rsidRPr="00733B79">
        <w:rPr>
          <w:vertAlign w:val="superscript"/>
        </w:rPr>
        <w:footnoteReference w:id="34"/>
      </w:r>
      <w:r w:rsidR="00395651">
        <w:t>,”</w:t>
      </w:r>
      <w:r w:rsidRPr="00733B79">
        <w:t xml:space="preserve"> </w:t>
      </w:r>
    </w:p>
    <w:p w14:paraId="71210EB3" w14:textId="4B16ABBA" w:rsidR="00E771FD" w:rsidRDefault="00E0602A" w:rsidP="00131CA8">
      <w:r>
        <w:t>which</w:t>
      </w:r>
      <w:r w:rsidR="00761987">
        <w:t xml:space="preserve"> simply calculat</w:t>
      </w:r>
      <w:r w:rsidR="00C47FB5">
        <w:t>es</w:t>
      </w:r>
      <w:r w:rsidR="00761987">
        <w:t xml:space="preserve"> the weighted EUL as the</w:t>
      </w:r>
      <w:r w:rsidR="00D72704">
        <w:t xml:space="preserve"> total</w:t>
      </w:r>
      <w:r w:rsidR="00761987">
        <w:t xml:space="preserve"> lifecycle savings divided by the</w:t>
      </w:r>
      <w:r w:rsidR="00D72704">
        <w:t xml:space="preserve"> total annual savings</w:t>
      </w:r>
      <w:r w:rsidR="00C577A7">
        <w:t xml:space="preserve"> of the project measure package by fuel type.</w:t>
      </w:r>
      <w:r w:rsidR="00C47FB5">
        <w:t xml:space="preserve"> </w:t>
      </w:r>
    </w:p>
    <w:p w14:paraId="4DBF93B6" w14:textId="77777777" w:rsidR="00BC3D7A" w:rsidRDefault="00BC3D7A" w:rsidP="00BC3D7A">
      <w:pPr>
        <w:pStyle w:val="Caption"/>
        <w:rPr>
          <w:i w:val="0"/>
          <w:iCs w:val="0"/>
          <w:color w:val="auto"/>
          <w:sz w:val="22"/>
          <w:szCs w:val="22"/>
        </w:rPr>
      </w:pPr>
    </w:p>
    <w:p w14:paraId="4740DAB2" w14:textId="7FF27EF1" w:rsidR="00BC3D7A" w:rsidRPr="009C7B6D" w:rsidRDefault="00BC3D7A" w:rsidP="009C7B6D">
      <w:pPr>
        <w:pStyle w:val="Caption"/>
        <w:rPr>
          <w:sz w:val="20"/>
          <w:szCs w:val="20"/>
        </w:rPr>
      </w:pPr>
      <w:r w:rsidRPr="009C7B6D">
        <w:rPr>
          <w:sz w:val="20"/>
          <w:szCs w:val="20"/>
        </w:rPr>
        <w:t xml:space="preserve">Table </w:t>
      </w:r>
      <w:r w:rsidRPr="009C7B6D">
        <w:rPr>
          <w:sz w:val="20"/>
          <w:szCs w:val="20"/>
        </w:rPr>
        <w:fldChar w:fldCharType="begin"/>
      </w:r>
      <w:r w:rsidRPr="009C7B6D">
        <w:rPr>
          <w:sz w:val="20"/>
          <w:szCs w:val="20"/>
        </w:rPr>
        <w:instrText xml:space="preserve"> SEQ Table \* ARABIC </w:instrText>
      </w:r>
      <w:r w:rsidRPr="009C7B6D">
        <w:rPr>
          <w:sz w:val="20"/>
          <w:szCs w:val="20"/>
        </w:rPr>
        <w:fldChar w:fldCharType="separate"/>
      </w:r>
      <w:r w:rsidRPr="009C7B6D">
        <w:rPr>
          <w:noProof/>
          <w:sz w:val="20"/>
          <w:szCs w:val="20"/>
        </w:rPr>
        <w:t>9</w:t>
      </w:r>
      <w:r w:rsidRPr="009C7B6D">
        <w:rPr>
          <w:sz w:val="20"/>
          <w:szCs w:val="20"/>
        </w:rPr>
        <w:fldChar w:fldCharType="end"/>
      </w:r>
      <w:r w:rsidRPr="009C7B6D">
        <w:rPr>
          <w:sz w:val="20"/>
          <w:szCs w:val="20"/>
        </w:rPr>
        <w:t xml:space="preserve"> Electric Retrofit Measure EULs</w:t>
      </w:r>
    </w:p>
    <w:p w14:paraId="1DD863E4" w14:textId="77777777" w:rsidR="00131CA8" w:rsidRPr="00733B79" w:rsidRDefault="00131CA8" w:rsidP="00131CA8">
      <w:pPr>
        <w:spacing w:after="60"/>
        <w:contextualSpacing/>
        <w:rPr>
          <w:b/>
          <w:bCs/>
          <w:sz w:val="6"/>
          <w:szCs w:val="6"/>
        </w:rPr>
      </w:pPr>
    </w:p>
    <w:tbl>
      <w:tblPr>
        <w:tblStyle w:val="TableGrid"/>
        <w:tblW w:w="9355" w:type="dxa"/>
        <w:tblLook w:val="04A0" w:firstRow="1" w:lastRow="0" w:firstColumn="1" w:lastColumn="0" w:noHBand="0" w:noVBand="1"/>
      </w:tblPr>
      <w:tblGrid>
        <w:gridCol w:w="3775"/>
        <w:gridCol w:w="804"/>
        <w:gridCol w:w="4776"/>
      </w:tblGrid>
      <w:tr w:rsidR="00131CA8" w:rsidRPr="002B0823" w14:paraId="15165CB1" w14:textId="77777777" w:rsidTr="009C7B6D">
        <w:trPr>
          <w:trHeight w:val="494"/>
        </w:trPr>
        <w:tc>
          <w:tcPr>
            <w:tcW w:w="3775" w:type="dxa"/>
            <w:shd w:val="clear" w:color="auto" w:fill="D9E2F3" w:themeFill="accent1" w:themeFillTint="33"/>
            <w:vAlign w:val="center"/>
          </w:tcPr>
          <w:p w14:paraId="117CD7B4" w14:textId="1C718796" w:rsidR="00131CA8" w:rsidRPr="002B0823" w:rsidRDefault="00C16103">
            <w:pPr>
              <w:contextualSpacing/>
              <w:rPr>
                <w:b/>
                <w:bCs/>
              </w:rPr>
            </w:pPr>
            <w:r>
              <w:rPr>
                <w:b/>
                <w:bCs/>
              </w:rPr>
              <w:t>Technology/Intervention</w:t>
            </w:r>
          </w:p>
        </w:tc>
        <w:tc>
          <w:tcPr>
            <w:tcW w:w="804" w:type="dxa"/>
            <w:shd w:val="clear" w:color="auto" w:fill="D9E2F3" w:themeFill="accent1" w:themeFillTint="33"/>
            <w:vAlign w:val="center"/>
          </w:tcPr>
          <w:p w14:paraId="7D6BDEDE" w14:textId="0E73E04B" w:rsidR="00131CA8" w:rsidRPr="002B0823" w:rsidRDefault="00131CA8">
            <w:pPr>
              <w:contextualSpacing/>
              <w:jc w:val="center"/>
              <w:rPr>
                <w:b/>
                <w:bCs/>
              </w:rPr>
            </w:pPr>
            <w:r w:rsidRPr="002B0823">
              <w:rPr>
                <w:b/>
                <w:bCs/>
              </w:rPr>
              <w:t>EUL</w:t>
            </w:r>
          </w:p>
        </w:tc>
        <w:tc>
          <w:tcPr>
            <w:tcW w:w="4776" w:type="dxa"/>
            <w:shd w:val="clear" w:color="auto" w:fill="D9E2F3" w:themeFill="accent1" w:themeFillTint="33"/>
            <w:vAlign w:val="center"/>
          </w:tcPr>
          <w:p w14:paraId="2E51D99E" w14:textId="6654FC7B" w:rsidR="00131CA8" w:rsidRPr="002B0823" w:rsidRDefault="00131CA8">
            <w:pPr>
              <w:contextualSpacing/>
              <w:rPr>
                <w:b/>
                <w:bCs/>
              </w:rPr>
            </w:pPr>
            <w:r w:rsidRPr="002B0823">
              <w:rPr>
                <w:b/>
                <w:bCs/>
              </w:rPr>
              <w:t>Load Shape</w:t>
            </w:r>
            <w:r w:rsidR="00AC66CB">
              <w:rPr>
                <w:b/>
                <w:bCs/>
              </w:rPr>
              <w:t xml:space="preserve"> (E3 Measure End Use Shape)</w:t>
            </w:r>
          </w:p>
        </w:tc>
      </w:tr>
      <w:tr w:rsidR="00131CA8" w:rsidRPr="002B0823" w14:paraId="5C9733DC" w14:textId="77777777">
        <w:trPr>
          <w:trHeight w:val="246"/>
        </w:trPr>
        <w:tc>
          <w:tcPr>
            <w:tcW w:w="3775" w:type="dxa"/>
          </w:tcPr>
          <w:p w14:paraId="15EEA10F" w14:textId="77777777" w:rsidR="00131CA8" w:rsidRPr="002B0823" w:rsidRDefault="00131CA8">
            <w:pPr>
              <w:contextualSpacing/>
            </w:pPr>
            <w:r w:rsidRPr="002B0823">
              <w:t>Lighting</w:t>
            </w:r>
          </w:p>
        </w:tc>
        <w:tc>
          <w:tcPr>
            <w:tcW w:w="804" w:type="dxa"/>
          </w:tcPr>
          <w:p w14:paraId="7EA57D1C" w14:textId="77777777" w:rsidR="00131CA8" w:rsidRPr="002B0823" w:rsidRDefault="00131CA8">
            <w:pPr>
              <w:contextualSpacing/>
              <w:jc w:val="center"/>
            </w:pPr>
            <w:r w:rsidRPr="002B0823">
              <w:t>12</w:t>
            </w:r>
          </w:p>
        </w:tc>
        <w:tc>
          <w:tcPr>
            <w:tcW w:w="4776" w:type="dxa"/>
          </w:tcPr>
          <w:p w14:paraId="2DBD9202"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22925051" w14:textId="77777777">
        <w:trPr>
          <w:trHeight w:val="246"/>
        </w:trPr>
        <w:tc>
          <w:tcPr>
            <w:tcW w:w="3775" w:type="dxa"/>
          </w:tcPr>
          <w:p w14:paraId="2FAD76A9" w14:textId="4A979D03" w:rsidR="00131CA8" w:rsidRPr="002B0823" w:rsidRDefault="00131CA8">
            <w:pPr>
              <w:contextualSpacing/>
            </w:pPr>
            <w:r w:rsidRPr="002B0823">
              <w:t xml:space="preserve">Lighting </w:t>
            </w:r>
            <w:r w:rsidR="00B47A33">
              <w:t>–</w:t>
            </w:r>
            <w:r w:rsidRPr="002B0823">
              <w:t xml:space="preserve"> Exterior</w:t>
            </w:r>
          </w:p>
        </w:tc>
        <w:tc>
          <w:tcPr>
            <w:tcW w:w="804" w:type="dxa"/>
          </w:tcPr>
          <w:p w14:paraId="2CADEEEA" w14:textId="77777777" w:rsidR="00131CA8" w:rsidRPr="002B0823" w:rsidRDefault="00131CA8">
            <w:pPr>
              <w:contextualSpacing/>
              <w:jc w:val="center"/>
            </w:pPr>
            <w:r w:rsidRPr="002B0823">
              <w:t>12</w:t>
            </w:r>
          </w:p>
        </w:tc>
        <w:tc>
          <w:tcPr>
            <w:tcW w:w="4776" w:type="dxa"/>
          </w:tcPr>
          <w:p w14:paraId="27B33F5B" w14:textId="5D522F64" w:rsidR="00131CA8" w:rsidRPr="002B0823" w:rsidRDefault="00131CA8">
            <w:pPr>
              <w:contextualSpacing/>
            </w:pPr>
            <w:r w:rsidRPr="002B0823">
              <w:t>2 = Commercial Outdoor Lighting</w:t>
            </w:r>
            <w:r w:rsidR="0018049C" w:rsidRPr="002B0823">
              <w:rPr>
                <w:rStyle w:val="FootnoteReference"/>
              </w:rPr>
              <w:footnoteReference w:id="35"/>
            </w:r>
          </w:p>
        </w:tc>
      </w:tr>
      <w:tr w:rsidR="00131CA8" w:rsidRPr="002B0823" w14:paraId="5B7B26B8" w14:textId="77777777">
        <w:trPr>
          <w:trHeight w:val="246"/>
        </w:trPr>
        <w:tc>
          <w:tcPr>
            <w:tcW w:w="3775" w:type="dxa"/>
          </w:tcPr>
          <w:p w14:paraId="621FE720" w14:textId="77777777" w:rsidR="00131CA8" w:rsidRPr="002B0823" w:rsidRDefault="00131CA8">
            <w:pPr>
              <w:contextualSpacing/>
            </w:pPr>
            <w:r w:rsidRPr="002B0823">
              <w:t>Lighting – 24/7 Operation</w:t>
            </w:r>
          </w:p>
        </w:tc>
        <w:tc>
          <w:tcPr>
            <w:tcW w:w="804" w:type="dxa"/>
          </w:tcPr>
          <w:p w14:paraId="7CF29D33" w14:textId="77777777" w:rsidR="00131CA8" w:rsidRPr="002B0823" w:rsidRDefault="00131CA8">
            <w:pPr>
              <w:contextualSpacing/>
              <w:jc w:val="center"/>
            </w:pPr>
            <w:r w:rsidRPr="002B0823">
              <w:t>12</w:t>
            </w:r>
          </w:p>
        </w:tc>
        <w:tc>
          <w:tcPr>
            <w:tcW w:w="4776" w:type="dxa"/>
          </w:tcPr>
          <w:p w14:paraId="0285A0EC"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50EF6A8F" w14:textId="77777777">
        <w:trPr>
          <w:trHeight w:val="246"/>
        </w:trPr>
        <w:tc>
          <w:tcPr>
            <w:tcW w:w="3775" w:type="dxa"/>
          </w:tcPr>
          <w:p w14:paraId="1E894866" w14:textId="77777777" w:rsidR="00131CA8" w:rsidRPr="002B0823" w:rsidRDefault="00131CA8">
            <w:pPr>
              <w:contextualSpacing/>
            </w:pPr>
            <w:r w:rsidRPr="002B0823">
              <w:t>HVAC Retrofit</w:t>
            </w:r>
          </w:p>
        </w:tc>
        <w:tc>
          <w:tcPr>
            <w:tcW w:w="804" w:type="dxa"/>
          </w:tcPr>
          <w:p w14:paraId="13AB3C96" w14:textId="77777777" w:rsidR="00131CA8" w:rsidRPr="002B0823" w:rsidRDefault="00131CA8">
            <w:pPr>
              <w:contextualSpacing/>
              <w:jc w:val="center"/>
            </w:pPr>
            <w:r w:rsidRPr="002B0823">
              <w:t>15</w:t>
            </w:r>
          </w:p>
        </w:tc>
        <w:tc>
          <w:tcPr>
            <w:tcW w:w="4776" w:type="dxa"/>
          </w:tcPr>
          <w:p w14:paraId="2B3FFD91" w14:textId="77777777" w:rsidR="00131CA8" w:rsidRPr="002B0823" w:rsidRDefault="00131CA8">
            <w:pPr>
              <w:contextualSpacing/>
            </w:pPr>
            <w:r w:rsidRPr="002B0823">
              <w:t xml:space="preserve">DEER: </w:t>
            </w:r>
            <w:proofErr w:type="spellStart"/>
            <w:r w:rsidRPr="002B0823">
              <w:t>NonRes_HVAC_Split_Package_AC</w:t>
            </w:r>
            <w:proofErr w:type="spellEnd"/>
          </w:p>
        </w:tc>
      </w:tr>
      <w:tr w:rsidR="00131CA8" w:rsidRPr="002B0823" w14:paraId="54E50B2E" w14:textId="77777777">
        <w:trPr>
          <w:trHeight w:val="246"/>
        </w:trPr>
        <w:tc>
          <w:tcPr>
            <w:tcW w:w="3775" w:type="dxa"/>
          </w:tcPr>
          <w:p w14:paraId="0BD7C359" w14:textId="77777777" w:rsidR="00131CA8" w:rsidRPr="002B0823" w:rsidRDefault="00131CA8">
            <w:pPr>
              <w:contextualSpacing/>
            </w:pPr>
            <w:r w:rsidRPr="002B0823">
              <w:t>Heat Pump Retrofit</w:t>
            </w:r>
          </w:p>
        </w:tc>
        <w:tc>
          <w:tcPr>
            <w:tcW w:w="804" w:type="dxa"/>
          </w:tcPr>
          <w:p w14:paraId="6F6DE72D" w14:textId="77777777" w:rsidR="00131CA8" w:rsidRPr="002B0823" w:rsidRDefault="00131CA8">
            <w:pPr>
              <w:contextualSpacing/>
              <w:jc w:val="center"/>
            </w:pPr>
            <w:r w:rsidRPr="002B0823">
              <w:t>15</w:t>
            </w:r>
          </w:p>
        </w:tc>
        <w:tc>
          <w:tcPr>
            <w:tcW w:w="4776" w:type="dxa"/>
          </w:tcPr>
          <w:p w14:paraId="664A8BE0" w14:textId="77777777" w:rsidR="00131CA8" w:rsidRPr="002B0823" w:rsidRDefault="00131CA8">
            <w:pPr>
              <w:contextualSpacing/>
            </w:pPr>
            <w:r w:rsidRPr="002B0823">
              <w:t xml:space="preserve">DEER: </w:t>
            </w:r>
            <w:proofErr w:type="spellStart"/>
            <w:r w:rsidRPr="002B0823">
              <w:t>NonRes_HVAC_Split_Package_HP</w:t>
            </w:r>
            <w:proofErr w:type="spellEnd"/>
          </w:p>
        </w:tc>
      </w:tr>
      <w:tr w:rsidR="00131CA8" w:rsidRPr="002B0823" w14:paraId="7848B0D3" w14:textId="77777777">
        <w:trPr>
          <w:trHeight w:val="246"/>
        </w:trPr>
        <w:tc>
          <w:tcPr>
            <w:tcW w:w="3775" w:type="dxa"/>
          </w:tcPr>
          <w:p w14:paraId="71EAD8BF" w14:textId="77777777" w:rsidR="00131CA8" w:rsidRPr="002B0823" w:rsidRDefault="00131CA8">
            <w:pPr>
              <w:contextualSpacing/>
            </w:pPr>
            <w:r w:rsidRPr="002B0823">
              <w:t>Chiller</w:t>
            </w:r>
          </w:p>
        </w:tc>
        <w:tc>
          <w:tcPr>
            <w:tcW w:w="804" w:type="dxa"/>
          </w:tcPr>
          <w:p w14:paraId="598A0CF3" w14:textId="77777777" w:rsidR="00131CA8" w:rsidRPr="002B0823" w:rsidRDefault="00131CA8">
            <w:pPr>
              <w:contextualSpacing/>
              <w:jc w:val="center"/>
            </w:pPr>
            <w:r w:rsidRPr="002B0823">
              <w:t>20</w:t>
            </w:r>
          </w:p>
        </w:tc>
        <w:tc>
          <w:tcPr>
            <w:tcW w:w="4776" w:type="dxa"/>
          </w:tcPr>
          <w:p w14:paraId="201F9FF8" w14:textId="77777777" w:rsidR="00131CA8" w:rsidRPr="002B0823" w:rsidRDefault="00131CA8">
            <w:pPr>
              <w:contextualSpacing/>
            </w:pPr>
            <w:proofErr w:type="spellStart"/>
            <w:r w:rsidRPr="002B0823">
              <w:t>DEER:NonRes_HVAC_Chillers</w:t>
            </w:r>
            <w:proofErr w:type="spellEnd"/>
          </w:p>
        </w:tc>
      </w:tr>
      <w:tr w:rsidR="00131CA8" w:rsidRPr="002B0823" w14:paraId="24171CDC" w14:textId="77777777">
        <w:trPr>
          <w:trHeight w:val="246"/>
        </w:trPr>
        <w:tc>
          <w:tcPr>
            <w:tcW w:w="3775" w:type="dxa"/>
          </w:tcPr>
          <w:p w14:paraId="17B496A6" w14:textId="77777777" w:rsidR="00131CA8" w:rsidRPr="002B0823" w:rsidRDefault="00131CA8">
            <w:pPr>
              <w:contextualSpacing/>
            </w:pPr>
            <w:r w:rsidRPr="002B0823">
              <w:t>Refrigeration</w:t>
            </w:r>
          </w:p>
        </w:tc>
        <w:tc>
          <w:tcPr>
            <w:tcW w:w="804" w:type="dxa"/>
          </w:tcPr>
          <w:p w14:paraId="06042BDC" w14:textId="77777777" w:rsidR="00131CA8" w:rsidRPr="002B0823" w:rsidRDefault="00131CA8">
            <w:pPr>
              <w:contextualSpacing/>
              <w:jc w:val="center"/>
            </w:pPr>
            <w:r w:rsidRPr="002B0823">
              <w:t>12</w:t>
            </w:r>
          </w:p>
        </w:tc>
        <w:tc>
          <w:tcPr>
            <w:tcW w:w="4776" w:type="dxa"/>
          </w:tcPr>
          <w:p w14:paraId="69134A52" w14:textId="77777777" w:rsidR="00131CA8" w:rsidRPr="002B0823" w:rsidRDefault="00131CA8">
            <w:pPr>
              <w:contextualSpacing/>
            </w:pPr>
            <w:proofErr w:type="spellStart"/>
            <w:r w:rsidRPr="002B0823">
              <w:t>DEER:NonRes_HVAC_Chillers</w:t>
            </w:r>
            <w:proofErr w:type="spellEnd"/>
          </w:p>
        </w:tc>
      </w:tr>
      <w:tr w:rsidR="00131CA8" w:rsidRPr="002B0823" w14:paraId="7DC87A86" w14:textId="77777777">
        <w:trPr>
          <w:trHeight w:val="754"/>
        </w:trPr>
        <w:tc>
          <w:tcPr>
            <w:tcW w:w="3775" w:type="dxa"/>
          </w:tcPr>
          <w:p w14:paraId="25BADB12" w14:textId="77777777" w:rsidR="00131CA8" w:rsidRPr="002B0823" w:rsidRDefault="00131CA8">
            <w:pPr>
              <w:contextualSpacing/>
            </w:pPr>
            <w:r w:rsidRPr="002B0823">
              <w:t>Refrigeration - Compressors/Condensers/Display Case</w:t>
            </w:r>
          </w:p>
        </w:tc>
        <w:tc>
          <w:tcPr>
            <w:tcW w:w="804" w:type="dxa"/>
          </w:tcPr>
          <w:p w14:paraId="0C730F65" w14:textId="77777777" w:rsidR="00131CA8" w:rsidRPr="002B0823" w:rsidRDefault="00131CA8">
            <w:pPr>
              <w:contextualSpacing/>
              <w:jc w:val="center"/>
            </w:pPr>
            <w:r w:rsidRPr="002B0823">
              <w:t>15</w:t>
            </w:r>
          </w:p>
        </w:tc>
        <w:tc>
          <w:tcPr>
            <w:tcW w:w="4776" w:type="dxa"/>
          </w:tcPr>
          <w:p w14:paraId="35223E9A" w14:textId="77777777" w:rsidR="00131CA8" w:rsidRPr="002B0823" w:rsidRDefault="00131CA8">
            <w:pPr>
              <w:contextualSpacing/>
            </w:pPr>
            <w:proofErr w:type="spellStart"/>
            <w:r w:rsidRPr="002B0823">
              <w:t>DEER:NonRes_HVAC_Chillers</w:t>
            </w:r>
            <w:proofErr w:type="spellEnd"/>
          </w:p>
        </w:tc>
      </w:tr>
      <w:tr w:rsidR="00131CA8" w:rsidRPr="002B0823" w14:paraId="01BC6C02" w14:textId="77777777">
        <w:trPr>
          <w:trHeight w:val="246"/>
        </w:trPr>
        <w:tc>
          <w:tcPr>
            <w:tcW w:w="3775" w:type="dxa"/>
          </w:tcPr>
          <w:p w14:paraId="0F116C0E" w14:textId="77777777" w:rsidR="00131CA8" w:rsidRPr="002B0823" w:rsidRDefault="00131CA8">
            <w:pPr>
              <w:contextualSpacing/>
            </w:pPr>
            <w:r w:rsidRPr="002B0823">
              <w:t>Building Envelope</w:t>
            </w:r>
          </w:p>
        </w:tc>
        <w:tc>
          <w:tcPr>
            <w:tcW w:w="804" w:type="dxa"/>
          </w:tcPr>
          <w:p w14:paraId="2A6B14DA" w14:textId="77777777" w:rsidR="00131CA8" w:rsidRPr="002B0823" w:rsidRDefault="00131CA8">
            <w:pPr>
              <w:contextualSpacing/>
              <w:jc w:val="center"/>
            </w:pPr>
            <w:r w:rsidRPr="002B0823">
              <w:t>20</w:t>
            </w:r>
          </w:p>
        </w:tc>
        <w:tc>
          <w:tcPr>
            <w:tcW w:w="4776" w:type="dxa"/>
          </w:tcPr>
          <w:p w14:paraId="690BB8C6" w14:textId="77777777" w:rsidR="00131CA8" w:rsidRPr="002B0823" w:rsidRDefault="00131CA8">
            <w:pPr>
              <w:contextualSpacing/>
            </w:pPr>
            <w:proofErr w:type="spellStart"/>
            <w:r w:rsidRPr="002B0823">
              <w:t>DEER:NonRes_HVAC_Split_Package_AC</w:t>
            </w:r>
            <w:proofErr w:type="spellEnd"/>
          </w:p>
        </w:tc>
      </w:tr>
      <w:tr w:rsidR="00131CA8" w:rsidRPr="002B0823" w14:paraId="56C97003" w14:textId="77777777">
        <w:trPr>
          <w:trHeight w:val="246"/>
        </w:trPr>
        <w:tc>
          <w:tcPr>
            <w:tcW w:w="3775" w:type="dxa"/>
          </w:tcPr>
          <w:p w14:paraId="348847AB" w14:textId="77777777" w:rsidR="00131CA8" w:rsidRPr="002B0823" w:rsidRDefault="00131CA8">
            <w:pPr>
              <w:contextualSpacing/>
            </w:pPr>
            <w:r w:rsidRPr="002B0823">
              <w:t>Process – Pumps/Motors</w:t>
            </w:r>
          </w:p>
        </w:tc>
        <w:tc>
          <w:tcPr>
            <w:tcW w:w="804" w:type="dxa"/>
          </w:tcPr>
          <w:p w14:paraId="6B3234C7" w14:textId="77777777" w:rsidR="00131CA8" w:rsidRPr="002B0823" w:rsidRDefault="00131CA8">
            <w:pPr>
              <w:contextualSpacing/>
              <w:jc w:val="center"/>
            </w:pPr>
            <w:r w:rsidRPr="002B0823">
              <w:t>15</w:t>
            </w:r>
          </w:p>
        </w:tc>
        <w:tc>
          <w:tcPr>
            <w:tcW w:w="4776" w:type="dxa"/>
          </w:tcPr>
          <w:p w14:paraId="001F95FB"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0C220190" w14:textId="77777777">
        <w:trPr>
          <w:trHeight w:val="246"/>
        </w:trPr>
        <w:tc>
          <w:tcPr>
            <w:tcW w:w="3775" w:type="dxa"/>
          </w:tcPr>
          <w:p w14:paraId="08DAF4EB" w14:textId="77777777" w:rsidR="00131CA8" w:rsidRPr="002B0823" w:rsidRDefault="00131CA8">
            <w:pPr>
              <w:contextualSpacing/>
            </w:pPr>
            <w:r w:rsidRPr="002B0823">
              <w:t>Storage Water Heaters</w:t>
            </w:r>
          </w:p>
        </w:tc>
        <w:tc>
          <w:tcPr>
            <w:tcW w:w="804" w:type="dxa"/>
          </w:tcPr>
          <w:p w14:paraId="52F2845B" w14:textId="77777777" w:rsidR="00131CA8" w:rsidRPr="002B0823" w:rsidRDefault="00131CA8">
            <w:pPr>
              <w:contextualSpacing/>
              <w:jc w:val="center"/>
            </w:pPr>
            <w:r w:rsidRPr="002B0823">
              <w:t>15</w:t>
            </w:r>
          </w:p>
        </w:tc>
        <w:tc>
          <w:tcPr>
            <w:tcW w:w="4776" w:type="dxa"/>
          </w:tcPr>
          <w:p w14:paraId="3CCC7E9C"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2CF735F7" w14:textId="77777777">
        <w:trPr>
          <w:trHeight w:val="246"/>
        </w:trPr>
        <w:tc>
          <w:tcPr>
            <w:tcW w:w="3775" w:type="dxa"/>
          </w:tcPr>
          <w:p w14:paraId="0FA2B174" w14:textId="77777777" w:rsidR="00131CA8" w:rsidRPr="002B0823" w:rsidRDefault="00131CA8">
            <w:pPr>
              <w:contextualSpacing/>
            </w:pPr>
            <w:r w:rsidRPr="002B0823">
              <w:t>Heat Pump Water Heater</w:t>
            </w:r>
          </w:p>
        </w:tc>
        <w:tc>
          <w:tcPr>
            <w:tcW w:w="804" w:type="dxa"/>
          </w:tcPr>
          <w:p w14:paraId="6F7E7532" w14:textId="77777777" w:rsidR="00131CA8" w:rsidRPr="002B0823" w:rsidRDefault="00131CA8">
            <w:pPr>
              <w:contextualSpacing/>
              <w:jc w:val="center"/>
            </w:pPr>
            <w:r w:rsidRPr="002B0823">
              <w:t>10</w:t>
            </w:r>
          </w:p>
        </w:tc>
        <w:tc>
          <w:tcPr>
            <w:tcW w:w="4776" w:type="dxa"/>
          </w:tcPr>
          <w:p w14:paraId="6162F8FF"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2CBCDEB8" w14:textId="77777777">
        <w:trPr>
          <w:trHeight w:val="246"/>
        </w:trPr>
        <w:tc>
          <w:tcPr>
            <w:tcW w:w="3775" w:type="dxa"/>
          </w:tcPr>
          <w:p w14:paraId="22DE0AB7" w14:textId="77777777" w:rsidR="00131CA8" w:rsidRPr="002B0823" w:rsidRDefault="00131CA8">
            <w:pPr>
              <w:contextualSpacing/>
            </w:pPr>
            <w:r w:rsidRPr="002B0823">
              <w:t>Appliances – Cooking Equipment</w:t>
            </w:r>
          </w:p>
        </w:tc>
        <w:tc>
          <w:tcPr>
            <w:tcW w:w="804" w:type="dxa"/>
          </w:tcPr>
          <w:p w14:paraId="3B4DDAFC" w14:textId="77777777" w:rsidR="00131CA8" w:rsidRPr="002B0823" w:rsidRDefault="00131CA8">
            <w:pPr>
              <w:contextualSpacing/>
              <w:jc w:val="center"/>
            </w:pPr>
            <w:r w:rsidRPr="002B0823">
              <w:t>12</w:t>
            </w:r>
          </w:p>
        </w:tc>
        <w:tc>
          <w:tcPr>
            <w:tcW w:w="4776" w:type="dxa"/>
          </w:tcPr>
          <w:p w14:paraId="34D6BA7B"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395DBCC3" w14:textId="77777777">
        <w:trPr>
          <w:trHeight w:val="246"/>
        </w:trPr>
        <w:tc>
          <w:tcPr>
            <w:tcW w:w="3775" w:type="dxa"/>
          </w:tcPr>
          <w:p w14:paraId="64B9111B" w14:textId="77777777" w:rsidR="00131CA8" w:rsidRPr="002B0823" w:rsidRDefault="00131CA8">
            <w:pPr>
              <w:contextualSpacing/>
            </w:pPr>
            <w:r w:rsidRPr="002B0823">
              <w:t>Appliances – Dishwasher</w:t>
            </w:r>
          </w:p>
        </w:tc>
        <w:tc>
          <w:tcPr>
            <w:tcW w:w="804" w:type="dxa"/>
          </w:tcPr>
          <w:p w14:paraId="2AD237F7" w14:textId="77777777" w:rsidR="00131CA8" w:rsidRPr="002B0823" w:rsidRDefault="00131CA8">
            <w:pPr>
              <w:contextualSpacing/>
              <w:jc w:val="center"/>
            </w:pPr>
            <w:r w:rsidRPr="002B0823">
              <w:t>15</w:t>
            </w:r>
          </w:p>
        </w:tc>
        <w:tc>
          <w:tcPr>
            <w:tcW w:w="4776" w:type="dxa"/>
          </w:tcPr>
          <w:p w14:paraId="5DB9BB92"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70198760" w14:textId="77777777">
        <w:trPr>
          <w:trHeight w:val="246"/>
        </w:trPr>
        <w:tc>
          <w:tcPr>
            <w:tcW w:w="3775" w:type="dxa"/>
          </w:tcPr>
          <w:p w14:paraId="5C1F4DD2" w14:textId="77777777" w:rsidR="00131CA8" w:rsidRPr="002B0823" w:rsidRDefault="00131CA8">
            <w:pPr>
              <w:contextualSpacing/>
            </w:pPr>
            <w:r w:rsidRPr="002B0823">
              <w:t>Food Services – Equipment</w:t>
            </w:r>
          </w:p>
        </w:tc>
        <w:tc>
          <w:tcPr>
            <w:tcW w:w="804" w:type="dxa"/>
          </w:tcPr>
          <w:p w14:paraId="37F947FB" w14:textId="77777777" w:rsidR="00131CA8" w:rsidRPr="002B0823" w:rsidRDefault="00131CA8">
            <w:pPr>
              <w:contextualSpacing/>
              <w:jc w:val="center"/>
            </w:pPr>
            <w:r w:rsidRPr="002B0823">
              <w:t>10</w:t>
            </w:r>
          </w:p>
        </w:tc>
        <w:tc>
          <w:tcPr>
            <w:tcW w:w="4776" w:type="dxa"/>
          </w:tcPr>
          <w:p w14:paraId="714B4817" w14:textId="77777777" w:rsidR="00131CA8" w:rsidRPr="002B0823" w:rsidRDefault="00131CA8">
            <w:pPr>
              <w:contextualSpacing/>
            </w:pPr>
            <w:r w:rsidRPr="002B0823">
              <w:t xml:space="preserve">DEER: </w:t>
            </w:r>
            <w:proofErr w:type="spellStart"/>
            <w:r w:rsidRPr="002B0823">
              <w:t>NonRes_Indoor_Non_CFL_Ltg</w:t>
            </w:r>
            <w:proofErr w:type="spellEnd"/>
          </w:p>
        </w:tc>
      </w:tr>
      <w:tr w:rsidR="00131CA8" w:rsidRPr="002B0823" w14:paraId="44866213" w14:textId="77777777">
        <w:trPr>
          <w:trHeight w:val="246"/>
        </w:trPr>
        <w:tc>
          <w:tcPr>
            <w:tcW w:w="3775" w:type="dxa"/>
          </w:tcPr>
          <w:p w14:paraId="1E6B52CE" w14:textId="77777777" w:rsidR="00131CA8" w:rsidRPr="002B0823" w:rsidRDefault="00131CA8">
            <w:pPr>
              <w:contextualSpacing/>
            </w:pPr>
            <w:r w:rsidRPr="002B0823">
              <w:t>Refrigeration – Rapid Close Doors for Refrigerated Storage Areas</w:t>
            </w:r>
          </w:p>
        </w:tc>
        <w:tc>
          <w:tcPr>
            <w:tcW w:w="804" w:type="dxa"/>
          </w:tcPr>
          <w:p w14:paraId="16547617" w14:textId="77777777" w:rsidR="00131CA8" w:rsidRPr="002B0823" w:rsidRDefault="00131CA8">
            <w:pPr>
              <w:contextualSpacing/>
              <w:jc w:val="center"/>
            </w:pPr>
            <w:r w:rsidRPr="002B0823">
              <w:t>8</w:t>
            </w:r>
          </w:p>
        </w:tc>
        <w:tc>
          <w:tcPr>
            <w:tcW w:w="4776" w:type="dxa"/>
          </w:tcPr>
          <w:p w14:paraId="41430E3F" w14:textId="77777777" w:rsidR="00131CA8" w:rsidRPr="002B0823" w:rsidRDefault="00131CA8">
            <w:pPr>
              <w:contextualSpacing/>
            </w:pPr>
            <w:proofErr w:type="spellStart"/>
            <w:r w:rsidRPr="002B0823">
              <w:t>DEER:NonRes_HVAC_Chillers</w:t>
            </w:r>
            <w:proofErr w:type="spellEnd"/>
          </w:p>
        </w:tc>
      </w:tr>
    </w:tbl>
    <w:p w14:paraId="726D4EE9" w14:textId="77777777" w:rsidR="00131CA8" w:rsidRPr="002B0823" w:rsidRDefault="00131CA8" w:rsidP="00131CA8"/>
    <w:p w14:paraId="7DD112A6" w14:textId="0E8A973E" w:rsidR="00D92684" w:rsidRPr="009C7B6D" w:rsidRDefault="00D92684" w:rsidP="009C7B6D">
      <w:pPr>
        <w:pStyle w:val="Caption"/>
        <w:rPr>
          <w:b/>
          <w:bCs/>
          <w:sz w:val="20"/>
          <w:szCs w:val="20"/>
        </w:rPr>
      </w:pPr>
      <w:r w:rsidRPr="009C7B6D">
        <w:rPr>
          <w:sz w:val="20"/>
          <w:szCs w:val="20"/>
        </w:rPr>
        <w:t xml:space="preserve">Table </w:t>
      </w:r>
      <w:r w:rsidRPr="009C7B6D">
        <w:rPr>
          <w:sz w:val="20"/>
          <w:szCs w:val="20"/>
        </w:rPr>
        <w:fldChar w:fldCharType="begin"/>
      </w:r>
      <w:r w:rsidRPr="009C7B6D">
        <w:rPr>
          <w:sz w:val="20"/>
          <w:szCs w:val="20"/>
        </w:rPr>
        <w:instrText xml:space="preserve"> SEQ Table \* ARABIC </w:instrText>
      </w:r>
      <w:r w:rsidRPr="009C7B6D">
        <w:rPr>
          <w:sz w:val="20"/>
          <w:szCs w:val="20"/>
        </w:rPr>
        <w:fldChar w:fldCharType="separate"/>
      </w:r>
      <w:r w:rsidRPr="009C7B6D">
        <w:rPr>
          <w:noProof/>
          <w:sz w:val="20"/>
          <w:szCs w:val="20"/>
        </w:rPr>
        <w:t>10</w:t>
      </w:r>
      <w:r w:rsidRPr="009C7B6D">
        <w:rPr>
          <w:sz w:val="20"/>
          <w:szCs w:val="20"/>
        </w:rPr>
        <w:fldChar w:fldCharType="end"/>
      </w:r>
      <w:r w:rsidRPr="009C7B6D">
        <w:rPr>
          <w:sz w:val="20"/>
          <w:szCs w:val="20"/>
        </w:rPr>
        <w:t xml:space="preserve"> Gas Retrofit Measures</w:t>
      </w:r>
    </w:p>
    <w:tbl>
      <w:tblPr>
        <w:tblStyle w:val="TableGrid"/>
        <w:tblW w:w="9355" w:type="dxa"/>
        <w:tblLook w:val="04A0" w:firstRow="1" w:lastRow="0" w:firstColumn="1" w:lastColumn="0" w:noHBand="0" w:noVBand="1"/>
      </w:tblPr>
      <w:tblGrid>
        <w:gridCol w:w="3775"/>
        <w:gridCol w:w="804"/>
        <w:gridCol w:w="4776"/>
      </w:tblGrid>
      <w:tr w:rsidR="00C120C8" w:rsidRPr="002B0823" w14:paraId="31B64170" w14:textId="77777777" w:rsidTr="009C7B6D">
        <w:trPr>
          <w:trHeight w:val="440"/>
        </w:trPr>
        <w:tc>
          <w:tcPr>
            <w:tcW w:w="3775" w:type="dxa"/>
            <w:shd w:val="clear" w:color="auto" w:fill="D9E2F3" w:themeFill="accent1" w:themeFillTint="33"/>
            <w:vAlign w:val="center"/>
          </w:tcPr>
          <w:p w14:paraId="3F870A65" w14:textId="77B45D0D" w:rsidR="00C120C8" w:rsidRPr="002B0823" w:rsidRDefault="00C16103" w:rsidP="00C120C8">
            <w:pPr>
              <w:contextualSpacing/>
              <w:rPr>
                <w:b/>
                <w:bCs/>
              </w:rPr>
            </w:pPr>
            <w:r>
              <w:rPr>
                <w:b/>
                <w:bCs/>
              </w:rPr>
              <w:t>Technology/Intervention</w:t>
            </w:r>
          </w:p>
        </w:tc>
        <w:tc>
          <w:tcPr>
            <w:tcW w:w="804" w:type="dxa"/>
            <w:shd w:val="clear" w:color="auto" w:fill="D9E2F3" w:themeFill="accent1" w:themeFillTint="33"/>
            <w:vAlign w:val="center"/>
          </w:tcPr>
          <w:p w14:paraId="3AA69EAE" w14:textId="6CB59042" w:rsidR="00C120C8" w:rsidRPr="002B0823" w:rsidRDefault="00C120C8" w:rsidP="00C120C8">
            <w:pPr>
              <w:contextualSpacing/>
              <w:jc w:val="center"/>
              <w:rPr>
                <w:b/>
                <w:bCs/>
              </w:rPr>
            </w:pPr>
            <w:r w:rsidRPr="002B0823">
              <w:rPr>
                <w:b/>
                <w:bCs/>
              </w:rPr>
              <w:t>EUL</w:t>
            </w:r>
          </w:p>
        </w:tc>
        <w:tc>
          <w:tcPr>
            <w:tcW w:w="4776" w:type="dxa"/>
            <w:shd w:val="clear" w:color="auto" w:fill="D9E2F3" w:themeFill="accent1" w:themeFillTint="33"/>
            <w:vAlign w:val="center"/>
          </w:tcPr>
          <w:p w14:paraId="252258D2" w14:textId="2A057A3F" w:rsidR="00C120C8" w:rsidRPr="002B0823" w:rsidRDefault="00C120C8" w:rsidP="00C120C8">
            <w:pPr>
              <w:contextualSpacing/>
              <w:rPr>
                <w:b/>
                <w:bCs/>
              </w:rPr>
            </w:pPr>
            <w:r w:rsidRPr="002B0823">
              <w:rPr>
                <w:b/>
                <w:bCs/>
              </w:rPr>
              <w:t>Load Shape</w:t>
            </w:r>
            <w:r>
              <w:rPr>
                <w:b/>
                <w:bCs/>
              </w:rPr>
              <w:t xml:space="preserve"> (E3 Measure End Use Shape)</w:t>
            </w:r>
          </w:p>
        </w:tc>
      </w:tr>
      <w:tr w:rsidR="00C120C8" w:rsidRPr="002B0823" w14:paraId="79B883D5" w14:textId="77777777" w:rsidTr="009C7B6D">
        <w:trPr>
          <w:trHeight w:val="246"/>
        </w:trPr>
        <w:tc>
          <w:tcPr>
            <w:tcW w:w="3775" w:type="dxa"/>
            <w:vAlign w:val="center"/>
          </w:tcPr>
          <w:p w14:paraId="37F934AA" w14:textId="23764C66" w:rsidR="00C120C8" w:rsidRPr="002B0823" w:rsidRDefault="00C120C8" w:rsidP="00C120C8">
            <w:pPr>
              <w:contextualSpacing/>
            </w:pPr>
            <w:r w:rsidRPr="009C7B6D">
              <w:rPr>
                <w:color w:val="000000"/>
              </w:rPr>
              <w:t>Boiler</w:t>
            </w:r>
          </w:p>
        </w:tc>
        <w:tc>
          <w:tcPr>
            <w:tcW w:w="804" w:type="dxa"/>
            <w:vAlign w:val="center"/>
          </w:tcPr>
          <w:p w14:paraId="6E662277" w14:textId="651765AF" w:rsidR="00C120C8" w:rsidRPr="002B0823" w:rsidRDefault="00C120C8" w:rsidP="00C120C8">
            <w:pPr>
              <w:contextualSpacing/>
              <w:jc w:val="center"/>
            </w:pPr>
            <w:r w:rsidRPr="009C7B6D">
              <w:rPr>
                <w:color w:val="000000"/>
              </w:rPr>
              <w:t>20</w:t>
            </w:r>
          </w:p>
        </w:tc>
        <w:tc>
          <w:tcPr>
            <w:tcW w:w="4776" w:type="dxa"/>
            <w:vMerge w:val="restart"/>
            <w:vAlign w:val="center"/>
          </w:tcPr>
          <w:p w14:paraId="5F451EB9" w14:textId="19FCFDDC" w:rsidR="00C120C8" w:rsidRPr="002B0823" w:rsidRDefault="00C120C8" w:rsidP="009C7B6D">
            <w:pPr>
              <w:contextualSpacing/>
              <w:jc w:val="center"/>
            </w:pPr>
            <w:r w:rsidRPr="002B0823">
              <w:t>Annual</w:t>
            </w:r>
          </w:p>
        </w:tc>
      </w:tr>
      <w:tr w:rsidR="00C120C8" w:rsidRPr="002B0823" w14:paraId="1728EE6A" w14:textId="77777777" w:rsidTr="009C7B6D">
        <w:trPr>
          <w:trHeight w:val="246"/>
        </w:trPr>
        <w:tc>
          <w:tcPr>
            <w:tcW w:w="3775" w:type="dxa"/>
            <w:vAlign w:val="center"/>
          </w:tcPr>
          <w:p w14:paraId="36A68069" w14:textId="0C5D983C" w:rsidR="00C120C8" w:rsidRPr="002B0823" w:rsidRDefault="00C120C8" w:rsidP="00C120C8">
            <w:pPr>
              <w:contextualSpacing/>
            </w:pPr>
            <w:r w:rsidRPr="009C7B6D">
              <w:rPr>
                <w:color w:val="000000"/>
              </w:rPr>
              <w:t>Tankless Water Heater</w:t>
            </w:r>
          </w:p>
        </w:tc>
        <w:tc>
          <w:tcPr>
            <w:tcW w:w="804" w:type="dxa"/>
            <w:vAlign w:val="center"/>
          </w:tcPr>
          <w:p w14:paraId="2C9903B4" w14:textId="4DA4CD8E" w:rsidR="00C120C8" w:rsidRPr="002B0823" w:rsidRDefault="00C120C8" w:rsidP="00C120C8">
            <w:pPr>
              <w:contextualSpacing/>
              <w:jc w:val="center"/>
            </w:pPr>
            <w:r w:rsidRPr="009C7B6D">
              <w:rPr>
                <w:color w:val="000000"/>
              </w:rPr>
              <w:t>20</w:t>
            </w:r>
          </w:p>
        </w:tc>
        <w:tc>
          <w:tcPr>
            <w:tcW w:w="4776" w:type="dxa"/>
            <w:vMerge/>
            <w:vAlign w:val="center"/>
          </w:tcPr>
          <w:p w14:paraId="052FD5C7" w14:textId="33297277" w:rsidR="00C120C8" w:rsidRPr="002B0823" w:rsidRDefault="00C120C8" w:rsidP="00C120C8">
            <w:pPr>
              <w:contextualSpacing/>
            </w:pPr>
          </w:p>
        </w:tc>
      </w:tr>
      <w:tr w:rsidR="00C120C8" w:rsidRPr="002B0823" w14:paraId="54C7C82B" w14:textId="77777777" w:rsidTr="009C7B6D">
        <w:trPr>
          <w:trHeight w:val="246"/>
        </w:trPr>
        <w:tc>
          <w:tcPr>
            <w:tcW w:w="3775" w:type="dxa"/>
            <w:vAlign w:val="center"/>
          </w:tcPr>
          <w:p w14:paraId="184F180D" w14:textId="7DA5EB98" w:rsidR="00C120C8" w:rsidRPr="002B0823" w:rsidRDefault="00C120C8" w:rsidP="00C120C8">
            <w:pPr>
              <w:contextualSpacing/>
            </w:pPr>
            <w:r w:rsidRPr="009C7B6D">
              <w:rPr>
                <w:color w:val="000000"/>
              </w:rPr>
              <w:t>Appliances - Cooking Equipment</w:t>
            </w:r>
          </w:p>
        </w:tc>
        <w:tc>
          <w:tcPr>
            <w:tcW w:w="804" w:type="dxa"/>
            <w:vAlign w:val="center"/>
          </w:tcPr>
          <w:p w14:paraId="2D5A5F66" w14:textId="466E9867" w:rsidR="00C120C8" w:rsidRPr="002B0823" w:rsidRDefault="00C120C8" w:rsidP="00C120C8">
            <w:pPr>
              <w:contextualSpacing/>
              <w:jc w:val="center"/>
            </w:pPr>
            <w:r w:rsidRPr="009C7B6D">
              <w:rPr>
                <w:color w:val="000000"/>
              </w:rPr>
              <w:t>12</w:t>
            </w:r>
          </w:p>
        </w:tc>
        <w:tc>
          <w:tcPr>
            <w:tcW w:w="4776" w:type="dxa"/>
            <w:vMerge/>
            <w:vAlign w:val="center"/>
          </w:tcPr>
          <w:p w14:paraId="7F0A9A20" w14:textId="50741076" w:rsidR="00C120C8" w:rsidRPr="002B0823" w:rsidRDefault="00C120C8" w:rsidP="00C120C8">
            <w:pPr>
              <w:contextualSpacing/>
            </w:pPr>
          </w:p>
        </w:tc>
      </w:tr>
      <w:tr w:rsidR="00C120C8" w:rsidRPr="002B0823" w14:paraId="4F46FDE6" w14:textId="77777777" w:rsidTr="009C7B6D">
        <w:trPr>
          <w:trHeight w:val="246"/>
        </w:trPr>
        <w:tc>
          <w:tcPr>
            <w:tcW w:w="3775" w:type="dxa"/>
            <w:vAlign w:val="center"/>
          </w:tcPr>
          <w:p w14:paraId="0F56EDEB" w14:textId="614C1017" w:rsidR="00C120C8" w:rsidRPr="002B0823" w:rsidRDefault="00C120C8" w:rsidP="00C120C8">
            <w:pPr>
              <w:contextualSpacing/>
            </w:pPr>
            <w:r w:rsidRPr="009C7B6D">
              <w:rPr>
                <w:color w:val="000000"/>
              </w:rPr>
              <w:t>Appliances - Dishwasher</w:t>
            </w:r>
          </w:p>
        </w:tc>
        <w:tc>
          <w:tcPr>
            <w:tcW w:w="804" w:type="dxa"/>
            <w:vAlign w:val="center"/>
          </w:tcPr>
          <w:p w14:paraId="14F2111D" w14:textId="1BD97CC4" w:rsidR="00C120C8" w:rsidRPr="002B0823" w:rsidRDefault="00C120C8" w:rsidP="00C120C8">
            <w:pPr>
              <w:contextualSpacing/>
              <w:jc w:val="center"/>
            </w:pPr>
            <w:r w:rsidRPr="009C7B6D">
              <w:rPr>
                <w:color w:val="000000"/>
              </w:rPr>
              <w:t>15</w:t>
            </w:r>
          </w:p>
        </w:tc>
        <w:tc>
          <w:tcPr>
            <w:tcW w:w="4776" w:type="dxa"/>
            <w:vMerge/>
            <w:vAlign w:val="center"/>
          </w:tcPr>
          <w:p w14:paraId="2587369D" w14:textId="3596E5A9" w:rsidR="00C120C8" w:rsidRPr="002B0823" w:rsidRDefault="00C120C8" w:rsidP="00C120C8">
            <w:pPr>
              <w:contextualSpacing/>
            </w:pPr>
          </w:p>
        </w:tc>
      </w:tr>
      <w:tr w:rsidR="00C120C8" w:rsidRPr="002B0823" w14:paraId="5FAB93D9" w14:textId="77777777" w:rsidTr="009C7B6D">
        <w:trPr>
          <w:trHeight w:val="246"/>
        </w:trPr>
        <w:tc>
          <w:tcPr>
            <w:tcW w:w="3775" w:type="dxa"/>
            <w:vAlign w:val="center"/>
          </w:tcPr>
          <w:p w14:paraId="71874ABA" w14:textId="3E123585" w:rsidR="00C120C8" w:rsidRPr="002B0823" w:rsidRDefault="00C120C8" w:rsidP="00C120C8">
            <w:pPr>
              <w:contextualSpacing/>
            </w:pPr>
            <w:r w:rsidRPr="009C7B6D">
              <w:rPr>
                <w:color w:val="000000"/>
              </w:rPr>
              <w:t>Building Envelope</w:t>
            </w:r>
          </w:p>
        </w:tc>
        <w:tc>
          <w:tcPr>
            <w:tcW w:w="804" w:type="dxa"/>
            <w:vAlign w:val="center"/>
          </w:tcPr>
          <w:p w14:paraId="6E4AAA2B" w14:textId="01941A69" w:rsidR="00C120C8" w:rsidRPr="002B0823" w:rsidRDefault="00C120C8" w:rsidP="00C120C8">
            <w:pPr>
              <w:contextualSpacing/>
              <w:jc w:val="center"/>
            </w:pPr>
            <w:r w:rsidRPr="009C7B6D">
              <w:rPr>
                <w:color w:val="000000"/>
              </w:rPr>
              <w:t>20</w:t>
            </w:r>
          </w:p>
        </w:tc>
        <w:tc>
          <w:tcPr>
            <w:tcW w:w="4776" w:type="dxa"/>
            <w:vMerge/>
            <w:vAlign w:val="center"/>
          </w:tcPr>
          <w:p w14:paraId="416F2357" w14:textId="03533334" w:rsidR="00C120C8" w:rsidRPr="002B0823" w:rsidRDefault="00C120C8" w:rsidP="00C120C8">
            <w:pPr>
              <w:contextualSpacing/>
            </w:pPr>
          </w:p>
        </w:tc>
      </w:tr>
      <w:tr w:rsidR="00C120C8" w:rsidRPr="002B0823" w14:paraId="36873B4C" w14:textId="77777777" w:rsidTr="009C7B6D">
        <w:trPr>
          <w:trHeight w:val="246"/>
        </w:trPr>
        <w:tc>
          <w:tcPr>
            <w:tcW w:w="3775" w:type="dxa"/>
            <w:vAlign w:val="center"/>
          </w:tcPr>
          <w:p w14:paraId="5453E477" w14:textId="5B9C101F" w:rsidR="00C120C8" w:rsidRPr="002B0823" w:rsidRDefault="00C120C8" w:rsidP="00C120C8">
            <w:pPr>
              <w:contextualSpacing/>
            </w:pPr>
            <w:r w:rsidRPr="009C7B6D">
              <w:rPr>
                <w:color w:val="000000"/>
              </w:rPr>
              <w:t>Food Service - Equipment</w:t>
            </w:r>
          </w:p>
        </w:tc>
        <w:tc>
          <w:tcPr>
            <w:tcW w:w="804" w:type="dxa"/>
            <w:vAlign w:val="center"/>
          </w:tcPr>
          <w:p w14:paraId="31709401" w14:textId="29C5F242" w:rsidR="00C120C8" w:rsidRPr="002B0823" w:rsidRDefault="00C120C8" w:rsidP="00C120C8">
            <w:pPr>
              <w:contextualSpacing/>
              <w:jc w:val="center"/>
            </w:pPr>
            <w:r w:rsidRPr="009C7B6D">
              <w:rPr>
                <w:color w:val="000000"/>
              </w:rPr>
              <w:t>10</w:t>
            </w:r>
          </w:p>
        </w:tc>
        <w:tc>
          <w:tcPr>
            <w:tcW w:w="4776" w:type="dxa"/>
            <w:vMerge/>
            <w:vAlign w:val="center"/>
          </w:tcPr>
          <w:p w14:paraId="46EABDFC" w14:textId="0F518680" w:rsidR="00C120C8" w:rsidRPr="002B0823" w:rsidRDefault="00C120C8" w:rsidP="00C120C8">
            <w:pPr>
              <w:contextualSpacing/>
            </w:pPr>
          </w:p>
        </w:tc>
      </w:tr>
      <w:tr w:rsidR="00C120C8" w:rsidRPr="002B0823" w14:paraId="02FCF7C9" w14:textId="77777777" w:rsidTr="009C7B6D">
        <w:trPr>
          <w:trHeight w:val="246"/>
        </w:trPr>
        <w:tc>
          <w:tcPr>
            <w:tcW w:w="3775" w:type="dxa"/>
            <w:vAlign w:val="center"/>
          </w:tcPr>
          <w:p w14:paraId="7CFAA8C6" w14:textId="0D23692E" w:rsidR="00C120C8" w:rsidRPr="002B0823" w:rsidRDefault="00C120C8" w:rsidP="00C120C8">
            <w:pPr>
              <w:contextualSpacing/>
            </w:pPr>
            <w:r w:rsidRPr="009C7B6D">
              <w:rPr>
                <w:color w:val="000000"/>
              </w:rPr>
              <w:t>Heat Pump Retrofit</w:t>
            </w:r>
          </w:p>
        </w:tc>
        <w:tc>
          <w:tcPr>
            <w:tcW w:w="804" w:type="dxa"/>
            <w:vAlign w:val="center"/>
          </w:tcPr>
          <w:p w14:paraId="3729AFC9" w14:textId="29EB85BA" w:rsidR="00C120C8" w:rsidRPr="002B0823" w:rsidRDefault="00C120C8" w:rsidP="00C120C8">
            <w:pPr>
              <w:contextualSpacing/>
              <w:jc w:val="center"/>
            </w:pPr>
            <w:r w:rsidRPr="009C7B6D">
              <w:rPr>
                <w:color w:val="000000"/>
              </w:rPr>
              <w:t>15</w:t>
            </w:r>
          </w:p>
        </w:tc>
        <w:tc>
          <w:tcPr>
            <w:tcW w:w="4776" w:type="dxa"/>
            <w:vMerge/>
            <w:vAlign w:val="center"/>
          </w:tcPr>
          <w:p w14:paraId="55499599" w14:textId="46175D68" w:rsidR="00C120C8" w:rsidRPr="002B0823" w:rsidRDefault="00C120C8" w:rsidP="00C120C8">
            <w:pPr>
              <w:contextualSpacing/>
            </w:pPr>
          </w:p>
        </w:tc>
      </w:tr>
      <w:tr w:rsidR="00C120C8" w:rsidRPr="002B0823" w14:paraId="081071D1" w14:textId="77777777" w:rsidTr="009C7B6D">
        <w:trPr>
          <w:trHeight w:val="323"/>
        </w:trPr>
        <w:tc>
          <w:tcPr>
            <w:tcW w:w="3775" w:type="dxa"/>
            <w:vAlign w:val="center"/>
          </w:tcPr>
          <w:p w14:paraId="3DBA8E65" w14:textId="2286BD1D" w:rsidR="00C120C8" w:rsidRPr="002B0823" w:rsidRDefault="00C120C8" w:rsidP="00C120C8">
            <w:pPr>
              <w:contextualSpacing/>
            </w:pPr>
            <w:r w:rsidRPr="009C7B6D">
              <w:rPr>
                <w:color w:val="000000"/>
              </w:rPr>
              <w:t>Heat Pump Water Heater</w:t>
            </w:r>
          </w:p>
        </w:tc>
        <w:tc>
          <w:tcPr>
            <w:tcW w:w="804" w:type="dxa"/>
            <w:vAlign w:val="center"/>
          </w:tcPr>
          <w:p w14:paraId="38F59142" w14:textId="4B75F4F1" w:rsidR="00C120C8" w:rsidRPr="002B0823" w:rsidRDefault="00C120C8" w:rsidP="00C120C8">
            <w:pPr>
              <w:contextualSpacing/>
              <w:jc w:val="center"/>
            </w:pPr>
            <w:r w:rsidRPr="009C7B6D">
              <w:rPr>
                <w:color w:val="000000"/>
              </w:rPr>
              <w:t>10</w:t>
            </w:r>
          </w:p>
        </w:tc>
        <w:tc>
          <w:tcPr>
            <w:tcW w:w="4776" w:type="dxa"/>
            <w:vMerge/>
            <w:vAlign w:val="center"/>
          </w:tcPr>
          <w:p w14:paraId="3FD27648" w14:textId="0947D7EC" w:rsidR="00C120C8" w:rsidRPr="002B0823" w:rsidRDefault="00C120C8" w:rsidP="00C120C8">
            <w:pPr>
              <w:contextualSpacing/>
            </w:pPr>
          </w:p>
        </w:tc>
      </w:tr>
      <w:tr w:rsidR="00C120C8" w:rsidRPr="002B0823" w14:paraId="69C9310C" w14:textId="77777777" w:rsidTr="009C7B6D">
        <w:trPr>
          <w:trHeight w:val="246"/>
        </w:trPr>
        <w:tc>
          <w:tcPr>
            <w:tcW w:w="3775" w:type="dxa"/>
            <w:vAlign w:val="center"/>
          </w:tcPr>
          <w:p w14:paraId="79EB013D" w14:textId="2611CC3E" w:rsidR="00C120C8" w:rsidRPr="002B0823" w:rsidRDefault="00C120C8" w:rsidP="00C120C8">
            <w:pPr>
              <w:contextualSpacing/>
            </w:pPr>
            <w:r w:rsidRPr="009C7B6D">
              <w:rPr>
                <w:color w:val="000000"/>
              </w:rPr>
              <w:t>HVAC Retrofit</w:t>
            </w:r>
          </w:p>
        </w:tc>
        <w:tc>
          <w:tcPr>
            <w:tcW w:w="804" w:type="dxa"/>
            <w:vAlign w:val="center"/>
          </w:tcPr>
          <w:p w14:paraId="479B88B5" w14:textId="0742A4DF" w:rsidR="00C120C8" w:rsidRPr="002B0823" w:rsidRDefault="00C120C8" w:rsidP="00C120C8">
            <w:pPr>
              <w:contextualSpacing/>
              <w:jc w:val="center"/>
            </w:pPr>
            <w:r w:rsidRPr="009C7B6D">
              <w:rPr>
                <w:color w:val="000000"/>
              </w:rPr>
              <w:t>15</w:t>
            </w:r>
          </w:p>
        </w:tc>
        <w:tc>
          <w:tcPr>
            <w:tcW w:w="4776" w:type="dxa"/>
            <w:vMerge/>
            <w:vAlign w:val="center"/>
          </w:tcPr>
          <w:p w14:paraId="34D851DC" w14:textId="1E2D443C" w:rsidR="00C120C8" w:rsidRPr="002B0823" w:rsidRDefault="00C120C8" w:rsidP="00C120C8">
            <w:pPr>
              <w:contextualSpacing/>
            </w:pPr>
          </w:p>
        </w:tc>
      </w:tr>
      <w:tr w:rsidR="00C120C8" w:rsidRPr="002B0823" w14:paraId="3AC70C5F" w14:textId="77777777" w:rsidTr="009C7B6D">
        <w:trPr>
          <w:trHeight w:val="246"/>
        </w:trPr>
        <w:tc>
          <w:tcPr>
            <w:tcW w:w="3775" w:type="dxa"/>
            <w:vAlign w:val="center"/>
          </w:tcPr>
          <w:p w14:paraId="666B882D" w14:textId="13D51DAC" w:rsidR="00C120C8" w:rsidRPr="002B0823" w:rsidRDefault="00C120C8" w:rsidP="00C120C8">
            <w:pPr>
              <w:contextualSpacing/>
            </w:pPr>
            <w:r w:rsidRPr="009C7B6D">
              <w:rPr>
                <w:color w:val="000000"/>
              </w:rPr>
              <w:lastRenderedPageBreak/>
              <w:t>Storage Water Heater</w:t>
            </w:r>
          </w:p>
        </w:tc>
        <w:tc>
          <w:tcPr>
            <w:tcW w:w="804" w:type="dxa"/>
            <w:vAlign w:val="center"/>
          </w:tcPr>
          <w:p w14:paraId="465418FD" w14:textId="22BBBC9B" w:rsidR="00C120C8" w:rsidRPr="002B0823" w:rsidRDefault="00C120C8" w:rsidP="00C120C8">
            <w:pPr>
              <w:contextualSpacing/>
              <w:jc w:val="center"/>
            </w:pPr>
            <w:r w:rsidRPr="009C7B6D">
              <w:rPr>
                <w:color w:val="000000"/>
              </w:rPr>
              <w:t>15</w:t>
            </w:r>
          </w:p>
        </w:tc>
        <w:tc>
          <w:tcPr>
            <w:tcW w:w="4776" w:type="dxa"/>
            <w:vMerge/>
            <w:vAlign w:val="center"/>
          </w:tcPr>
          <w:p w14:paraId="234F784E" w14:textId="5404A8A5" w:rsidR="00C120C8" w:rsidRPr="002B0823" w:rsidRDefault="00C120C8" w:rsidP="00C120C8">
            <w:pPr>
              <w:contextualSpacing/>
            </w:pPr>
          </w:p>
        </w:tc>
      </w:tr>
    </w:tbl>
    <w:p w14:paraId="39CBA49E" w14:textId="77777777" w:rsidR="00FA557A" w:rsidRPr="002B0823" w:rsidRDefault="00FA557A" w:rsidP="00FA557A">
      <w:pPr>
        <w:spacing w:after="160" w:line="259" w:lineRule="auto"/>
        <w:rPr>
          <w:b/>
          <w:bCs/>
        </w:rPr>
      </w:pPr>
    </w:p>
    <w:p w14:paraId="0B068CC6" w14:textId="733023A2" w:rsidR="00D92684" w:rsidRPr="002B0823" w:rsidRDefault="00D92684" w:rsidP="009C7B6D">
      <w:pPr>
        <w:pStyle w:val="Caption"/>
        <w:rPr>
          <w:b/>
          <w:bCs/>
        </w:rPr>
      </w:pPr>
      <w:r>
        <w:t xml:space="preserve">Table </w:t>
      </w:r>
      <w:r>
        <w:fldChar w:fldCharType="begin"/>
      </w:r>
      <w:r>
        <w:instrText xml:space="preserve"> SEQ Table \* ARABIC </w:instrText>
      </w:r>
      <w:r>
        <w:fldChar w:fldCharType="separate"/>
      </w:r>
      <w:r>
        <w:rPr>
          <w:noProof/>
        </w:rPr>
        <w:t>11</w:t>
      </w:r>
      <w:r>
        <w:rPr>
          <w:noProof/>
        </w:rPr>
        <w:fldChar w:fldCharType="end"/>
      </w:r>
      <w:r>
        <w:t xml:space="preserve"> </w:t>
      </w:r>
      <w:r w:rsidRPr="00C97C7C">
        <w:t>Electric and Gas BRO Measure EULs</w:t>
      </w:r>
    </w:p>
    <w:tbl>
      <w:tblPr>
        <w:tblStyle w:val="TableGrid"/>
        <w:tblW w:w="9355" w:type="dxa"/>
        <w:tblLook w:val="04A0" w:firstRow="1" w:lastRow="0" w:firstColumn="1" w:lastColumn="0" w:noHBand="0" w:noVBand="1"/>
      </w:tblPr>
      <w:tblGrid>
        <w:gridCol w:w="3775"/>
        <w:gridCol w:w="810"/>
        <w:gridCol w:w="4770"/>
      </w:tblGrid>
      <w:tr w:rsidR="00C120C8" w:rsidRPr="002B0823" w14:paraId="658D6298" w14:textId="77777777" w:rsidTr="009C7B6D">
        <w:trPr>
          <w:trHeight w:val="476"/>
        </w:trPr>
        <w:tc>
          <w:tcPr>
            <w:tcW w:w="3775" w:type="dxa"/>
            <w:shd w:val="clear" w:color="auto" w:fill="D9E2F3" w:themeFill="accent1" w:themeFillTint="33"/>
            <w:vAlign w:val="center"/>
          </w:tcPr>
          <w:p w14:paraId="7E86210F" w14:textId="4E4F04AB" w:rsidR="00C120C8" w:rsidRPr="002B0823" w:rsidRDefault="00C16103" w:rsidP="00C120C8">
            <w:pPr>
              <w:contextualSpacing/>
              <w:rPr>
                <w:b/>
                <w:bCs/>
              </w:rPr>
            </w:pPr>
            <w:r>
              <w:rPr>
                <w:b/>
                <w:bCs/>
              </w:rPr>
              <w:t>Technology/Intervention</w:t>
            </w:r>
          </w:p>
        </w:tc>
        <w:tc>
          <w:tcPr>
            <w:tcW w:w="810" w:type="dxa"/>
            <w:shd w:val="clear" w:color="auto" w:fill="D9E2F3" w:themeFill="accent1" w:themeFillTint="33"/>
            <w:vAlign w:val="center"/>
          </w:tcPr>
          <w:p w14:paraId="7AAF3767" w14:textId="31A6B68B" w:rsidR="00C120C8" w:rsidRPr="002B0823" w:rsidRDefault="00C120C8" w:rsidP="00C120C8">
            <w:pPr>
              <w:contextualSpacing/>
              <w:jc w:val="center"/>
              <w:rPr>
                <w:b/>
                <w:bCs/>
              </w:rPr>
            </w:pPr>
            <w:r w:rsidRPr="002B0823">
              <w:rPr>
                <w:b/>
                <w:bCs/>
              </w:rPr>
              <w:t>EUL</w:t>
            </w:r>
          </w:p>
        </w:tc>
        <w:tc>
          <w:tcPr>
            <w:tcW w:w="4770" w:type="dxa"/>
            <w:shd w:val="clear" w:color="auto" w:fill="D9E2F3" w:themeFill="accent1" w:themeFillTint="33"/>
            <w:vAlign w:val="center"/>
          </w:tcPr>
          <w:p w14:paraId="2EED6D78" w14:textId="23CBEC7E" w:rsidR="00C120C8" w:rsidRPr="002B0823" w:rsidRDefault="00C120C8" w:rsidP="00C120C8">
            <w:pPr>
              <w:contextualSpacing/>
              <w:rPr>
                <w:b/>
                <w:bCs/>
              </w:rPr>
            </w:pPr>
            <w:r w:rsidRPr="002B0823">
              <w:rPr>
                <w:b/>
                <w:bCs/>
              </w:rPr>
              <w:t>Load Shape</w:t>
            </w:r>
            <w:r>
              <w:rPr>
                <w:b/>
                <w:bCs/>
              </w:rPr>
              <w:t xml:space="preserve"> (E3 Measure End Use Shape)</w:t>
            </w:r>
          </w:p>
        </w:tc>
      </w:tr>
      <w:tr w:rsidR="00C120C8" w:rsidRPr="002B0823" w14:paraId="465813F7" w14:textId="77777777" w:rsidTr="009C7B6D">
        <w:trPr>
          <w:trHeight w:val="741"/>
        </w:trPr>
        <w:tc>
          <w:tcPr>
            <w:tcW w:w="3775" w:type="dxa"/>
            <w:vAlign w:val="center"/>
          </w:tcPr>
          <w:p w14:paraId="7C0C3E6D" w14:textId="77777777" w:rsidR="00C120C8" w:rsidRPr="002B0823" w:rsidRDefault="00C120C8" w:rsidP="00C120C8">
            <w:pPr>
              <w:contextualSpacing/>
            </w:pPr>
            <w:r w:rsidRPr="002B0823">
              <w:t>HVAC – Maintenance &amp; Optimization</w:t>
            </w:r>
          </w:p>
        </w:tc>
        <w:tc>
          <w:tcPr>
            <w:tcW w:w="810" w:type="dxa"/>
            <w:vAlign w:val="center"/>
          </w:tcPr>
          <w:p w14:paraId="7CC3DA4C" w14:textId="77777777" w:rsidR="00C120C8" w:rsidRPr="002B0823" w:rsidRDefault="00C120C8" w:rsidP="00C120C8">
            <w:pPr>
              <w:contextualSpacing/>
              <w:jc w:val="center"/>
            </w:pPr>
            <w:r w:rsidRPr="002B0823">
              <w:t>1</w:t>
            </w:r>
          </w:p>
        </w:tc>
        <w:tc>
          <w:tcPr>
            <w:tcW w:w="4770" w:type="dxa"/>
            <w:vAlign w:val="center"/>
          </w:tcPr>
          <w:p w14:paraId="009A9BCF" w14:textId="77777777" w:rsidR="00C120C8" w:rsidRPr="002B0823" w:rsidRDefault="00C120C8" w:rsidP="00C120C8">
            <w:pPr>
              <w:contextualSpacing/>
            </w:pPr>
            <w:r w:rsidRPr="002B0823">
              <w:t xml:space="preserve">DEER: </w:t>
            </w:r>
            <w:proofErr w:type="spellStart"/>
            <w:r w:rsidRPr="002B0823">
              <w:t>NonRes_HVAC_Split_Package_HP</w:t>
            </w:r>
            <w:proofErr w:type="spellEnd"/>
          </w:p>
        </w:tc>
      </w:tr>
      <w:tr w:rsidR="00C120C8" w:rsidRPr="002B0823" w14:paraId="24886FBA" w14:textId="77777777" w:rsidTr="009C7B6D">
        <w:trPr>
          <w:trHeight w:val="506"/>
        </w:trPr>
        <w:tc>
          <w:tcPr>
            <w:tcW w:w="3775" w:type="dxa"/>
            <w:vAlign w:val="center"/>
          </w:tcPr>
          <w:p w14:paraId="3C02B450" w14:textId="77777777" w:rsidR="00C120C8" w:rsidRPr="002B0823" w:rsidRDefault="00C120C8" w:rsidP="00C120C8">
            <w:pPr>
              <w:contextualSpacing/>
            </w:pPr>
            <w:r w:rsidRPr="002B0823">
              <w:t>Refrigeration – Maintenance &amp; Optimization</w:t>
            </w:r>
          </w:p>
        </w:tc>
        <w:tc>
          <w:tcPr>
            <w:tcW w:w="810" w:type="dxa"/>
            <w:vAlign w:val="center"/>
          </w:tcPr>
          <w:p w14:paraId="4ECC2E3D" w14:textId="77777777" w:rsidR="00C120C8" w:rsidRPr="002B0823" w:rsidRDefault="00C120C8" w:rsidP="00C120C8">
            <w:pPr>
              <w:contextualSpacing/>
              <w:jc w:val="center"/>
            </w:pPr>
            <w:r w:rsidRPr="002B0823">
              <w:t>1</w:t>
            </w:r>
          </w:p>
        </w:tc>
        <w:tc>
          <w:tcPr>
            <w:tcW w:w="4770" w:type="dxa"/>
            <w:vAlign w:val="center"/>
          </w:tcPr>
          <w:p w14:paraId="0A16B773" w14:textId="77777777" w:rsidR="00C120C8" w:rsidRPr="002B0823" w:rsidRDefault="00C120C8" w:rsidP="00C120C8">
            <w:pPr>
              <w:contextualSpacing/>
            </w:pPr>
            <w:proofErr w:type="spellStart"/>
            <w:r w:rsidRPr="002B0823">
              <w:t>DEER:NonRes_HVAC_Chillers</w:t>
            </w:r>
            <w:proofErr w:type="spellEnd"/>
          </w:p>
        </w:tc>
      </w:tr>
      <w:tr w:rsidR="00C120C8" w:rsidRPr="002B0823" w14:paraId="3AF09EB4" w14:textId="77777777" w:rsidTr="009C7B6D">
        <w:trPr>
          <w:trHeight w:val="246"/>
        </w:trPr>
        <w:tc>
          <w:tcPr>
            <w:tcW w:w="3775" w:type="dxa"/>
            <w:vAlign w:val="center"/>
          </w:tcPr>
          <w:p w14:paraId="2132E7D9" w14:textId="77777777" w:rsidR="00C120C8" w:rsidRPr="002B0823" w:rsidRDefault="00C120C8" w:rsidP="00C120C8">
            <w:pPr>
              <w:contextualSpacing/>
            </w:pPr>
            <w:r w:rsidRPr="002B0823">
              <w:t>Behavioral Interventions</w:t>
            </w:r>
          </w:p>
        </w:tc>
        <w:tc>
          <w:tcPr>
            <w:tcW w:w="810" w:type="dxa"/>
            <w:vAlign w:val="center"/>
          </w:tcPr>
          <w:p w14:paraId="38F528EE" w14:textId="77777777" w:rsidR="00C120C8" w:rsidRPr="002B0823" w:rsidRDefault="00C120C8" w:rsidP="00C120C8">
            <w:pPr>
              <w:contextualSpacing/>
              <w:jc w:val="center"/>
            </w:pPr>
            <w:r w:rsidRPr="002B0823">
              <w:t>1</w:t>
            </w:r>
          </w:p>
        </w:tc>
        <w:tc>
          <w:tcPr>
            <w:tcW w:w="4770" w:type="dxa"/>
            <w:vAlign w:val="center"/>
          </w:tcPr>
          <w:p w14:paraId="302FF5AC" w14:textId="77777777" w:rsidR="00C120C8" w:rsidRPr="002B0823" w:rsidRDefault="00C120C8" w:rsidP="00C120C8">
            <w:pPr>
              <w:contextualSpacing/>
            </w:pPr>
            <w:r w:rsidRPr="002B0823">
              <w:t xml:space="preserve">DEER: </w:t>
            </w:r>
            <w:proofErr w:type="spellStart"/>
            <w:r w:rsidRPr="002B0823">
              <w:t>NonRes_Indoor_Non_CFL_Ltg</w:t>
            </w:r>
            <w:proofErr w:type="spellEnd"/>
          </w:p>
        </w:tc>
      </w:tr>
      <w:tr w:rsidR="00C120C8" w:rsidRPr="002B0823" w14:paraId="4392F68B" w14:textId="77777777" w:rsidTr="009C7B6D">
        <w:trPr>
          <w:trHeight w:val="246"/>
        </w:trPr>
        <w:tc>
          <w:tcPr>
            <w:tcW w:w="3775" w:type="dxa"/>
            <w:vAlign w:val="center"/>
          </w:tcPr>
          <w:p w14:paraId="3C05235A" w14:textId="77777777" w:rsidR="00C120C8" w:rsidRPr="002B0823" w:rsidRDefault="00C120C8" w:rsidP="00C120C8">
            <w:pPr>
              <w:contextualSpacing/>
            </w:pPr>
            <w:r w:rsidRPr="002B0823">
              <w:t>HVAC – Maintenance &amp; Optimization with Maintenance Plan</w:t>
            </w:r>
          </w:p>
        </w:tc>
        <w:tc>
          <w:tcPr>
            <w:tcW w:w="810" w:type="dxa"/>
            <w:vAlign w:val="center"/>
          </w:tcPr>
          <w:p w14:paraId="2C2A03DF" w14:textId="77777777" w:rsidR="00C120C8" w:rsidRPr="002B0823" w:rsidRDefault="00C120C8" w:rsidP="00C120C8">
            <w:pPr>
              <w:contextualSpacing/>
              <w:jc w:val="center"/>
            </w:pPr>
            <w:r w:rsidRPr="002B0823">
              <w:t>3</w:t>
            </w:r>
          </w:p>
        </w:tc>
        <w:tc>
          <w:tcPr>
            <w:tcW w:w="4770" w:type="dxa"/>
            <w:vAlign w:val="center"/>
          </w:tcPr>
          <w:p w14:paraId="62E3431F" w14:textId="77777777" w:rsidR="00C120C8" w:rsidRPr="002B0823" w:rsidRDefault="00C120C8" w:rsidP="00C120C8">
            <w:pPr>
              <w:contextualSpacing/>
            </w:pPr>
            <w:r w:rsidRPr="002B0823">
              <w:t xml:space="preserve">DEER: </w:t>
            </w:r>
            <w:proofErr w:type="spellStart"/>
            <w:r w:rsidRPr="002B0823">
              <w:t>NonRes_HVAC_Split_Package_HP</w:t>
            </w:r>
            <w:proofErr w:type="spellEnd"/>
          </w:p>
        </w:tc>
      </w:tr>
      <w:tr w:rsidR="00C120C8" w:rsidRPr="002B0823" w14:paraId="55AB9671" w14:textId="77777777" w:rsidTr="009C7B6D">
        <w:trPr>
          <w:trHeight w:val="246"/>
        </w:trPr>
        <w:tc>
          <w:tcPr>
            <w:tcW w:w="3775" w:type="dxa"/>
            <w:vAlign w:val="center"/>
          </w:tcPr>
          <w:p w14:paraId="78091D1E" w14:textId="77777777" w:rsidR="00C120C8" w:rsidRPr="002B0823" w:rsidRDefault="00C120C8" w:rsidP="00C120C8">
            <w:pPr>
              <w:contextualSpacing/>
            </w:pPr>
            <w:r w:rsidRPr="002B0823">
              <w:t>Refrigeration – Maintenance &amp; Optimization with Maintenance Plan</w:t>
            </w:r>
          </w:p>
        </w:tc>
        <w:tc>
          <w:tcPr>
            <w:tcW w:w="810" w:type="dxa"/>
            <w:vAlign w:val="center"/>
          </w:tcPr>
          <w:p w14:paraId="10AEF3F3" w14:textId="77777777" w:rsidR="00C120C8" w:rsidRPr="002B0823" w:rsidRDefault="00C120C8" w:rsidP="00C120C8">
            <w:pPr>
              <w:contextualSpacing/>
              <w:jc w:val="center"/>
            </w:pPr>
            <w:r w:rsidRPr="002B0823">
              <w:t>3</w:t>
            </w:r>
          </w:p>
        </w:tc>
        <w:tc>
          <w:tcPr>
            <w:tcW w:w="4770" w:type="dxa"/>
            <w:vAlign w:val="center"/>
          </w:tcPr>
          <w:p w14:paraId="22D1620F" w14:textId="77777777" w:rsidR="00C120C8" w:rsidRPr="002B0823" w:rsidRDefault="00C120C8" w:rsidP="00C120C8">
            <w:pPr>
              <w:contextualSpacing/>
            </w:pPr>
            <w:proofErr w:type="spellStart"/>
            <w:r w:rsidRPr="002B0823">
              <w:t>DEER:NonRes_HVAC_Chillers</w:t>
            </w:r>
            <w:proofErr w:type="spellEnd"/>
          </w:p>
        </w:tc>
      </w:tr>
      <w:tr w:rsidR="00C120C8" w:rsidRPr="002B0823" w14:paraId="2D008F0D" w14:textId="77777777" w:rsidTr="009C7B6D">
        <w:trPr>
          <w:trHeight w:val="246"/>
        </w:trPr>
        <w:tc>
          <w:tcPr>
            <w:tcW w:w="3775" w:type="dxa"/>
            <w:vAlign w:val="center"/>
          </w:tcPr>
          <w:p w14:paraId="32B74159" w14:textId="77777777" w:rsidR="00C120C8" w:rsidRPr="002B0823" w:rsidRDefault="00C120C8" w:rsidP="00C120C8">
            <w:pPr>
              <w:contextualSpacing/>
            </w:pPr>
            <w:r w:rsidRPr="002B0823">
              <w:t>Behavioral Interventions with Maintenance Plan</w:t>
            </w:r>
          </w:p>
        </w:tc>
        <w:tc>
          <w:tcPr>
            <w:tcW w:w="810" w:type="dxa"/>
            <w:vAlign w:val="center"/>
          </w:tcPr>
          <w:p w14:paraId="3B52B412" w14:textId="77777777" w:rsidR="00C120C8" w:rsidRPr="002B0823" w:rsidRDefault="00C120C8" w:rsidP="00C120C8">
            <w:pPr>
              <w:contextualSpacing/>
              <w:jc w:val="center"/>
            </w:pPr>
            <w:r w:rsidRPr="002B0823">
              <w:t>2</w:t>
            </w:r>
          </w:p>
        </w:tc>
        <w:tc>
          <w:tcPr>
            <w:tcW w:w="4770" w:type="dxa"/>
            <w:vAlign w:val="center"/>
          </w:tcPr>
          <w:p w14:paraId="6ED2EDFA" w14:textId="77777777" w:rsidR="00C120C8" w:rsidRPr="002B0823" w:rsidRDefault="00C120C8" w:rsidP="00C120C8">
            <w:pPr>
              <w:contextualSpacing/>
            </w:pPr>
            <w:r w:rsidRPr="002B0823">
              <w:t xml:space="preserve">DEER: </w:t>
            </w:r>
            <w:proofErr w:type="spellStart"/>
            <w:r w:rsidRPr="002B0823">
              <w:t>NonRes_Indoor_Non_CFL_Ltg</w:t>
            </w:r>
            <w:proofErr w:type="spellEnd"/>
          </w:p>
        </w:tc>
      </w:tr>
    </w:tbl>
    <w:p w14:paraId="097CA9B0" w14:textId="77777777" w:rsidR="00131CA8" w:rsidRPr="00733B79" w:rsidRDefault="00131CA8" w:rsidP="00131CA8"/>
    <w:p w14:paraId="3E371887" w14:textId="77777777" w:rsidR="00131CA8" w:rsidRPr="00733B79" w:rsidRDefault="00131CA8" w:rsidP="00612C27"/>
    <w:p w14:paraId="62B4CD68" w14:textId="77777777" w:rsidR="00612C27" w:rsidRPr="009C7B6D" w:rsidRDefault="00612C27" w:rsidP="009C7B6D">
      <w:pPr>
        <w:pStyle w:val="Heading2"/>
      </w:pPr>
      <w:bookmarkStart w:id="221" w:name="_Toc162606066"/>
      <w:bookmarkStart w:id="222" w:name="_Toc173831638"/>
      <w:r w:rsidRPr="009C7B6D">
        <w:t>Add-On Measure EUL</w:t>
      </w:r>
      <w:bookmarkEnd w:id="221"/>
      <w:bookmarkEnd w:id="222"/>
    </w:p>
    <w:p w14:paraId="4D38EADE" w14:textId="4F6DFDF1" w:rsidR="00612C27" w:rsidRPr="00733B79" w:rsidRDefault="00612C27" w:rsidP="00612C27">
      <w:r w:rsidRPr="00733B79">
        <w:t>The Aggregators shall use the guidance provided in Resolutions E-4818 and E-5152 when determining the EUL of add-on equipment measures. Add-on equipment not installed directly on the host equipment, and thus described as ‘permanent’, will have EULs that are independent of the remaining useful life of the underlying host equipment. Add-on equipment measures installed directly on the existing equipment will have an EUL that is “equal to the lower of the RUL of the modified parent system or equipment or the EUL of the add-on component.”</w:t>
      </w:r>
      <w:r w:rsidRPr="00733B79">
        <w:rPr>
          <w:vertAlign w:val="superscript"/>
        </w:rPr>
        <w:footnoteReference w:id="36"/>
      </w:r>
      <w:r w:rsidRPr="00733B79">
        <w:t xml:space="preserve"> In such cases, the </w:t>
      </w:r>
      <w:r w:rsidR="00CD5966">
        <w:t>AESC Team</w:t>
      </w:r>
      <w:r w:rsidR="00CD5966" w:rsidRPr="00733B79">
        <w:t xml:space="preserve"> </w:t>
      </w:r>
      <w:r w:rsidRPr="00733B79">
        <w:t>will apply the ⅓ rule for the EUL of the parent system as described in the EE policy manual.</w:t>
      </w:r>
      <w:r w:rsidRPr="00733B79">
        <w:rPr>
          <w:vertAlign w:val="superscript"/>
        </w:rPr>
        <w:footnoteReference w:id="37"/>
      </w:r>
      <w:r w:rsidRPr="00733B79">
        <w:t xml:space="preserve"> The program will require Aggregators to attest if their measure is an add-on installed directly on an existing system and will work to provide consistent messaging on which measures are likely to be considered permanent or temporary add-ons. </w:t>
      </w:r>
    </w:p>
    <w:p w14:paraId="1B97298E" w14:textId="77777777" w:rsidR="00612C27" w:rsidRPr="00733B79" w:rsidRDefault="00612C27" w:rsidP="00612C27"/>
    <w:p w14:paraId="1121FD70" w14:textId="49B3F25F" w:rsidR="00612C27" w:rsidRPr="00733B79" w:rsidRDefault="00612C27" w:rsidP="00612C27">
      <w:r w:rsidRPr="00733B79">
        <w:t>Supporting documentation will be required to document any add-on equipment measure that will be installed permanently (not installed attached to the underlying equipment) and that will not be replaced if the underlying equipment is replaced. The installation of the add-on equipment will be verified at the post-installation phase. If the verified installation does not align with the proposed installation (permanent or temporary) then the savings calculations will be re-evaluated with the correct measure/EUL to determine the estimated incentive.</w:t>
      </w:r>
    </w:p>
    <w:p w14:paraId="600464C9" w14:textId="77777777" w:rsidR="00612C27" w:rsidRPr="00733B79" w:rsidRDefault="00612C27" w:rsidP="00612C27"/>
    <w:p w14:paraId="239B6E94" w14:textId="4158D526" w:rsidR="00612C27" w:rsidRPr="00733B79" w:rsidRDefault="00612C27" w:rsidP="00612C27">
      <w:r w:rsidRPr="00733B79">
        <w:t xml:space="preserve">Eligible add-on measures for this program (including but not limited to Table 9 of E-4952) are listed in Table </w:t>
      </w:r>
      <w:r w:rsidR="00C80A5E">
        <w:t>12</w:t>
      </w:r>
      <w:r w:rsidRPr="00733B79">
        <w:t xml:space="preserve">. </w:t>
      </w:r>
      <w:r w:rsidRPr="00733B79">
        <w:br w:type="page"/>
      </w:r>
    </w:p>
    <w:p w14:paraId="550F1B5D" w14:textId="0E2C14CF" w:rsidR="00C80A5E" w:rsidRPr="009C7B6D" w:rsidDel="00C120C8" w:rsidRDefault="00C80A5E" w:rsidP="009C7B6D">
      <w:pPr>
        <w:pStyle w:val="Caption"/>
        <w:rPr>
          <w:sz w:val="20"/>
          <w:szCs w:val="20"/>
        </w:rPr>
      </w:pPr>
      <w:r w:rsidRPr="009C7B6D">
        <w:rPr>
          <w:sz w:val="20"/>
          <w:szCs w:val="20"/>
        </w:rPr>
        <w:lastRenderedPageBreak/>
        <w:t xml:space="preserve">Table </w:t>
      </w:r>
      <w:r w:rsidRPr="009C7B6D">
        <w:rPr>
          <w:sz w:val="20"/>
          <w:szCs w:val="20"/>
        </w:rPr>
        <w:fldChar w:fldCharType="begin"/>
      </w:r>
      <w:r w:rsidRPr="009C7B6D">
        <w:rPr>
          <w:sz w:val="20"/>
          <w:szCs w:val="20"/>
        </w:rPr>
        <w:instrText xml:space="preserve"> SEQ Table \* ARABIC </w:instrText>
      </w:r>
      <w:r w:rsidRPr="009C7B6D">
        <w:rPr>
          <w:sz w:val="20"/>
          <w:szCs w:val="20"/>
        </w:rPr>
        <w:fldChar w:fldCharType="separate"/>
      </w:r>
      <w:r w:rsidRPr="009C7B6D">
        <w:rPr>
          <w:noProof/>
          <w:sz w:val="20"/>
          <w:szCs w:val="20"/>
        </w:rPr>
        <w:t>12</w:t>
      </w:r>
      <w:r w:rsidRPr="009C7B6D">
        <w:rPr>
          <w:sz w:val="20"/>
          <w:szCs w:val="20"/>
        </w:rPr>
        <w:fldChar w:fldCharType="end"/>
      </w:r>
      <w:r w:rsidRPr="009C7B6D">
        <w:rPr>
          <w:sz w:val="20"/>
          <w:szCs w:val="20"/>
        </w:rPr>
        <w:t xml:space="preserve"> List of Add-On Measure EULs</w:t>
      </w:r>
    </w:p>
    <w:tbl>
      <w:tblPr>
        <w:tblW w:w="9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2"/>
        <w:gridCol w:w="630"/>
        <w:gridCol w:w="540"/>
        <w:gridCol w:w="4410"/>
      </w:tblGrid>
      <w:tr w:rsidR="00C16103" w:rsidRPr="00733B79" w14:paraId="5491B6FF" w14:textId="77777777" w:rsidTr="009C7B6D">
        <w:tc>
          <w:tcPr>
            <w:tcW w:w="3862" w:type="dxa"/>
            <w:tcBorders>
              <w:top w:val="single" w:sz="6" w:space="0" w:color="2A2A2A"/>
              <w:left w:val="single" w:sz="6" w:space="0" w:color="2A2A2A"/>
              <w:bottom w:val="single" w:sz="6" w:space="0" w:color="2A2A2A"/>
              <w:right w:val="single" w:sz="6" w:space="0" w:color="2A2A2A"/>
            </w:tcBorders>
            <w:shd w:val="clear" w:color="auto" w:fill="D9E2F3" w:themeFill="accent1" w:themeFillTint="33"/>
            <w:tcMar>
              <w:top w:w="40" w:type="dxa"/>
              <w:left w:w="40" w:type="dxa"/>
              <w:bottom w:w="40" w:type="dxa"/>
              <w:right w:w="40" w:type="dxa"/>
            </w:tcMar>
            <w:vAlign w:val="center"/>
          </w:tcPr>
          <w:p w14:paraId="6E6C7467" w14:textId="71FD1AC1" w:rsidR="00C16103" w:rsidRPr="00C16103" w:rsidRDefault="00C16103">
            <w:pPr>
              <w:rPr>
                <w:b/>
                <w:bCs/>
              </w:rPr>
            </w:pPr>
            <w:r w:rsidRPr="00C16103" w:rsidDel="00C120C8">
              <w:rPr>
                <w:b/>
                <w:bCs/>
              </w:rPr>
              <w:t>Technology</w:t>
            </w:r>
            <w:r w:rsidR="00C80A5E" w:rsidRPr="00C16103">
              <w:rPr>
                <w:b/>
                <w:bCs/>
              </w:rPr>
              <w:t>/</w:t>
            </w:r>
            <w:r w:rsidRPr="00C16103" w:rsidDel="00C120C8">
              <w:rPr>
                <w:b/>
                <w:bCs/>
              </w:rPr>
              <w:t>Intervention</w:t>
            </w:r>
            <w:r w:rsidR="00C80A5E" w:rsidRPr="00C16103" w:rsidDel="00C120C8">
              <w:rPr>
                <w:b/>
                <w:bCs/>
              </w:rPr>
              <w:t xml:space="preserve"> </w:t>
            </w:r>
          </w:p>
        </w:tc>
        <w:tc>
          <w:tcPr>
            <w:tcW w:w="630" w:type="dxa"/>
            <w:tcBorders>
              <w:top w:val="single" w:sz="6" w:space="0" w:color="2A2A2A"/>
              <w:left w:val="single" w:sz="6" w:space="0" w:color="CCCCCC"/>
              <w:bottom w:val="single" w:sz="6" w:space="0" w:color="2A2A2A"/>
              <w:right w:val="single" w:sz="6" w:space="0" w:color="2A2A2A"/>
            </w:tcBorders>
            <w:shd w:val="clear" w:color="auto" w:fill="D9E2F3" w:themeFill="accent1" w:themeFillTint="33"/>
            <w:tcMar>
              <w:top w:w="40" w:type="dxa"/>
              <w:left w:w="40" w:type="dxa"/>
              <w:bottom w:w="40" w:type="dxa"/>
              <w:right w:w="40" w:type="dxa"/>
            </w:tcMar>
            <w:vAlign w:val="center"/>
          </w:tcPr>
          <w:p w14:paraId="7E452680" w14:textId="56DD7E8B" w:rsidR="00C16103" w:rsidRPr="00C16103" w:rsidRDefault="00C16103">
            <w:pPr>
              <w:jc w:val="center"/>
              <w:rPr>
                <w:b/>
                <w:bCs/>
              </w:rPr>
            </w:pPr>
            <w:r w:rsidRPr="00C16103">
              <w:rPr>
                <w:b/>
                <w:bCs/>
              </w:rPr>
              <w:t>EUL</w:t>
            </w:r>
          </w:p>
        </w:tc>
        <w:tc>
          <w:tcPr>
            <w:tcW w:w="540" w:type="dxa"/>
            <w:tcBorders>
              <w:top w:val="single" w:sz="6" w:space="0" w:color="2A2A2A"/>
              <w:left w:val="single" w:sz="6" w:space="0" w:color="CCCCCC"/>
              <w:bottom w:val="single" w:sz="6" w:space="0" w:color="2A2A2A"/>
              <w:right w:val="single" w:sz="6" w:space="0" w:color="2A2A2A"/>
            </w:tcBorders>
            <w:shd w:val="clear" w:color="auto" w:fill="D9E2F3" w:themeFill="accent1" w:themeFillTint="33"/>
            <w:tcMar>
              <w:top w:w="40" w:type="dxa"/>
              <w:left w:w="40" w:type="dxa"/>
              <w:bottom w:w="40" w:type="dxa"/>
              <w:right w:w="40" w:type="dxa"/>
            </w:tcMar>
            <w:vAlign w:val="center"/>
          </w:tcPr>
          <w:p w14:paraId="3DE30851" w14:textId="3645495A" w:rsidR="00C16103" w:rsidRPr="00C16103" w:rsidRDefault="00C16103">
            <w:pPr>
              <w:jc w:val="center"/>
              <w:rPr>
                <w:b/>
                <w:bCs/>
              </w:rPr>
            </w:pPr>
            <w:r w:rsidRPr="00C16103">
              <w:rPr>
                <w:b/>
                <w:bCs/>
              </w:rPr>
              <w:t>RUL</w:t>
            </w:r>
          </w:p>
        </w:tc>
        <w:tc>
          <w:tcPr>
            <w:tcW w:w="4410" w:type="dxa"/>
            <w:tcBorders>
              <w:top w:val="single" w:sz="6" w:space="0" w:color="2A2A2A"/>
              <w:left w:val="single" w:sz="6" w:space="0" w:color="CCCCCC"/>
              <w:bottom w:val="single" w:sz="6" w:space="0" w:color="2A2A2A"/>
              <w:right w:val="single" w:sz="6" w:space="0" w:color="2A2A2A"/>
            </w:tcBorders>
            <w:shd w:val="clear" w:color="auto" w:fill="D9E2F3" w:themeFill="accent1" w:themeFillTint="33"/>
            <w:tcMar>
              <w:top w:w="40" w:type="dxa"/>
              <w:left w:w="40" w:type="dxa"/>
              <w:bottom w:w="40" w:type="dxa"/>
              <w:right w:w="40" w:type="dxa"/>
            </w:tcMar>
            <w:vAlign w:val="center"/>
          </w:tcPr>
          <w:p w14:paraId="2227A2A0" w14:textId="77777777" w:rsidR="00C16103" w:rsidRPr="00C16103" w:rsidDel="00735316" w:rsidRDefault="00C16103" w:rsidP="00735316">
            <w:pPr>
              <w:rPr>
                <w:b/>
                <w:bCs/>
              </w:rPr>
            </w:pPr>
            <w:r w:rsidRPr="00C16103">
              <w:rPr>
                <w:b/>
                <w:bCs/>
              </w:rPr>
              <w:t>Load Shape (E3 Measure End Use Shape)</w:t>
            </w:r>
          </w:p>
          <w:p w14:paraId="49C2E32B" w14:textId="108529AE" w:rsidR="00C16103" w:rsidRPr="00C16103" w:rsidRDefault="00C16103" w:rsidP="00735316">
            <w:pPr>
              <w:rPr>
                <w:b/>
                <w:bCs/>
              </w:rPr>
            </w:pPr>
          </w:p>
        </w:tc>
      </w:tr>
      <w:tr w:rsidR="00E20A07" w:rsidRPr="00733B79" w14:paraId="7CE44582"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B1E8E9D" w14:textId="594D6892" w:rsidR="00C16103" w:rsidRPr="00C16103" w:rsidRDefault="00C16103" w:rsidP="006338C0">
            <w:pPr>
              <w:rPr>
                <w:b/>
                <w:bCs/>
              </w:rPr>
            </w:pPr>
            <w:r w:rsidRPr="009C7B6D">
              <w:rPr>
                <w:color w:val="000000"/>
              </w:rPr>
              <w:t>Pipe Insulation</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FB4196B" w14:textId="79FC8326" w:rsidR="00C16103" w:rsidRPr="00C16103" w:rsidRDefault="00C16103" w:rsidP="006338C0">
            <w:pPr>
              <w:jc w:val="center"/>
              <w:rPr>
                <w:b/>
                <w:bCs/>
              </w:rPr>
            </w:pPr>
            <w:r w:rsidRPr="009C7B6D">
              <w:rPr>
                <w:color w:val="000000"/>
              </w:rPr>
              <w:t>11</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B4013CF" w14:textId="67404050"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444C272" w14:textId="26F0327A" w:rsidR="00C16103" w:rsidRPr="00C16103" w:rsidDel="00735316" w:rsidRDefault="00C16103" w:rsidP="006338C0">
            <w:pPr>
              <w:rPr>
                <w:b/>
                <w:bCs/>
              </w:rPr>
            </w:pPr>
            <w:proofErr w:type="spellStart"/>
            <w:r w:rsidRPr="009C7B6D">
              <w:rPr>
                <w:color w:val="000000"/>
              </w:rPr>
              <w:t>DEER:NonRes_Indoor_CFL_Ltg</w:t>
            </w:r>
            <w:proofErr w:type="spellEnd"/>
          </w:p>
        </w:tc>
      </w:tr>
      <w:tr w:rsidR="00E20A07" w:rsidRPr="00733B79" w14:paraId="2B6DDC6C"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69A43F9" w14:textId="67CD3DFF" w:rsidR="00C16103" w:rsidRPr="00C16103" w:rsidRDefault="00C16103" w:rsidP="006338C0">
            <w:pPr>
              <w:rPr>
                <w:b/>
                <w:bCs/>
              </w:rPr>
            </w:pPr>
            <w:r w:rsidRPr="009C7B6D">
              <w:rPr>
                <w:color w:val="000000"/>
              </w:rPr>
              <w:t>Duct Insulation</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1143065" w14:textId="1CDA70BB" w:rsidR="00C16103" w:rsidRPr="00C16103" w:rsidRDefault="00C16103" w:rsidP="006338C0">
            <w:pPr>
              <w:jc w:val="center"/>
              <w:rPr>
                <w:b/>
                <w:bCs/>
              </w:rPr>
            </w:pPr>
            <w:r w:rsidRPr="009C7B6D">
              <w:rPr>
                <w:color w:val="000000"/>
              </w:rPr>
              <w:t>20</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E918CE6" w14:textId="03238A15"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10D73736" w14:textId="0574FA6F"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205435EA"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0FD7811" w14:textId="73B82DA5" w:rsidR="00C16103" w:rsidRPr="00C16103" w:rsidRDefault="00C16103" w:rsidP="006338C0">
            <w:pPr>
              <w:rPr>
                <w:b/>
                <w:bCs/>
              </w:rPr>
            </w:pPr>
            <w:r w:rsidRPr="009C7B6D">
              <w:rPr>
                <w:color w:val="000000"/>
              </w:rPr>
              <w:t>Floor Insulation</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EB17416" w14:textId="76A785A9" w:rsidR="00C16103" w:rsidRPr="00C16103" w:rsidRDefault="00C16103" w:rsidP="006338C0">
            <w:pPr>
              <w:jc w:val="center"/>
              <w:rPr>
                <w:b/>
                <w:bCs/>
              </w:rPr>
            </w:pPr>
            <w:r w:rsidRPr="009C7B6D">
              <w:rPr>
                <w:color w:val="000000"/>
              </w:rPr>
              <w:t>20</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8BF2E8F" w14:textId="13BF959D" w:rsidR="00C16103" w:rsidRPr="00C16103" w:rsidRDefault="00C16103" w:rsidP="006338C0">
            <w:pPr>
              <w:jc w:val="center"/>
              <w:rPr>
                <w:b/>
                <w:bCs/>
              </w:rPr>
            </w:pPr>
            <w:r w:rsidRPr="009C7B6D">
              <w:rPr>
                <w:color w:val="000000"/>
              </w:rPr>
              <w:t>10</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969F120" w14:textId="37DB6D32"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6065E347"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4DF72B2" w14:textId="77F8E3BD" w:rsidR="00C16103" w:rsidRPr="00C16103" w:rsidRDefault="00C16103" w:rsidP="006338C0">
            <w:pPr>
              <w:rPr>
                <w:b/>
                <w:bCs/>
              </w:rPr>
            </w:pPr>
            <w:r w:rsidRPr="009C7B6D">
              <w:rPr>
                <w:color w:val="000000"/>
              </w:rPr>
              <w:t>Roof/Ceiling Insulation</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BE999D8" w14:textId="68474D16" w:rsidR="00C16103" w:rsidRPr="00C16103" w:rsidRDefault="00C16103" w:rsidP="006338C0">
            <w:pPr>
              <w:jc w:val="center"/>
              <w:rPr>
                <w:b/>
                <w:bCs/>
              </w:rPr>
            </w:pPr>
            <w:r w:rsidRPr="009C7B6D">
              <w:rPr>
                <w:color w:val="000000"/>
              </w:rPr>
              <w:t>20</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BBFB302" w14:textId="1265249B" w:rsidR="00C16103" w:rsidRPr="00C16103" w:rsidRDefault="00C16103" w:rsidP="006338C0">
            <w:pPr>
              <w:jc w:val="center"/>
              <w:rPr>
                <w:b/>
                <w:bCs/>
              </w:rPr>
            </w:pPr>
            <w:r w:rsidRPr="009C7B6D">
              <w:rPr>
                <w:color w:val="000000"/>
              </w:rPr>
              <w:t>10</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4432EC4" w14:textId="4D39F918"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0F731A9F"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1A6FFC6D" w14:textId="4415DCB1" w:rsidR="00C16103" w:rsidRPr="00C16103" w:rsidRDefault="00C16103" w:rsidP="006338C0">
            <w:pPr>
              <w:rPr>
                <w:b/>
                <w:bCs/>
              </w:rPr>
            </w:pPr>
            <w:r w:rsidRPr="009C7B6D">
              <w:rPr>
                <w:color w:val="000000"/>
              </w:rPr>
              <w:t>Water Heater Tank Wrap</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8B996C1" w14:textId="0FCAF502" w:rsidR="00C16103" w:rsidRPr="00C16103" w:rsidRDefault="00C16103" w:rsidP="006338C0">
            <w:pPr>
              <w:jc w:val="center"/>
              <w:rPr>
                <w:b/>
                <w:bCs/>
              </w:rPr>
            </w:pPr>
            <w:r w:rsidRPr="009C7B6D">
              <w:rPr>
                <w:color w:val="000000"/>
              </w:rPr>
              <w:t>7</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2D93830" w14:textId="78260BFD"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24D6D9E" w14:textId="66A6E6F0" w:rsidR="00C16103" w:rsidRPr="00C16103" w:rsidDel="00735316" w:rsidRDefault="00C16103" w:rsidP="006338C0">
            <w:pPr>
              <w:rPr>
                <w:b/>
                <w:bCs/>
              </w:rPr>
            </w:pPr>
            <w:proofErr w:type="spellStart"/>
            <w:r w:rsidRPr="009C7B6D">
              <w:rPr>
                <w:color w:val="000000"/>
              </w:rPr>
              <w:t>DEER:NonRes_Indoor_CFL_Ltg</w:t>
            </w:r>
            <w:proofErr w:type="spellEnd"/>
          </w:p>
        </w:tc>
      </w:tr>
      <w:tr w:rsidR="00E20A07" w:rsidRPr="00733B79" w14:paraId="7F7F00A0"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D778FAF" w14:textId="2BF6731C" w:rsidR="00C16103" w:rsidRPr="00C16103" w:rsidRDefault="00C16103" w:rsidP="006338C0">
            <w:pPr>
              <w:rPr>
                <w:b/>
                <w:bCs/>
              </w:rPr>
            </w:pPr>
            <w:r w:rsidRPr="009C7B6D">
              <w:rPr>
                <w:color w:val="000000"/>
              </w:rPr>
              <w:t>Compressor Heat Recovery</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E02FD22" w14:textId="395D2F12" w:rsidR="00C16103" w:rsidRPr="00C16103" w:rsidRDefault="00C16103" w:rsidP="006338C0">
            <w:pPr>
              <w:jc w:val="center"/>
              <w:rPr>
                <w:b/>
                <w:bCs/>
              </w:rPr>
            </w:pPr>
            <w:r w:rsidRPr="009C7B6D">
              <w:rPr>
                <w:color w:val="000000"/>
              </w:rPr>
              <w:t>14</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3B5F9D6" w14:textId="46E38514"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73E6395" w14:textId="21752B4E"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7A298B0C"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B6F3FB6" w14:textId="270B1D6A" w:rsidR="00C16103" w:rsidRPr="00C16103" w:rsidRDefault="00C16103" w:rsidP="006338C0">
            <w:pPr>
              <w:rPr>
                <w:b/>
                <w:bCs/>
              </w:rPr>
            </w:pPr>
            <w:r w:rsidRPr="009C7B6D">
              <w:rPr>
                <w:color w:val="000000"/>
              </w:rPr>
              <w:t>VFD/VSD Measures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5663A4A" w14:textId="3362295F"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DD6E340" w14:textId="57DA01A5"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17D8FB33" w14:textId="617DF281"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28C7E93D"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1E4FF29" w14:textId="37CD175B" w:rsidR="00C16103" w:rsidRPr="00C16103" w:rsidRDefault="00C16103" w:rsidP="006338C0">
            <w:pPr>
              <w:rPr>
                <w:b/>
                <w:bCs/>
              </w:rPr>
            </w:pPr>
            <w:r w:rsidRPr="009C7B6D">
              <w:rPr>
                <w:color w:val="000000"/>
              </w:rPr>
              <w:t>Add Economizer</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1E38EAF" w14:textId="4272642C" w:rsidR="00C16103" w:rsidRPr="00C16103" w:rsidRDefault="00C16103" w:rsidP="006338C0">
            <w:pPr>
              <w:jc w:val="center"/>
              <w:rPr>
                <w:b/>
                <w:bCs/>
              </w:rPr>
            </w:pPr>
            <w:r w:rsidRPr="009C7B6D">
              <w:rPr>
                <w:color w:val="000000"/>
              </w:rPr>
              <w:t>10</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1E5A119" w14:textId="3979B377"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162078A" w14:textId="0CE6C103"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46BE1CEB"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8E4E7BA" w14:textId="0B874F55" w:rsidR="00C16103" w:rsidRPr="00C16103" w:rsidRDefault="00C16103" w:rsidP="006338C0">
            <w:pPr>
              <w:rPr>
                <w:b/>
                <w:bCs/>
              </w:rPr>
            </w:pPr>
            <w:r w:rsidRPr="009C7B6D">
              <w:rPr>
                <w:color w:val="000000"/>
              </w:rPr>
              <w:t>Evaporative Pre-Cooler System</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81ADC63" w14:textId="1F48978F"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98587BA" w14:textId="3EEB0544"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2B4A22A" w14:textId="5935E402"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2A0FEC7A"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429098F" w14:textId="0379068F" w:rsidR="00C16103" w:rsidRPr="00C16103" w:rsidRDefault="00C16103" w:rsidP="006338C0">
            <w:pPr>
              <w:rPr>
                <w:b/>
                <w:bCs/>
              </w:rPr>
            </w:pPr>
            <w:r w:rsidRPr="009C7B6D">
              <w:rPr>
                <w:color w:val="000000"/>
              </w:rPr>
              <w:t>Building Envelope - Cool Roof</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ABCE5CB" w14:textId="13FF843B"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BC873F6" w14:textId="4C8088E0" w:rsidR="00C16103" w:rsidRPr="00C16103" w:rsidRDefault="00C16103" w:rsidP="006338C0">
            <w:pPr>
              <w:jc w:val="center"/>
              <w:rPr>
                <w:b/>
                <w:bCs/>
              </w:rPr>
            </w:pPr>
            <w:r w:rsidRPr="009C7B6D">
              <w:rPr>
                <w:color w:val="000000"/>
              </w:rPr>
              <w:t>6</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4158EB0" w14:textId="7A0FD11D" w:rsidR="00C16103" w:rsidRPr="00C16103" w:rsidDel="00735316" w:rsidRDefault="00C16103" w:rsidP="006338C0">
            <w:pPr>
              <w:rPr>
                <w:b/>
                <w:bCs/>
              </w:rPr>
            </w:pPr>
            <w:proofErr w:type="spellStart"/>
            <w:r w:rsidRPr="009C7B6D">
              <w:rPr>
                <w:color w:val="000000"/>
              </w:rPr>
              <w:t>DEER:NonRes_HVAC_Chillers</w:t>
            </w:r>
            <w:proofErr w:type="spellEnd"/>
          </w:p>
        </w:tc>
      </w:tr>
      <w:tr w:rsidR="00E20A07" w:rsidRPr="00733B79" w14:paraId="18BF497E"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44B6D5D" w14:textId="4BD63A46" w:rsidR="00C16103" w:rsidRPr="00C16103" w:rsidRDefault="00C16103" w:rsidP="006338C0">
            <w:pPr>
              <w:rPr>
                <w:b/>
                <w:bCs/>
              </w:rPr>
            </w:pPr>
            <w:r w:rsidRPr="009C7B6D">
              <w:rPr>
                <w:color w:val="000000"/>
              </w:rPr>
              <w:t>Building Envelope - Window Film</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4B428C2" w14:textId="63814DBD" w:rsidR="00C16103" w:rsidRPr="00C16103" w:rsidRDefault="00C16103" w:rsidP="006338C0">
            <w:pPr>
              <w:jc w:val="center"/>
              <w:rPr>
                <w:b/>
                <w:bCs/>
              </w:rPr>
            </w:pPr>
            <w:r w:rsidRPr="009C7B6D">
              <w:rPr>
                <w:color w:val="000000"/>
              </w:rPr>
              <w:t>10</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E8C58E3" w14:textId="72902532" w:rsidR="00C16103" w:rsidRPr="00C16103" w:rsidRDefault="00C16103" w:rsidP="006338C0">
            <w:pPr>
              <w:jc w:val="center"/>
              <w:rPr>
                <w:b/>
                <w:bCs/>
              </w:rPr>
            </w:pPr>
            <w:r w:rsidRPr="009C7B6D">
              <w:rPr>
                <w:color w:val="000000"/>
              </w:rPr>
              <w:t>6</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93B086E" w14:textId="1EEFF1B1" w:rsidR="00C16103" w:rsidRPr="00C16103" w:rsidDel="00735316" w:rsidRDefault="00C16103" w:rsidP="006338C0">
            <w:pPr>
              <w:rPr>
                <w:b/>
                <w:bCs/>
              </w:rPr>
            </w:pPr>
            <w:proofErr w:type="spellStart"/>
            <w:r w:rsidRPr="009C7B6D">
              <w:rPr>
                <w:color w:val="000000"/>
              </w:rPr>
              <w:t>DEER:NonRes_HVAC_Chillers</w:t>
            </w:r>
            <w:proofErr w:type="spellEnd"/>
          </w:p>
        </w:tc>
      </w:tr>
      <w:tr w:rsidR="00E20A07" w:rsidRPr="00733B79" w14:paraId="77542EFC"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A2915C9" w14:textId="7617D6F5" w:rsidR="00C16103" w:rsidRPr="00C16103" w:rsidRDefault="00C16103" w:rsidP="006338C0">
            <w:pPr>
              <w:rPr>
                <w:b/>
                <w:bCs/>
              </w:rPr>
            </w:pPr>
            <w:r w:rsidRPr="009C7B6D">
              <w:rPr>
                <w:color w:val="000000"/>
              </w:rPr>
              <w:t xml:space="preserve">Evaporative </w:t>
            </w:r>
            <w:proofErr w:type="spellStart"/>
            <w:r w:rsidRPr="009C7B6D">
              <w:rPr>
                <w:color w:val="000000"/>
              </w:rPr>
              <w:t>PreCooler</w:t>
            </w:r>
            <w:proofErr w:type="spellEnd"/>
            <w:r w:rsidRPr="009C7B6D">
              <w:rPr>
                <w:color w:val="000000"/>
              </w:rPr>
              <w:t xml:space="preserve"> System</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165C0794" w14:textId="5922E2A7"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39B6725" w14:textId="2A5E0107"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BD0E0FD" w14:textId="735A33A5"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5D3C0943"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B664686" w14:textId="667C336E" w:rsidR="00C16103" w:rsidRPr="00C16103" w:rsidRDefault="00C16103" w:rsidP="006338C0">
            <w:pPr>
              <w:rPr>
                <w:b/>
                <w:bCs/>
              </w:rPr>
            </w:pPr>
            <w:r w:rsidRPr="009C7B6D">
              <w:rPr>
                <w:color w:val="000000"/>
              </w:rPr>
              <w:t>HVAC - New Controls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9210394" w14:textId="08C151F0"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2934532" w14:textId="7B711437"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6D24F60" w14:textId="3C216C61" w:rsidR="00C16103" w:rsidRPr="00C16103" w:rsidDel="00735316" w:rsidRDefault="00C16103" w:rsidP="006338C0">
            <w:pPr>
              <w:rPr>
                <w:b/>
                <w:bCs/>
              </w:rPr>
            </w:pPr>
            <w:proofErr w:type="spellStart"/>
            <w:r w:rsidRPr="009C7B6D">
              <w:rPr>
                <w:color w:val="000000"/>
              </w:rPr>
              <w:t>DEER:NonRes_HVAC_Split_Package_AC</w:t>
            </w:r>
            <w:proofErr w:type="spellEnd"/>
          </w:p>
        </w:tc>
      </w:tr>
      <w:tr w:rsidR="00E20A07" w:rsidRPr="00733B79" w14:paraId="6CDA40D4"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0214236" w14:textId="5F9CB25B" w:rsidR="00C16103" w:rsidRPr="00C16103" w:rsidRDefault="00C16103" w:rsidP="006338C0">
            <w:pPr>
              <w:rPr>
                <w:b/>
                <w:bCs/>
              </w:rPr>
            </w:pPr>
            <w:r w:rsidRPr="009C7B6D">
              <w:rPr>
                <w:color w:val="000000"/>
              </w:rPr>
              <w:t xml:space="preserve">Lighting </w:t>
            </w:r>
            <w:r w:rsidR="00B47A33">
              <w:rPr>
                <w:color w:val="000000"/>
              </w:rPr>
              <w:t>–</w:t>
            </w:r>
            <w:r w:rsidRPr="009C7B6D">
              <w:rPr>
                <w:color w:val="000000"/>
              </w:rPr>
              <w:t xml:space="preserve"> Controls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D6BDD55" w14:textId="71875383" w:rsidR="00C16103" w:rsidRPr="00C16103" w:rsidRDefault="00C16103" w:rsidP="006338C0">
            <w:pPr>
              <w:jc w:val="center"/>
              <w:rPr>
                <w:b/>
                <w:bCs/>
              </w:rPr>
            </w:pPr>
            <w:r w:rsidRPr="009C7B6D">
              <w:rPr>
                <w:color w:val="000000"/>
              </w:rPr>
              <w:t>12</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E16D05B" w14:textId="6F9BAFC3" w:rsidR="00C16103" w:rsidRPr="00C16103" w:rsidRDefault="00C16103" w:rsidP="006338C0">
            <w:pPr>
              <w:jc w:val="center"/>
              <w:rPr>
                <w:b/>
                <w:bCs/>
              </w:rPr>
            </w:pPr>
            <w:r w:rsidRPr="009C7B6D">
              <w:rPr>
                <w:color w:val="000000"/>
              </w:rPr>
              <w:t>4</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C442207" w14:textId="42B2D0B0" w:rsidR="00C16103" w:rsidRPr="00C16103" w:rsidDel="00735316" w:rsidRDefault="00C16103" w:rsidP="006338C0">
            <w:pPr>
              <w:rPr>
                <w:b/>
                <w:bCs/>
              </w:rPr>
            </w:pPr>
            <w:proofErr w:type="spellStart"/>
            <w:r w:rsidRPr="009C7B6D">
              <w:rPr>
                <w:color w:val="000000"/>
              </w:rPr>
              <w:t>DEER:NonRes_Indoor_Non_CFL_Ltg</w:t>
            </w:r>
            <w:proofErr w:type="spellEnd"/>
          </w:p>
        </w:tc>
      </w:tr>
      <w:tr w:rsidR="00E20A07" w:rsidRPr="00733B79" w14:paraId="449BEEDE"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1C8CAD5" w14:textId="60FCCBB9" w:rsidR="00C16103" w:rsidRPr="00C16103" w:rsidRDefault="00C16103" w:rsidP="006338C0">
            <w:pPr>
              <w:rPr>
                <w:b/>
                <w:bCs/>
              </w:rPr>
            </w:pPr>
            <w:r w:rsidRPr="009C7B6D">
              <w:rPr>
                <w:color w:val="000000"/>
              </w:rPr>
              <w:t>Plug Load - Controls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6E41D99" w14:textId="3EE6A647" w:rsidR="00C16103" w:rsidRPr="00C16103" w:rsidRDefault="00C16103" w:rsidP="006338C0">
            <w:pPr>
              <w:jc w:val="center"/>
              <w:rPr>
                <w:b/>
                <w:bCs/>
              </w:rPr>
            </w:pPr>
            <w:r w:rsidRPr="009C7B6D">
              <w:rPr>
                <w:color w:val="000000"/>
              </w:rPr>
              <w:t>12</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8504601" w14:textId="3185C9C3" w:rsidR="00C16103" w:rsidRPr="00C16103" w:rsidRDefault="00C16103" w:rsidP="006338C0">
            <w:pPr>
              <w:jc w:val="center"/>
              <w:rPr>
                <w:b/>
                <w:bCs/>
              </w:rPr>
            </w:pPr>
            <w:r w:rsidRPr="009C7B6D">
              <w:rPr>
                <w:color w:val="000000"/>
              </w:rPr>
              <w:t>4</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A9A82E1" w14:textId="7499FAC1" w:rsidR="00C16103" w:rsidRPr="00C16103" w:rsidDel="00735316" w:rsidRDefault="00C16103" w:rsidP="006338C0">
            <w:pPr>
              <w:rPr>
                <w:b/>
                <w:bCs/>
              </w:rPr>
            </w:pPr>
            <w:proofErr w:type="spellStart"/>
            <w:r w:rsidRPr="009C7B6D">
              <w:rPr>
                <w:color w:val="000000"/>
              </w:rPr>
              <w:t>DEER:NonRes_Indoor_Non_CFL_Ltg</w:t>
            </w:r>
            <w:proofErr w:type="spellEnd"/>
          </w:p>
        </w:tc>
      </w:tr>
      <w:tr w:rsidR="00E20A07" w:rsidRPr="00733B79" w14:paraId="58C35C5E"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632CDDC" w14:textId="5235B1CD" w:rsidR="00C16103" w:rsidRPr="00C16103" w:rsidRDefault="00C16103" w:rsidP="006338C0">
            <w:pPr>
              <w:rPr>
                <w:b/>
                <w:bCs/>
              </w:rPr>
            </w:pPr>
            <w:r w:rsidRPr="009C7B6D">
              <w:rPr>
                <w:color w:val="000000"/>
              </w:rPr>
              <w:t>Process - VFD/VSD</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9F7C5A0" w14:textId="3308B3BB"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1656078" w14:textId="6FE3E978"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6932B129" w14:textId="158086F3" w:rsidR="00C16103" w:rsidRPr="00C16103" w:rsidDel="00735316" w:rsidRDefault="00C16103" w:rsidP="006338C0">
            <w:pPr>
              <w:rPr>
                <w:b/>
                <w:bCs/>
              </w:rPr>
            </w:pPr>
            <w:proofErr w:type="spellStart"/>
            <w:r w:rsidRPr="009C7B6D">
              <w:rPr>
                <w:color w:val="000000"/>
              </w:rPr>
              <w:t>DEER:NonRes_Indoor_Non_CFL_Ltg</w:t>
            </w:r>
            <w:proofErr w:type="spellEnd"/>
          </w:p>
        </w:tc>
      </w:tr>
      <w:tr w:rsidR="00E20A07" w:rsidRPr="00733B79" w14:paraId="6779E348"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0E8159E9" w14:textId="7EC5D08C" w:rsidR="00C16103" w:rsidRPr="00C16103" w:rsidRDefault="00C16103" w:rsidP="006338C0">
            <w:pPr>
              <w:rPr>
                <w:b/>
                <w:bCs/>
              </w:rPr>
            </w:pPr>
            <w:r w:rsidRPr="009C7B6D">
              <w:rPr>
                <w:color w:val="000000"/>
              </w:rPr>
              <w:t>Process Cooling - Controls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860238D" w14:textId="42287D90"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B40B4E8" w14:textId="2665CB17"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7C691C91" w14:textId="2A2CF9AA" w:rsidR="00C16103" w:rsidRPr="00C16103" w:rsidDel="00735316" w:rsidRDefault="00C16103" w:rsidP="006338C0">
            <w:pPr>
              <w:rPr>
                <w:b/>
                <w:bCs/>
              </w:rPr>
            </w:pPr>
            <w:proofErr w:type="spellStart"/>
            <w:r w:rsidRPr="009C7B6D">
              <w:rPr>
                <w:color w:val="000000"/>
              </w:rPr>
              <w:t>DEER:NonRes_Indoor_Non_CFL_Ltg</w:t>
            </w:r>
            <w:proofErr w:type="spellEnd"/>
          </w:p>
        </w:tc>
      </w:tr>
      <w:tr w:rsidR="00E20A07" w:rsidRPr="00733B79" w14:paraId="46E48DF5"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78B3A05" w14:textId="1A72AD1A" w:rsidR="00C16103" w:rsidRPr="00C16103" w:rsidRDefault="00C16103" w:rsidP="006338C0">
            <w:pPr>
              <w:rPr>
                <w:b/>
                <w:bCs/>
              </w:rPr>
            </w:pPr>
            <w:r w:rsidRPr="009C7B6D">
              <w:rPr>
                <w:color w:val="000000"/>
              </w:rPr>
              <w:t>Refrigeration - Controls</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302BA45" w14:textId="68423421"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5AB0B1D2" w14:textId="4ED6B42C"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47A2AD70" w14:textId="1DCAE230" w:rsidR="00C16103" w:rsidRPr="00C16103" w:rsidDel="00735316" w:rsidRDefault="00C16103" w:rsidP="006338C0">
            <w:pPr>
              <w:rPr>
                <w:b/>
                <w:bCs/>
              </w:rPr>
            </w:pPr>
            <w:proofErr w:type="spellStart"/>
            <w:r w:rsidRPr="009C7B6D">
              <w:rPr>
                <w:color w:val="000000"/>
              </w:rPr>
              <w:t>DEER:NonRes_HVAC_Chillers</w:t>
            </w:r>
            <w:proofErr w:type="spellEnd"/>
          </w:p>
        </w:tc>
      </w:tr>
      <w:tr w:rsidR="00E20A07" w:rsidRPr="00733B79" w14:paraId="6CA97384" w14:textId="77777777" w:rsidTr="00C16103">
        <w:tc>
          <w:tcPr>
            <w:tcW w:w="3862" w:type="dxa"/>
            <w:tcBorders>
              <w:top w:val="single" w:sz="6" w:space="0" w:color="2A2A2A"/>
              <w:left w:val="single" w:sz="6" w:space="0" w:color="2A2A2A"/>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A6DCE38" w14:textId="0B541BFD" w:rsidR="00C16103" w:rsidRPr="00C16103" w:rsidRDefault="00C16103" w:rsidP="006338C0">
            <w:pPr>
              <w:rPr>
                <w:b/>
                <w:bCs/>
              </w:rPr>
            </w:pPr>
            <w:r w:rsidRPr="009C7B6D">
              <w:rPr>
                <w:color w:val="000000"/>
              </w:rPr>
              <w:t>Refrigeration - Insulation</w:t>
            </w:r>
          </w:p>
        </w:tc>
        <w:tc>
          <w:tcPr>
            <w:tcW w:w="63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27B75583" w14:textId="2348F22E" w:rsidR="00C16103" w:rsidRPr="00C16103" w:rsidRDefault="00C16103" w:rsidP="006338C0">
            <w:pPr>
              <w:jc w:val="center"/>
              <w:rPr>
                <w:b/>
                <w:bCs/>
              </w:rPr>
            </w:pPr>
            <w:r w:rsidRPr="009C7B6D">
              <w:rPr>
                <w:color w:val="000000"/>
              </w:rPr>
              <w:t>15</w:t>
            </w:r>
          </w:p>
        </w:tc>
        <w:tc>
          <w:tcPr>
            <w:tcW w:w="54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F585563" w14:textId="407F94D8" w:rsidR="00C16103" w:rsidRPr="00C16103" w:rsidRDefault="00C16103" w:rsidP="006338C0">
            <w:pPr>
              <w:jc w:val="center"/>
              <w:rPr>
                <w:b/>
                <w:bCs/>
              </w:rPr>
            </w:pPr>
            <w:r w:rsidRPr="009C7B6D">
              <w:rPr>
                <w:color w:val="000000"/>
              </w:rPr>
              <w:t>5</w:t>
            </w:r>
          </w:p>
        </w:tc>
        <w:tc>
          <w:tcPr>
            <w:tcW w:w="4410" w:type="dxa"/>
            <w:tcBorders>
              <w:top w:val="single" w:sz="6" w:space="0" w:color="2A2A2A"/>
              <w:left w:val="single" w:sz="6" w:space="0" w:color="CCCCCC"/>
              <w:bottom w:val="single" w:sz="6" w:space="0" w:color="2A2A2A"/>
              <w:right w:val="single" w:sz="6" w:space="0" w:color="2A2A2A"/>
            </w:tcBorders>
            <w:shd w:val="clear" w:color="auto" w:fill="FFFFFF" w:themeFill="background1"/>
            <w:tcMar>
              <w:top w:w="40" w:type="dxa"/>
              <w:left w:w="40" w:type="dxa"/>
              <w:bottom w:w="40" w:type="dxa"/>
              <w:right w:w="40" w:type="dxa"/>
            </w:tcMar>
            <w:vAlign w:val="center"/>
          </w:tcPr>
          <w:p w14:paraId="3AD085CA" w14:textId="797DFCE7" w:rsidR="00C16103" w:rsidRPr="00C16103" w:rsidDel="00735316" w:rsidRDefault="00C16103" w:rsidP="006338C0">
            <w:pPr>
              <w:rPr>
                <w:b/>
                <w:bCs/>
              </w:rPr>
            </w:pPr>
            <w:proofErr w:type="spellStart"/>
            <w:r w:rsidRPr="009C7B6D">
              <w:rPr>
                <w:color w:val="000000"/>
              </w:rPr>
              <w:t>DEER:NonRes_HVAC_Chillers</w:t>
            </w:r>
            <w:proofErr w:type="spellEnd"/>
          </w:p>
        </w:tc>
      </w:tr>
    </w:tbl>
    <w:p w14:paraId="4A03A9D2" w14:textId="77777777" w:rsidR="00612C27" w:rsidRPr="00733B79" w:rsidRDefault="00612C27" w:rsidP="00612C27">
      <w:bookmarkStart w:id="223" w:name="_49x2ik5"/>
      <w:bookmarkStart w:id="224" w:name="_2p2csry"/>
      <w:bookmarkStart w:id="225" w:name="_147n2zr"/>
      <w:bookmarkEnd w:id="223"/>
      <w:bookmarkEnd w:id="224"/>
      <w:bookmarkEnd w:id="225"/>
    </w:p>
    <w:p w14:paraId="0996C42B" w14:textId="77777777" w:rsidR="00612C27" w:rsidRPr="00733B79" w:rsidRDefault="00612C27" w:rsidP="009C7B6D">
      <w:pPr>
        <w:pStyle w:val="Heading2"/>
      </w:pPr>
      <w:bookmarkStart w:id="226" w:name="_3o7alnk"/>
      <w:bookmarkStart w:id="227" w:name="_Toc162606068"/>
      <w:bookmarkStart w:id="228" w:name="_Toc173831639"/>
      <w:bookmarkEnd w:id="226"/>
      <w:r w:rsidRPr="00733B79">
        <w:t>Risk Mitigation</w:t>
      </w:r>
      <w:bookmarkEnd w:id="227"/>
      <w:bookmarkEnd w:id="228"/>
    </w:p>
    <w:p w14:paraId="77F06828" w14:textId="77777777" w:rsidR="00612C27" w:rsidRPr="00733B79" w:rsidRDefault="00612C27" w:rsidP="00612C27"/>
    <w:p w14:paraId="78FD9682" w14:textId="0D626914" w:rsidR="0048028B" w:rsidRDefault="0048028B" w:rsidP="0048028B">
      <w:pPr>
        <w:spacing w:after="200"/>
        <w:jc w:val="both"/>
      </w:pPr>
      <w:r>
        <w:t>The program is very low risk as the actual energy savings are measured based on NMEC methods and incentive payments are based on measure</w:t>
      </w:r>
      <w:r w:rsidR="0041499B">
        <w:t>d</w:t>
      </w:r>
      <w:r>
        <w:t xml:space="preserve"> savings. Program spending is limited by the TSB achieved as calculated</w:t>
      </w:r>
      <w:r w:rsidR="00575DAE">
        <w:t xml:space="preserve"> </w:t>
      </w:r>
      <w:r w:rsidR="002857FB">
        <w:t xml:space="preserve">by the </w:t>
      </w:r>
      <w:r w:rsidR="00C75CBB">
        <w:t>CET</w:t>
      </w:r>
      <w:r>
        <w:t xml:space="preserve">. </w:t>
      </w:r>
      <w:r w:rsidR="002857FB">
        <w:t xml:space="preserve">All </w:t>
      </w:r>
      <w:r>
        <w:t>of</w:t>
      </w:r>
      <w:r w:rsidR="002857FB">
        <w:t xml:space="preserve"> the</w:t>
      </w:r>
      <w:r>
        <w:t xml:space="preserve"> incentive to the Aggregator is based on the annual net savings achieved at the meter.</w:t>
      </w:r>
    </w:p>
    <w:p w14:paraId="586EDD9F" w14:textId="77777777" w:rsidR="00612C27" w:rsidRPr="00733B79" w:rsidRDefault="00612C27" w:rsidP="00612C27"/>
    <w:p w14:paraId="303909DC" w14:textId="77777777" w:rsidR="00612C27" w:rsidRPr="00733B79" w:rsidRDefault="00612C27" w:rsidP="00B62D70">
      <w:pPr>
        <w:pStyle w:val="Heading2"/>
      </w:pPr>
      <w:bookmarkStart w:id="229" w:name="_23ckvvd"/>
      <w:bookmarkStart w:id="230" w:name="_Toc162606069"/>
      <w:bookmarkStart w:id="231" w:name="_Toc173831640"/>
      <w:bookmarkEnd w:id="229"/>
      <w:r w:rsidRPr="00733B79">
        <w:t>To Code Savings Compliance</w:t>
      </w:r>
      <w:bookmarkEnd w:id="230"/>
      <w:bookmarkEnd w:id="231"/>
    </w:p>
    <w:p w14:paraId="173C0262" w14:textId="77777777" w:rsidR="00612C27" w:rsidRPr="00733B79" w:rsidRDefault="00612C27" w:rsidP="00612C27"/>
    <w:p w14:paraId="3BB00CA7" w14:textId="77777777" w:rsidR="00DF00D1" w:rsidRPr="00733B79" w:rsidRDefault="00DF00D1" w:rsidP="00DF00D1">
      <w:r w:rsidRPr="00733B79">
        <w:t>The M&amp;V Plan described herein will quantify the savings achieved compared to an existing conditions baseline as authorized in AB802, SB350, and detailed in the methods sections of this M&amp;V plan.</w:t>
      </w:r>
    </w:p>
    <w:p w14:paraId="304FD8F8" w14:textId="77777777" w:rsidR="00DF00D1" w:rsidRDefault="00DF00D1" w:rsidP="00612C27"/>
    <w:p w14:paraId="74342BAF" w14:textId="14154807" w:rsidR="00612C27" w:rsidRPr="00733B79" w:rsidRDefault="00612C27" w:rsidP="00612C27">
      <w:r w:rsidRPr="00733B79">
        <w:t>Compliance with OP 2 of D.</w:t>
      </w:r>
      <w:r w:rsidR="007D5E7D">
        <w:t>17</w:t>
      </w:r>
      <w:r w:rsidRPr="00733B79">
        <w:t xml:space="preserve">-11-006 is met </w:t>
      </w:r>
      <w:r w:rsidR="00583E0C">
        <w:t>in this section</w:t>
      </w:r>
      <w:r w:rsidR="00C7137E">
        <w:t xml:space="preserve"> by responding to the </w:t>
      </w:r>
      <w:r w:rsidR="00073E91">
        <w:t xml:space="preserve">ordering questions below. </w:t>
      </w:r>
    </w:p>
    <w:p w14:paraId="107CE0B9" w14:textId="77777777" w:rsidR="00612C27" w:rsidRPr="00733B79" w:rsidRDefault="00612C27" w:rsidP="00612C27"/>
    <w:p w14:paraId="257DDD2B" w14:textId="0F78DDFB" w:rsidR="00BD6908" w:rsidRDefault="00BD6908" w:rsidP="00612C27"/>
    <w:p w14:paraId="46EF9759" w14:textId="2AE8AAD2" w:rsidR="007713EF" w:rsidRPr="00A53EC1" w:rsidRDefault="003258B2" w:rsidP="007713EF">
      <w:r w:rsidRPr="009C7B6D">
        <w:rPr>
          <w:b/>
          <w:bCs/>
          <w:lang w:val="en"/>
        </w:rPr>
        <w:lastRenderedPageBreak/>
        <w:t>Question</w:t>
      </w:r>
      <w:r w:rsidR="007713EF" w:rsidRPr="009C7B6D">
        <w:rPr>
          <w:b/>
          <w:bCs/>
          <w:lang w:val="en"/>
        </w:rPr>
        <w:t>:</w:t>
      </w:r>
      <w:r w:rsidR="007713EF" w:rsidRPr="00A53EC1">
        <w:rPr>
          <w:lang w:val="en"/>
        </w:rPr>
        <w:t xml:space="preserve"> Where does the to-code savings potential reside? </w:t>
      </w:r>
      <w:r w:rsidR="007713EF" w:rsidRPr="00A53EC1">
        <w:t> </w:t>
      </w:r>
    </w:p>
    <w:p w14:paraId="708E1B5A" w14:textId="1E379897" w:rsidR="007713EF" w:rsidRPr="00A53EC1" w:rsidRDefault="007713EF" w:rsidP="007713EF">
      <w:r w:rsidRPr="009C7B6D">
        <w:rPr>
          <w:b/>
          <w:bCs/>
          <w:lang w:val="en"/>
        </w:rPr>
        <w:t>A</w:t>
      </w:r>
      <w:r w:rsidR="003258B2" w:rsidRPr="009C7B6D">
        <w:rPr>
          <w:b/>
          <w:bCs/>
          <w:lang w:val="en"/>
        </w:rPr>
        <w:t>nswer</w:t>
      </w:r>
      <w:r w:rsidRPr="009C7B6D">
        <w:rPr>
          <w:b/>
          <w:bCs/>
          <w:lang w:val="en"/>
        </w:rPr>
        <w:t>:</w:t>
      </w:r>
      <w:r w:rsidRPr="00A53EC1">
        <w:rPr>
          <w:lang w:val="en"/>
        </w:rPr>
        <w:t xml:space="preserve"> Since the </w:t>
      </w:r>
      <w:r w:rsidR="002952F3" w:rsidRPr="00A53EC1">
        <w:rPr>
          <w:lang w:val="en"/>
        </w:rPr>
        <w:t>MSSR</w:t>
      </w:r>
      <w:r w:rsidRPr="00A53EC1">
        <w:rPr>
          <w:lang w:val="en"/>
        </w:rPr>
        <w:t xml:space="preserve"> measures and claims savings at the meter, capturing to-code savings may be part of any given </w:t>
      </w:r>
      <w:r w:rsidR="00583E0C" w:rsidRPr="00A53EC1">
        <w:rPr>
          <w:lang w:val="en"/>
        </w:rPr>
        <w:t>MSSR</w:t>
      </w:r>
      <w:r w:rsidRPr="00A53EC1">
        <w:rPr>
          <w:lang w:val="en"/>
        </w:rPr>
        <w:t xml:space="preserve"> project. </w:t>
      </w:r>
      <w:r w:rsidR="00583E0C" w:rsidRPr="00A53EC1">
        <w:rPr>
          <w:lang w:val="en"/>
        </w:rPr>
        <w:t>MSSR</w:t>
      </w:r>
      <w:r w:rsidRPr="00A53EC1">
        <w:rPr>
          <w:lang w:val="en"/>
        </w:rPr>
        <w:t xml:space="preserve"> is not specifically targeting to-code measures,</w:t>
      </w:r>
      <w:r w:rsidR="00B446F3" w:rsidRPr="00A53EC1">
        <w:rPr>
          <w:lang w:val="en"/>
        </w:rPr>
        <w:t xml:space="preserve"> but</w:t>
      </w:r>
      <w:r w:rsidRPr="00A53EC1">
        <w:rPr>
          <w:lang w:val="en"/>
        </w:rPr>
        <w:t xml:space="preserve"> </w:t>
      </w:r>
      <w:r w:rsidR="00583E0C" w:rsidRPr="00A53EC1">
        <w:rPr>
          <w:lang w:val="en"/>
        </w:rPr>
        <w:t>MSSR</w:t>
      </w:r>
      <w:r w:rsidRPr="00A53EC1">
        <w:rPr>
          <w:lang w:val="en"/>
        </w:rPr>
        <w:t xml:space="preserve"> does allow for and incent projects that bring equipment/buildings up to code and does expect to realize to-code savings. Typically, these savings will be bundled with above-code savings.</w:t>
      </w:r>
      <w:r w:rsidRPr="00A53EC1">
        <w:t> </w:t>
      </w:r>
    </w:p>
    <w:p w14:paraId="5EFB310C" w14:textId="77777777" w:rsidR="002952F3" w:rsidRPr="00A53EC1" w:rsidRDefault="002952F3" w:rsidP="007713EF">
      <w:pPr>
        <w:rPr>
          <w:lang w:val="en"/>
        </w:rPr>
      </w:pPr>
    </w:p>
    <w:p w14:paraId="16BC4CBA" w14:textId="56FAB087" w:rsidR="007713EF" w:rsidRPr="00A53EC1" w:rsidRDefault="003258B2" w:rsidP="007713EF">
      <w:r w:rsidRPr="009C7B6D">
        <w:rPr>
          <w:b/>
          <w:bCs/>
          <w:lang w:val="en"/>
        </w:rPr>
        <w:t>Question:</w:t>
      </w:r>
      <w:r w:rsidRPr="009C7B6D">
        <w:rPr>
          <w:lang w:val="en"/>
        </w:rPr>
        <w:t xml:space="preserve"> </w:t>
      </w:r>
      <w:r w:rsidR="007713EF" w:rsidRPr="00A53EC1">
        <w:rPr>
          <w:lang w:val="en"/>
        </w:rPr>
        <w:t>What equipment types, building types, geographical locations, and/or customer segments promise cost-effective to-code savings? </w:t>
      </w:r>
      <w:r w:rsidR="007713EF" w:rsidRPr="00A53EC1">
        <w:t> </w:t>
      </w:r>
    </w:p>
    <w:p w14:paraId="50D826F4" w14:textId="6A530255" w:rsidR="007713EF" w:rsidRPr="00A53EC1" w:rsidRDefault="003258B2" w:rsidP="007713EF">
      <w:r w:rsidRPr="00A53EC1">
        <w:rPr>
          <w:b/>
          <w:bCs/>
          <w:lang w:val="en"/>
        </w:rPr>
        <w:t>Answer:</w:t>
      </w:r>
      <w:r w:rsidRPr="00A53EC1">
        <w:rPr>
          <w:lang w:val="en"/>
        </w:rPr>
        <w:t xml:space="preserve"> </w:t>
      </w:r>
      <w:r w:rsidR="00B44AE6" w:rsidRPr="00A53EC1">
        <w:rPr>
          <w:lang w:val="en"/>
        </w:rPr>
        <w:t>Though MSSR has pro</w:t>
      </w:r>
      <w:r w:rsidR="00A53EC1" w:rsidRPr="00A53EC1">
        <w:rPr>
          <w:lang w:val="en"/>
        </w:rPr>
        <w:t xml:space="preserve">posed targets for the full program, </w:t>
      </w:r>
      <w:r w:rsidR="00583E0C" w:rsidRPr="00A53EC1">
        <w:rPr>
          <w:lang w:val="en"/>
        </w:rPr>
        <w:t>MSSR</w:t>
      </w:r>
      <w:r w:rsidR="007713EF" w:rsidRPr="00A53EC1">
        <w:rPr>
          <w:lang w:val="en"/>
        </w:rPr>
        <w:t xml:space="preserve"> is not targeting a specific technology or PG&amp;E territory location in the commercial customer segment for to-code savings. However, since population</w:t>
      </w:r>
      <w:r w:rsidR="00AF6FA6" w:rsidRPr="00A53EC1">
        <w:rPr>
          <w:lang w:val="en"/>
        </w:rPr>
        <w:t>-level</w:t>
      </w:r>
      <w:r w:rsidR="007713EF" w:rsidRPr="00A53EC1">
        <w:rPr>
          <w:lang w:val="en"/>
        </w:rPr>
        <w:t xml:space="preserve"> NMEC and the related performance-based payments approach does not discriminate between measures or to-/above-code all to-code savings are realized for any project.</w:t>
      </w:r>
      <w:r w:rsidR="007713EF" w:rsidRPr="00A53EC1">
        <w:t> </w:t>
      </w:r>
    </w:p>
    <w:p w14:paraId="0F5B3F00" w14:textId="77777777" w:rsidR="007713EF" w:rsidRPr="00A53EC1" w:rsidRDefault="007713EF" w:rsidP="007713EF">
      <w:r w:rsidRPr="00A53EC1">
        <w:t> </w:t>
      </w:r>
    </w:p>
    <w:p w14:paraId="3A8CAD1B" w14:textId="0D8D682D" w:rsidR="007713EF" w:rsidRPr="00A53EC1" w:rsidRDefault="003258B2" w:rsidP="007713EF">
      <w:r w:rsidRPr="009C7B6D">
        <w:rPr>
          <w:b/>
          <w:bCs/>
          <w:lang w:val="en"/>
        </w:rPr>
        <w:t>Question:</w:t>
      </w:r>
      <w:r w:rsidRPr="009C7B6D">
        <w:rPr>
          <w:lang w:val="en"/>
        </w:rPr>
        <w:t xml:space="preserve"> </w:t>
      </w:r>
      <w:r w:rsidR="007713EF" w:rsidRPr="00A53EC1">
        <w:rPr>
          <w:lang w:val="en"/>
        </w:rPr>
        <w:t>What kinds of barriers are preventing code-compliant equipment replacements?</w:t>
      </w:r>
      <w:r w:rsidR="007713EF" w:rsidRPr="00A53EC1">
        <w:t> </w:t>
      </w:r>
    </w:p>
    <w:p w14:paraId="41D9B0F0" w14:textId="6588FA0D" w:rsidR="007713EF" w:rsidRPr="00A53EC1" w:rsidRDefault="003258B2" w:rsidP="007713EF">
      <w:r w:rsidRPr="00A53EC1">
        <w:rPr>
          <w:b/>
          <w:bCs/>
          <w:lang w:val="en"/>
        </w:rPr>
        <w:t>Answer:</w:t>
      </w:r>
      <w:r w:rsidRPr="00A53EC1">
        <w:rPr>
          <w:lang w:val="en"/>
        </w:rPr>
        <w:t xml:space="preserve"> </w:t>
      </w:r>
      <w:r w:rsidR="007713EF" w:rsidRPr="00A53EC1">
        <w:rPr>
          <w:lang w:val="en"/>
        </w:rPr>
        <w:t>High capital equipment costs present financial barriers that delay equipment upgrades. Thus, equipment is often not brought up to code. Customers without program intervention and financial incentives will continue to operate equipment to the effective useful life of the equipment, and in some cases, beyond.</w:t>
      </w:r>
      <w:r w:rsidR="007713EF" w:rsidRPr="00A53EC1">
        <w:t> </w:t>
      </w:r>
    </w:p>
    <w:p w14:paraId="5765AFA4" w14:textId="77777777" w:rsidR="007713EF" w:rsidRPr="00A53EC1" w:rsidRDefault="007713EF" w:rsidP="007713EF">
      <w:r w:rsidRPr="00A53EC1">
        <w:t> </w:t>
      </w:r>
    </w:p>
    <w:p w14:paraId="73101937" w14:textId="04E22C0A" w:rsidR="007713EF" w:rsidRPr="00A53EC1" w:rsidRDefault="003258B2" w:rsidP="007713EF">
      <w:r w:rsidRPr="009C7B6D">
        <w:rPr>
          <w:b/>
          <w:bCs/>
          <w:lang w:val="en"/>
        </w:rPr>
        <w:t>Question:</w:t>
      </w:r>
      <w:r w:rsidRPr="009C7B6D">
        <w:rPr>
          <w:lang w:val="en"/>
        </w:rPr>
        <w:t xml:space="preserve"> </w:t>
      </w:r>
      <w:r w:rsidR="007713EF" w:rsidRPr="00A53EC1">
        <w:rPr>
          <w:lang w:val="en"/>
        </w:rPr>
        <w:t>Why is natural turnover not occurring within certain markets or for certain technologies? </w:t>
      </w:r>
      <w:r w:rsidR="007713EF" w:rsidRPr="00A53EC1">
        <w:t> </w:t>
      </w:r>
    </w:p>
    <w:p w14:paraId="4BA44FBC" w14:textId="0FA37189" w:rsidR="007713EF" w:rsidRPr="00A53EC1" w:rsidRDefault="003258B2" w:rsidP="007713EF">
      <w:r w:rsidRPr="00A53EC1">
        <w:rPr>
          <w:b/>
          <w:bCs/>
          <w:lang w:val="en"/>
        </w:rPr>
        <w:t>Answer:</w:t>
      </w:r>
      <w:r w:rsidRPr="00A53EC1">
        <w:rPr>
          <w:lang w:val="en"/>
        </w:rPr>
        <w:t xml:space="preserve"> </w:t>
      </w:r>
      <w:r w:rsidR="007713EF" w:rsidRPr="00A53EC1">
        <w:rPr>
          <w:lang w:val="en"/>
        </w:rPr>
        <w:t>Equipment is replaced when there is a compelling business reason – such as failure, attractive terms, or business needs. Equipment is not typically changed simply due to new code requirements. Thus, despite code updates, old equipment will remain in place until there is a compelling business reason to change it.</w:t>
      </w:r>
      <w:r w:rsidR="007713EF" w:rsidRPr="00A53EC1">
        <w:t> </w:t>
      </w:r>
    </w:p>
    <w:p w14:paraId="75A737FD" w14:textId="77777777" w:rsidR="00FA4E0B" w:rsidRPr="00A53EC1" w:rsidRDefault="00FA4E0B" w:rsidP="007713EF"/>
    <w:p w14:paraId="7993C9C4" w14:textId="73C03D1E" w:rsidR="007713EF" w:rsidRPr="00A53EC1" w:rsidRDefault="003258B2" w:rsidP="007713EF">
      <w:r w:rsidRPr="009C7B6D">
        <w:rPr>
          <w:b/>
          <w:bCs/>
          <w:lang w:val="en"/>
        </w:rPr>
        <w:t>Question:</w:t>
      </w:r>
      <w:r w:rsidRPr="009C7B6D">
        <w:rPr>
          <w:lang w:val="en"/>
        </w:rPr>
        <w:t xml:space="preserve"> </w:t>
      </w:r>
      <w:r w:rsidR="007713EF" w:rsidRPr="00A53EC1">
        <w:rPr>
          <w:lang w:val="en"/>
        </w:rPr>
        <w:t>What program interventions would effectively accelerate equipment turnover?</w:t>
      </w:r>
      <w:r w:rsidR="007713EF" w:rsidRPr="00A53EC1">
        <w:t> </w:t>
      </w:r>
    </w:p>
    <w:p w14:paraId="35B068AD" w14:textId="56C49712" w:rsidR="007713EF" w:rsidRPr="00A53EC1" w:rsidRDefault="003258B2" w:rsidP="007713EF">
      <w:r w:rsidRPr="00A53EC1">
        <w:rPr>
          <w:b/>
          <w:bCs/>
          <w:lang w:val="en"/>
        </w:rPr>
        <w:t>Answer:</w:t>
      </w:r>
      <w:r w:rsidRPr="00A53EC1">
        <w:rPr>
          <w:lang w:val="en"/>
        </w:rPr>
        <w:t xml:space="preserve"> </w:t>
      </w:r>
      <w:r w:rsidR="00583E0C" w:rsidRPr="00A53EC1">
        <w:rPr>
          <w:lang w:val="en"/>
        </w:rPr>
        <w:t>MSSR</w:t>
      </w:r>
      <w:r w:rsidR="007713EF" w:rsidRPr="00A53EC1">
        <w:rPr>
          <w:lang w:val="en"/>
        </w:rPr>
        <w:t>’s NMEC structure naturally lends itself to accelerating equipment turnover and overall adoption of to-code solutions.  By using existing condition NMEC savings to accelerate equipment turnover, the incentives will be based on all savings, not just to-</w:t>
      </w:r>
      <w:r w:rsidR="00A53EC1">
        <w:rPr>
          <w:lang w:val="en"/>
        </w:rPr>
        <w:t>code</w:t>
      </w:r>
      <w:r w:rsidR="007713EF" w:rsidRPr="00A53EC1">
        <w:rPr>
          <w:lang w:val="en"/>
        </w:rPr>
        <w:t xml:space="preserve"> or above-code savings, which help make projects cost effective for the customer. </w:t>
      </w:r>
      <w:r w:rsidR="007713EF" w:rsidRPr="00A53EC1">
        <w:t> </w:t>
      </w:r>
    </w:p>
    <w:p w14:paraId="6C00C013" w14:textId="77777777" w:rsidR="007713EF" w:rsidRPr="00733B79" w:rsidRDefault="007713EF" w:rsidP="00612C27"/>
    <w:p w14:paraId="3C896467" w14:textId="77777777" w:rsidR="00612C27" w:rsidRPr="00733B79" w:rsidRDefault="00612C27" w:rsidP="00612C27">
      <w:pPr>
        <w:rPr>
          <w:b/>
          <w:u w:val="single"/>
        </w:rPr>
      </w:pPr>
    </w:p>
    <w:p w14:paraId="7DDD8EDE" w14:textId="77777777" w:rsidR="00612C27" w:rsidRPr="00733B79" w:rsidRDefault="00612C27" w:rsidP="00B62D70">
      <w:pPr>
        <w:pStyle w:val="Heading2"/>
      </w:pPr>
      <w:bookmarkStart w:id="232" w:name="_ihv636"/>
      <w:bookmarkStart w:id="233" w:name="_32hioqz"/>
      <w:bookmarkStart w:id="234" w:name="_Toc162606070"/>
      <w:bookmarkStart w:id="235" w:name="_Toc173831641"/>
      <w:bookmarkEnd w:id="232"/>
      <w:bookmarkEnd w:id="233"/>
      <w:r w:rsidRPr="00733B79">
        <w:t>Tools, Methods, Analytical Approaches and Software Criteria</w:t>
      </w:r>
      <w:bookmarkEnd w:id="234"/>
      <w:bookmarkEnd w:id="235"/>
    </w:p>
    <w:p w14:paraId="37BED77B" w14:textId="77777777" w:rsidR="00612C27" w:rsidRPr="00733B79" w:rsidRDefault="00612C27" w:rsidP="00612C27"/>
    <w:p w14:paraId="238B63E4" w14:textId="77777777" w:rsidR="00C22685" w:rsidRDefault="00C22685" w:rsidP="00612C27"/>
    <w:p w14:paraId="7167E5F8" w14:textId="59D48F7C" w:rsidR="00812797" w:rsidRPr="007E09D1" w:rsidRDefault="00812797" w:rsidP="00812797">
      <w:pPr>
        <w:spacing w:after="120"/>
      </w:pPr>
      <w:r w:rsidRPr="007E09D1">
        <w:t xml:space="preserve">The </w:t>
      </w:r>
      <w:r w:rsidR="00826916">
        <w:t>AESC Team</w:t>
      </w:r>
      <w:r w:rsidRPr="007E09D1">
        <w:t xml:space="preserve"> will use the following tools to check eligibility, </w:t>
      </w:r>
      <w:r w:rsidR="00F25FE1">
        <w:t>calculate</w:t>
      </w:r>
      <w:r w:rsidRPr="007E09D1">
        <w:t xml:space="preserve"> benefits and incentives, perform M&amp;V, and track projects and incentives. </w:t>
      </w:r>
    </w:p>
    <w:p w14:paraId="39EE5EE5" w14:textId="4A917CEF" w:rsidR="00812797" w:rsidRPr="007E09D1" w:rsidRDefault="00812797" w:rsidP="00812797">
      <w:pPr>
        <w:pStyle w:val="Bullets1"/>
        <w:spacing w:after="120"/>
      </w:pPr>
      <w:r w:rsidRPr="543FD19B">
        <w:rPr>
          <w:lang w:val="en-US"/>
        </w:rPr>
        <w:t xml:space="preserve">Customer Site Eligibility Tool: Automatically identifies if a site meets program requirements including CV(RMSE), data sufficiency, and lack of program double dip. </w:t>
      </w:r>
    </w:p>
    <w:p w14:paraId="08BB3E27" w14:textId="4A72C473" w:rsidR="00812797" w:rsidRPr="007E09D1" w:rsidRDefault="00812797" w:rsidP="00812797">
      <w:pPr>
        <w:pStyle w:val="Bullets1"/>
        <w:spacing w:after="120"/>
      </w:pPr>
      <w:r w:rsidRPr="007E09D1">
        <w:t xml:space="preserve">Value Estimation Tool: Calculates the weighted EUL, TSB, and incentive for entered projects. </w:t>
      </w:r>
    </w:p>
    <w:p w14:paraId="124C122C" w14:textId="5833963B" w:rsidR="00812797" w:rsidRPr="007E09D1" w:rsidRDefault="00812797" w:rsidP="00812797">
      <w:pPr>
        <w:pStyle w:val="Bullets1"/>
        <w:spacing w:after="120"/>
      </w:pPr>
      <w:r w:rsidRPr="543FD19B">
        <w:rPr>
          <w:lang w:val="en-US"/>
        </w:rPr>
        <w:t xml:space="preserve">Praxis M&amp;V Tool: Tracks savings, performs project and portfolio M&amp;V, calculates and enables approval of EULs, kW, kWh, and </w:t>
      </w:r>
      <w:proofErr w:type="spellStart"/>
      <w:r w:rsidRPr="543FD19B">
        <w:rPr>
          <w:lang w:val="en-US"/>
        </w:rPr>
        <w:t>therm</w:t>
      </w:r>
      <w:proofErr w:type="spellEnd"/>
      <w:r w:rsidRPr="543FD19B">
        <w:rPr>
          <w:lang w:val="en-US"/>
        </w:rPr>
        <w:t xml:space="preserve"> savings, and tracks incentive payments. </w:t>
      </w:r>
    </w:p>
    <w:p w14:paraId="0B61D7B6" w14:textId="4E17423B" w:rsidR="00812797" w:rsidRPr="007E09D1" w:rsidRDefault="00812797" w:rsidP="00812797">
      <w:pPr>
        <w:pStyle w:val="Bullets1"/>
        <w:spacing w:after="120"/>
      </w:pPr>
      <w:r w:rsidRPr="007E09D1">
        <w:lastRenderedPageBreak/>
        <w:t xml:space="preserve">Praxis Measure Calculators: Whole Building/HVAC and Lighting calculators estimate project kWh, kW, GHG, and customer utility cost savings based on existing conditions baselines and customer CZ and utility tariff. This optional tool may be used by Aggregators to estimate project savings. </w:t>
      </w:r>
    </w:p>
    <w:p w14:paraId="439D1DA9" w14:textId="6D54A161" w:rsidR="00812797" w:rsidRPr="007E09D1" w:rsidRDefault="00812797" w:rsidP="00812797">
      <w:pPr>
        <w:pStyle w:val="Bullets1"/>
        <w:spacing w:after="120"/>
      </w:pPr>
      <w:r w:rsidRPr="543FD19B">
        <w:rPr>
          <w:lang w:val="en-US"/>
        </w:rPr>
        <w:t xml:space="preserve">Automated Application Portal: Centralized, cloud-based portal for Aggregators to submit and track project application materials. </w:t>
      </w:r>
    </w:p>
    <w:p w14:paraId="7D87AD3D" w14:textId="62BFFF2C" w:rsidR="00812797" w:rsidRPr="007E09D1" w:rsidRDefault="00812797" w:rsidP="00812797">
      <w:pPr>
        <w:pStyle w:val="Bullets1"/>
        <w:spacing w:after="120"/>
      </w:pPr>
      <w:r w:rsidRPr="007E09D1">
        <w:t xml:space="preserve">Aggregator Portal: Password-protected website providing </w:t>
      </w:r>
      <w:r>
        <w:t>A</w:t>
      </w:r>
      <w:r w:rsidRPr="007E09D1">
        <w:t xml:space="preserve">ggregators program resources and links to tools, including application checklists. </w:t>
      </w:r>
    </w:p>
    <w:p w14:paraId="590DFCFD" w14:textId="78927FA0" w:rsidR="00812797" w:rsidRDefault="00812797" w:rsidP="00812797">
      <w:pPr>
        <w:pStyle w:val="Bullets1"/>
        <w:spacing w:after="120"/>
      </w:pPr>
      <w:r w:rsidRPr="007E09D1">
        <w:t xml:space="preserve">Salesforce: Customer Relationship Management (CRM) software that tracks all Enrolled Aggregators, Customers, and Projects (status, savings, costs, etc.) and can easily pass data to </w:t>
      </w:r>
      <w:r w:rsidR="00DC00DC">
        <w:t xml:space="preserve">PG&amp;E’s CRM, </w:t>
      </w:r>
      <w:r w:rsidRPr="007E09D1">
        <w:t>Energy Insight.</w:t>
      </w:r>
    </w:p>
    <w:p w14:paraId="0A7B9C6D" w14:textId="77777777" w:rsidR="00C22685" w:rsidRDefault="00C22685" w:rsidP="00612C27"/>
    <w:p w14:paraId="3D116C68" w14:textId="62EA0D44" w:rsidR="00231943" w:rsidRDefault="00706B41" w:rsidP="00612C27">
      <w:r>
        <w:t xml:space="preserve">Compliance with </w:t>
      </w:r>
      <w:r w:rsidR="003838CE">
        <w:t>Rulebook for Programs and Projects Based on Normalized Metered Energy Consumption (v2.0)</w:t>
      </w:r>
      <w:r w:rsidR="000608E8">
        <w:t xml:space="preserve"> is given below for each cat</w:t>
      </w:r>
      <w:r w:rsidR="00B62F38">
        <w:t>e</w:t>
      </w:r>
      <w:r w:rsidR="000608E8">
        <w:t xml:space="preserve">gory. </w:t>
      </w:r>
    </w:p>
    <w:p w14:paraId="4F9039CF" w14:textId="77777777" w:rsidR="00231943" w:rsidRDefault="00231943" w:rsidP="00612C27"/>
    <w:p w14:paraId="23B08C49" w14:textId="1CA2836F" w:rsidR="00231943" w:rsidRPr="009C7B6D" w:rsidRDefault="00231943" w:rsidP="00612C27">
      <w:pPr>
        <w:rPr>
          <w:b/>
        </w:rPr>
      </w:pPr>
      <w:r w:rsidRPr="009C7B6D">
        <w:rPr>
          <w:b/>
          <w:bCs/>
        </w:rPr>
        <w:t xml:space="preserve">Savings </w:t>
      </w:r>
      <w:r w:rsidR="00FF394F" w:rsidRPr="009C7B6D">
        <w:rPr>
          <w:b/>
          <w:bCs/>
        </w:rPr>
        <w:t>Calculation</w:t>
      </w:r>
      <w:r w:rsidRPr="009C7B6D">
        <w:rPr>
          <w:b/>
          <w:bCs/>
        </w:rPr>
        <w:t>:</w:t>
      </w:r>
      <w:r w:rsidR="00B75801">
        <w:rPr>
          <w:b/>
          <w:bCs/>
        </w:rPr>
        <w:t xml:space="preserve"> </w:t>
      </w:r>
      <w:r w:rsidR="00A74685" w:rsidRPr="009C7B6D">
        <w:t xml:space="preserve">All analytical methods, tools, </w:t>
      </w:r>
      <w:r w:rsidR="00F01900" w:rsidRPr="009C7B6D">
        <w:t>algorithms</w:t>
      </w:r>
      <w:r w:rsidR="00A74685" w:rsidRPr="009C7B6D">
        <w:t xml:space="preserve"> and software used in the savings and incentive </w:t>
      </w:r>
      <w:r w:rsidR="00F01900" w:rsidRPr="009C7B6D">
        <w:t>or compensation payment calculations, will be made available to commission sta</w:t>
      </w:r>
      <w:r w:rsidR="008806CB">
        <w:t>ff</w:t>
      </w:r>
      <w:r w:rsidR="00F01900" w:rsidRPr="009C7B6D">
        <w:t xml:space="preserve"> and its consultants upon request.</w:t>
      </w:r>
    </w:p>
    <w:p w14:paraId="1CB8F745" w14:textId="77777777" w:rsidR="00B75801" w:rsidRDefault="00B75801" w:rsidP="00612C27"/>
    <w:p w14:paraId="24E28D24" w14:textId="71444663" w:rsidR="00FF394F" w:rsidRDefault="00FF394F" w:rsidP="00612C27">
      <w:r w:rsidRPr="009C7B6D">
        <w:rPr>
          <w:b/>
        </w:rPr>
        <w:t>Measurement Period:</w:t>
      </w:r>
      <w:r w:rsidR="00F01900">
        <w:t xml:space="preserve"> savings determinations </w:t>
      </w:r>
      <w:r w:rsidR="001C51F4">
        <w:t xml:space="preserve">are made by comparing at least 12 months (365 days) of post-intervention energy consumption to at least 12 months (365 days) of pre-intervention consumption. The comparison uses the Avoided Energy Use method of calculating savings. </w:t>
      </w:r>
    </w:p>
    <w:p w14:paraId="7F0D7A95" w14:textId="77777777" w:rsidR="00FF394F" w:rsidRDefault="00FF394F" w:rsidP="00612C27"/>
    <w:p w14:paraId="2653E0E5" w14:textId="55775ABA" w:rsidR="00FF394F" w:rsidRDefault="00FA6E4B" w:rsidP="00612C27">
      <w:r w:rsidRPr="009C7B6D">
        <w:rPr>
          <w:b/>
        </w:rPr>
        <w:t xml:space="preserve">Transparency, </w:t>
      </w:r>
      <w:r w:rsidR="00FF394F" w:rsidRPr="009C7B6D">
        <w:rPr>
          <w:b/>
        </w:rPr>
        <w:t>Documentation and Replicability</w:t>
      </w:r>
      <w:r w:rsidR="00D665B0" w:rsidRPr="009C7B6D">
        <w:rPr>
          <w:b/>
          <w:bCs/>
        </w:rPr>
        <w:t>, Ex-post Evaluation</w:t>
      </w:r>
      <w:r w:rsidR="00FF394F" w:rsidRPr="009C7B6D">
        <w:rPr>
          <w:b/>
        </w:rPr>
        <w:t>:</w:t>
      </w:r>
      <w:r w:rsidR="00A27FAF">
        <w:t xml:space="preserve"> The methods used to calculate savings for the program are documented in this M&amp;V plan </w:t>
      </w:r>
      <w:r w:rsidR="00CA6355">
        <w:t>sufficiently</w:t>
      </w:r>
      <w:r w:rsidR="00BE5AA5">
        <w:t xml:space="preserve"> such that savings </w:t>
      </w:r>
      <w:r w:rsidR="006B55E7">
        <w:t>calculations</w:t>
      </w:r>
      <w:r w:rsidR="00BE5AA5">
        <w:t xml:space="preserve"> are able to be replicated by the </w:t>
      </w:r>
      <w:r w:rsidR="00977873">
        <w:t xml:space="preserve">PAs, </w:t>
      </w:r>
      <w:r w:rsidR="006B55E7">
        <w:t>Commission</w:t>
      </w:r>
      <w:r w:rsidR="00977873">
        <w:t>, and its</w:t>
      </w:r>
      <w:r w:rsidR="00BE5AA5">
        <w:t xml:space="preserve"> </w:t>
      </w:r>
      <w:r w:rsidR="006B55E7">
        <w:t xml:space="preserve">impact evaluators. </w:t>
      </w:r>
      <w:r>
        <w:t xml:space="preserve">All NMEC Projects and project data will be collected </w:t>
      </w:r>
      <w:r w:rsidR="000608E8">
        <w:t>as a whole</w:t>
      </w:r>
      <w:r>
        <w:t xml:space="preserve"> and stored to be </w:t>
      </w:r>
      <w:r w:rsidR="00D665B0">
        <w:t xml:space="preserve">made </w:t>
      </w:r>
      <w:r>
        <w:t xml:space="preserve">available </w:t>
      </w:r>
      <w:r w:rsidR="00D665B0">
        <w:t xml:space="preserve">to the parties upon request. </w:t>
      </w:r>
    </w:p>
    <w:p w14:paraId="445E88B8" w14:textId="77777777" w:rsidR="00FF394F" w:rsidRDefault="00FF394F" w:rsidP="00612C27"/>
    <w:p w14:paraId="368D45A3" w14:textId="40BF15B9" w:rsidR="0095652C" w:rsidRDefault="00FF394F" w:rsidP="00612C27">
      <w:r w:rsidRPr="009C7B6D">
        <w:rPr>
          <w:b/>
        </w:rPr>
        <w:t>Consistent, Pre-set Methods</w:t>
      </w:r>
      <w:r w:rsidR="00DA3BEA" w:rsidRPr="009C7B6D">
        <w:rPr>
          <w:b/>
        </w:rPr>
        <w:t>:</w:t>
      </w:r>
      <w:r w:rsidR="0095652C">
        <w:t xml:space="preserve"> For the Population-level projects, the measurement method and calculation software is pre-set and applied uniformly to all sites in the program. </w:t>
      </w:r>
    </w:p>
    <w:p w14:paraId="33683D5D" w14:textId="77777777" w:rsidR="00FF394F" w:rsidRDefault="00FF394F" w:rsidP="00612C27"/>
    <w:p w14:paraId="561EF3FB" w14:textId="5F1F8B9B" w:rsidR="00FF394F" w:rsidRPr="009C7B6D" w:rsidRDefault="00FF394F" w:rsidP="00612C27">
      <w:pPr>
        <w:rPr>
          <w:b/>
        </w:rPr>
      </w:pPr>
      <w:r w:rsidRPr="009C7B6D">
        <w:rPr>
          <w:b/>
        </w:rPr>
        <w:t>Proprietary Methods and Software:</w:t>
      </w:r>
    </w:p>
    <w:p w14:paraId="5327D9ED" w14:textId="7C98461A" w:rsidR="00B263E3" w:rsidRDefault="0052603C" w:rsidP="00CF7F85">
      <w:pPr>
        <w:pStyle w:val="ListParagraph"/>
        <w:numPr>
          <w:ilvl w:val="1"/>
          <w:numId w:val="24"/>
        </w:numPr>
        <w:ind w:left="360"/>
      </w:pPr>
      <w:r>
        <w:t xml:space="preserve">Although Praxis </w:t>
      </w:r>
      <w:r w:rsidR="00964D85">
        <w:t xml:space="preserve">core </w:t>
      </w:r>
      <w:r>
        <w:t>code</w:t>
      </w:r>
      <w:r w:rsidR="00964D85">
        <w:t>base</w:t>
      </w:r>
      <w:r>
        <w:t xml:space="preserve"> is proprietary, </w:t>
      </w:r>
      <w:r w:rsidR="00DA29C1">
        <w:t>Praxis</w:t>
      </w:r>
      <w:r w:rsidR="00DD1E37">
        <w:t xml:space="preserve"> </w:t>
      </w:r>
      <w:r w:rsidR="00F03143">
        <w:t>utilize</w:t>
      </w:r>
      <w:r w:rsidR="00DD1E37">
        <w:t>s</w:t>
      </w:r>
      <w:r w:rsidR="00F03143">
        <w:t xml:space="preserve"> </w:t>
      </w:r>
      <w:r w:rsidR="00A171CD">
        <w:t xml:space="preserve">savings measurement methods that are </w:t>
      </w:r>
      <w:r w:rsidR="00DD1E37">
        <w:t>publicly available</w:t>
      </w:r>
      <w:r w:rsidR="00964D85">
        <w:t xml:space="preserve">, </w:t>
      </w:r>
      <w:r w:rsidR="00A171CD">
        <w:t>widely used</w:t>
      </w:r>
      <w:r w:rsidR="00964D85">
        <w:t xml:space="preserve">, and supported by industry documentation </w:t>
      </w:r>
      <w:r w:rsidR="00964D85" w:rsidRPr="00964D85">
        <w:t xml:space="preserve">(ASHRAE, LBNL, </w:t>
      </w:r>
      <w:proofErr w:type="spellStart"/>
      <w:r w:rsidR="00964D85" w:rsidRPr="00964D85">
        <w:t>CalTRACK</w:t>
      </w:r>
      <w:proofErr w:type="spellEnd"/>
      <w:r w:rsidR="00964D85" w:rsidRPr="00964D85">
        <w:t>)</w:t>
      </w:r>
      <w:r w:rsidR="00964D85">
        <w:t xml:space="preserve"> that are referenced in this M&amp;V plan</w:t>
      </w:r>
      <w:r w:rsidR="00DD1E37">
        <w:t>.</w:t>
      </w:r>
      <w:r w:rsidR="00A171CD">
        <w:t xml:space="preserve"> </w:t>
      </w:r>
      <w:r w:rsidR="00DD1E37">
        <w:t xml:space="preserve">All </w:t>
      </w:r>
      <w:r w:rsidR="002D2932">
        <w:t xml:space="preserve">data, </w:t>
      </w:r>
      <w:r w:rsidR="002C528F">
        <w:t>code</w:t>
      </w:r>
      <w:r w:rsidR="002D2932">
        <w:t>, and scripts need</w:t>
      </w:r>
      <w:r w:rsidR="00964D85">
        <w:t>ed</w:t>
      </w:r>
      <w:r w:rsidR="002D2932">
        <w:t xml:space="preserve"> to replicate results</w:t>
      </w:r>
      <w:r w:rsidR="00B82887">
        <w:t xml:space="preserve"> </w:t>
      </w:r>
      <w:r w:rsidR="008806CB" w:rsidRPr="00693019">
        <w:t>will be made available to commission sta</w:t>
      </w:r>
      <w:r w:rsidR="008806CB">
        <w:t>ff</w:t>
      </w:r>
      <w:r w:rsidR="008806CB" w:rsidRPr="00693019">
        <w:t xml:space="preserve"> and its consultants upon request.</w:t>
      </w:r>
      <w:r w:rsidR="00964D85">
        <w:t xml:space="preserve"> The code and data will be </w:t>
      </w:r>
      <w:r w:rsidR="009F7D44">
        <w:t>updated and maintained so a 3</w:t>
      </w:r>
      <w:r w:rsidR="009F7D44" w:rsidRPr="00CF7F85">
        <w:rPr>
          <w:vertAlign w:val="superscript"/>
        </w:rPr>
        <w:t>rd</w:t>
      </w:r>
      <w:r w:rsidR="009F7D44">
        <w:t xml:space="preserve"> party reviewer can replicate results seamlessly without discrepancy. </w:t>
      </w:r>
    </w:p>
    <w:p w14:paraId="6B725FB8" w14:textId="77777777" w:rsidR="00964D85" w:rsidRDefault="00964D85" w:rsidP="00CF7F85"/>
    <w:p w14:paraId="7DB2FAC5" w14:textId="54FBB9FA" w:rsidR="00481E67" w:rsidRPr="00733B79" w:rsidRDefault="004359E7" w:rsidP="00CF7F85">
      <w:pPr>
        <w:pStyle w:val="ListParagraph"/>
        <w:numPr>
          <w:ilvl w:val="1"/>
          <w:numId w:val="24"/>
        </w:numPr>
        <w:ind w:left="360"/>
      </w:pPr>
      <w:r>
        <w:t xml:space="preserve">The program-level M&amp;V plan herein describes the appropriateness of the methods and software, in </w:t>
      </w:r>
      <w:r w:rsidR="008806CB">
        <w:t>S</w:t>
      </w:r>
      <w:r>
        <w:t xml:space="preserve">ection </w:t>
      </w:r>
      <w:r w:rsidR="008806CB">
        <w:t>6.5.</w:t>
      </w:r>
    </w:p>
    <w:sectPr w:rsidR="00481E67" w:rsidRPr="00733B79" w:rsidSect="00CF7F8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C4CCB" w14:textId="77777777" w:rsidR="00E20AC2" w:rsidRDefault="00E20AC2" w:rsidP="007F3C67">
      <w:r>
        <w:separator/>
      </w:r>
    </w:p>
    <w:p w14:paraId="4DDACDE1" w14:textId="77777777" w:rsidR="00E20AC2" w:rsidRDefault="00E20AC2" w:rsidP="007F3C67"/>
    <w:p w14:paraId="5E190B2D" w14:textId="77777777" w:rsidR="00E20AC2" w:rsidRDefault="00E20AC2" w:rsidP="007F3C67"/>
  </w:endnote>
  <w:endnote w:type="continuationSeparator" w:id="0">
    <w:p w14:paraId="6EEC6E33" w14:textId="77777777" w:rsidR="00E20AC2" w:rsidRDefault="00E20AC2" w:rsidP="007F3C67">
      <w:r>
        <w:continuationSeparator/>
      </w:r>
    </w:p>
    <w:p w14:paraId="7F4C921D" w14:textId="77777777" w:rsidR="00E20AC2" w:rsidRDefault="00E20AC2" w:rsidP="007F3C67"/>
    <w:p w14:paraId="378E4F8F" w14:textId="77777777" w:rsidR="00E20AC2" w:rsidRDefault="00E20AC2" w:rsidP="007F3C67"/>
  </w:endnote>
  <w:endnote w:type="continuationNotice" w:id="1">
    <w:p w14:paraId="29219822" w14:textId="77777777" w:rsidR="00E20AC2" w:rsidRDefault="00E20AC2" w:rsidP="007F3C67"/>
    <w:p w14:paraId="08D60747" w14:textId="77777777" w:rsidR="00E20AC2" w:rsidRDefault="00E20AC2" w:rsidP="007F3C67"/>
    <w:p w14:paraId="15E1E7BE" w14:textId="77777777" w:rsidR="00E20AC2" w:rsidRDefault="00E20AC2" w:rsidP="007F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alatino">
    <w:altName w:val="Segoe UI Historic"/>
    <w:charset w:val="4D"/>
    <w:family w:val="auto"/>
    <w:pitch w:val="variable"/>
    <w:sig w:usb0="A00002FF" w:usb1="7800205A" w:usb2="14600000" w:usb3="00000000" w:csb0="00000193"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2959" w14:textId="77777777" w:rsidR="00D56616" w:rsidRDefault="00D56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5110" w14:textId="77777777" w:rsidR="00D56616" w:rsidRDefault="00D56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3F87" w14:textId="77777777" w:rsidR="00D56616" w:rsidRDefault="00D5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ACDF" w14:textId="77777777" w:rsidR="00E20AC2" w:rsidRDefault="00E20AC2" w:rsidP="007F3C67">
      <w:r>
        <w:separator/>
      </w:r>
    </w:p>
  </w:footnote>
  <w:footnote w:type="continuationSeparator" w:id="0">
    <w:p w14:paraId="22A72513" w14:textId="77777777" w:rsidR="00E20AC2" w:rsidRDefault="00E20AC2" w:rsidP="007F3C67">
      <w:r>
        <w:continuationSeparator/>
      </w:r>
    </w:p>
    <w:p w14:paraId="014605ED" w14:textId="77777777" w:rsidR="00E20AC2" w:rsidRDefault="00E20AC2" w:rsidP="007F3C67"/>
    <w:p w14:paraId="765DF52A" w14:textId="77777777" w:rsidR="00E20AC2" w:rsidRDefault="00E20AC2" w:rsidP="007F3C67"/>
  </w:footnote>
  <w:footnote w:type="continuationNotice" w:id="1">
    <w:p w14:paraId="656DB939" w14:textId="77777777" w:rsidR="00E20AC2" w:rsidRDefault="00E20AC2" w:rsidP="007F3C67"/>
    <w:p w14:paraId="3D67A5E9" w14:textId="77777777" w:rsidR="00E20AC2" w:rsidRDefault="00E20AC2" w:rsidP="007F3C67"/>
    <w:p w14:paraId="4C54AC31" w14:textId="77777777" w:rsidR="00E20AC2" w:rsidRDefault="00E20AC2" w:rsidP="007F3C67"/>
  </w:footnote>
  <w:footnote w:id="2">
    <w:p w14:paraId="34814798" w14:textId="77777777" w:rsidR="00F372A8" w:rsidRPr="00373E94" w:rsidRDefault="00F372A8" w:rsidP="00F372A8">
      <w:pPr>
        <w:pStyle w:val="FootnoteText"/>
      </w:pPr>
      <w:r>
        <w:rPr>
          <w:rStyle w:val="FootnoteReference"/>
        </w:rPr>
        <w:footnoteRef/>
      </w:r>
      <w:r>
        <w:t xml:space="preserve"> </w:t>
      </w:r>
      <w:r w:rsidRPr="00373E94">
        <w:t>https://calepa.ca.gov/wp-content/uploads/sites/6/2022/05/Updated-Disadvantaged-Communities-Designation-DAC-May-2022-Eng.a.hp_-1.pdf</w:t>
      </w:r>
    </w:p>
  </w:footnote>
  <w:footnote w:id="3">
    <w:p w14:paraId="359601A7" w14:textId="0E665AB6" w:rsidR="00A93E41" w:rsidRDefault="00A93E41">
      <w:pPr>
        <w:pStyle w:val="FootnoteText"/>
      </w:pPr>
      <w:r>
        <w:rPr>
          <w:rStyle w:val="FootnoteReference"/>
        </w:rPr>
        <w:footnoteRef/>
      </w:r>
      <w:r>
        <w:t xml:space="preserve"> </w:t>
      </w:r>
      <w:r w:rsidR="00B52579">
        <w:t xml:space="preserve">A </w:t>
      </w:r>
      <w:r w:rsidR="004F35DA">
        <w:t xml:space="preserve">Residential sub-program </w:t>
      </w:r>
      <w:r w:rsidR="00AE4031">
        <w:t>may</w:t>
      </w:r>
      <w:r w:rsidR="004F35DA">
        <w:t xml:space="preserve"> launch after the launch of the Commercial sub-program</w:t>
      </w:r>
      <w:r w:rsidR="00B52579">
        <w:t xml:space="preserve">.  </w:t>
      </w:r>
      <w:r w:rsidR="00AE4031">
        <w:t xml:space="preserve">Updates the M&amp;V Plan will be made </w:t>
      </w:r>
      <w:r w:rsidR="008875BD">
        <w:t xml:space="preserve">to address </w:t>
      </w:r>
      <w:r w:rsidR="001E2D64">
        <w:t xml:space="preserve">any applicable </w:t>
      </w:r>
      <w:r w:rsidR="00F9164D">
        <w:t xml:space="preserve">changes or additions necessitated by the </w:t>
      </w:r>
      <w:r w:rsidR="003537C4">
        <w:t>Residential sub-program.</w:t>
      </w:r>
    </w:p>
  </w:footnote>
  <w:footnote w:id="4">
    <w:p w14:paraId="51DB17A7" w14:textId="7FD35A6F" w:rsidR="00C84C7A" w:rsidRDefault="00C84C7A">
      <w:pPr>
        <w:pStyle w:val="FootnoteText"/>
      </w:pPr>
      <w:r>
        <w:rPr>
          <w:rStyle w:val="FootnoteReference"/>
        </w:rPr>
        <w:footnoteRef/>
      </w:r>
      <w:r>
        <w:t xml:space="preserve"> </w:t>
      </w:r>
      <w:r w:rsidR="00192010">
        <w:t xml:space="preserve">The Program can serve </w:t>
      </w:r>
      <w:r w:rsidR="00192010" w:rsidRPr="008C069E">
        <w:t xml:space="preserve">commercial facilities </w:t>
      </w:r>
      <w:r w:rsidR="00192010">
        <w:t>with</w:t>
      </w:r>
      <w:r w:rsidR="00192010" w:rsidRPr="008C069E">
        <w:t xml:space="preserve"> NAICS codes that begin with the following two digits: 11, 21, 22, 23, 31, 32, 33, 42, 44, 45, 48, 49, 51, 52, 53, 54, 55, 56, 61, 62, 71, 72, 81, and 92</w:t>
      </w:r>
      <w:r w:rsidR="0093267D">
        <w:t xml:space="preserve">. The following NAICS codes </w:t>
      </w:r>
      <w:r w:rsidR="0093267D" w:rsidRPr="006F55E4">
        <w:t>92 include agricultural and industrial meters and need to be screened on a case by case basis</w:t>
      </w:r>
      <w:r w:rsidR="0093267D">
        <w:t xml:space="preserve">: </w:t>
      </w:r>
      <w:r w:rsidR="0093267D" w:rsidRPr="006F55E4">
        <w:t>11, 21, 22, 23, 31, 32, 33, 42, 48, 49, 56, 81</w:t>
      </w:r>
      <w:r w:rsidR="0093267D">
        <w:t>.</w:t>
      </w:r>
      <w:r w:rsidR="002607E8">
        <w:t xml:space="preserve">  Additional NAICS codes may be considered</w:t>
      </w:r>
      <w:r w:rsidR="00BC4086">
        <w:t xml:space="preserve"> with AESC Team and PG&amp;E approval.</w:t>
      </w:r>
    </w:p>
  </w:footnote>
  <w:footnote w:id="5">
    <w:p w14:paraId="4466B0AE" w14:textId="77777777" w:rsidR="00F41F84" w:rsidRDefault="00F41F84" w:rsidP="00F41F84">
      <w:pPr>
        <w:pStyle w:val="FootnoteText"/>
      </w:pPr>
      <w:r>
        <w:rPr>
          <w:rStyle w:val="FootnoteReference"/>
        </w:rPr>
        <w:footnoteRef/>
      </w:r>
      <w:r>
        <w:t xml:space="preserve"> </w:t>
      </w:r>
      <w:r w:rsidRPr="00D81E64">
        <w:t>https://www.cpuc.ca.gov/about-cpuc/divisions/energy-division/building-decarbonization/fuel-substitution-in-energy-efficiency</w:t>
      </w:r>
    </w:p>
  </w:footnote>
  <w:footnote w:id="6">
    <w:p w14:paraId="3622261A" w14:textId="1D35315C" w:rsidR="002F60AB" w:rsidRDefault="002F60AB">
      <w:pPr>
        <w:pStyle w:val="FootnoteText"/>
      </w:pPr>
      <w:r>
        <w:rPr>
          <w:rStyle w:val="FootnoteReference"/>
        </w:rPr>
        <w:footnoteRef/>
      </w:r>
      <w:r>
        <w:t xml:space="preserve"> </w:t>
      </w:r>
      <w:r w:rsidRPr="003320A3">
        <w:t>CalTRACK Technical Appendix</w:t>
      </w:r>
      <w:r>
        <w:t>,</w:t>
      </w:r>
      <w:r w:rsidRPr="003320A3">
        <w:t xml:space="preserve"> Section 2.2., available at </w:t>
      </w:r>
      <w:hyperlink r:id="rId1" w:history="1">
        <w:r w:rsidRPr="003320A3">
          <w:t>http://docs.caltrack.org/en/latest/methods.html</w:t>
        </w:r>
      </w:hyperlink>
      <w:r w:rsidRPr="003320A3">
        <w:t>.</w:t>
      </w:r>
    </w:p>
  </w:footnote>
  <w:footnote w:id="7">
    <w:p w14:paraId="6F65DFAC" w14:textId="62176D5E" w:rsidR="00612C27" w:rsidRPr="003320A3" w:rsidRDefault="00612C27" w:rsidP="00612C27">
      <w:pPr>
        <w:pStyle w:val="pf0"/>
        <w:spacing w:before="0" w:beforeAutospacing="0" w:after="0" w:afterAutospacing="0"/>
        <w:rPr>
          <w:rFonts w:ascii="Arial" w:hAnsi="Arial" w:cs="Arial"/>
          <w:sz w:val="20"/>
          <w:szCs w:val="20"/>
        </w:rPr>
      </w:pPr>
      <w:r w:rsidRPr="003320A3">
        <w:rPr>
          <w:rStyle w:val="FootnoteReference"/>
          <w:rFonts w:ascii="Arial" w:eastAsiaTheme="majorEastAsia" w:hAnsi="Arial" w:cs="Arial"/>
          <w:sz w:val="20"/>
          <w:szCs w:val="20"/>
        </w:rPr>
        <w:footnoteRef/>
      </w:r>
      <w:r w:rsidRPr="003320A3">
        <w:rPr>
          <w:rFonts w:ascii="Arial" w:hAnsi="Arial" w:cs="Arial"/>
          <w:sz w:val="20"/>
          <w:szCs w:val="20"/>
        </w:rPr>
        <w:t xml:space="preserve"> N</w:t>
      </w:r>
      <w:r w:rsidRPr="003320A3">
        <w:rPr>
          <w:rFonts w:ascii="Arial" w:eastAsiaTheme="minorHAnsi" w:hAnsi="Arial" w:cs="Arial"/>
          <w:sz w:val="20"/>
          <w:szCs w:val="20"/>
        </w:rPr>
        <w:t xml:space="preserve">ote that the CV(RMSE) must be less than </w:t>
      </w:r>
      <w:r w:rsidR="00384F83">
        <w:rPr>
          <w:rFonts w:ascii="Arial" w:eastAsiaTheme="minorHAnsi" w:hAnsi="Arial" w:cs="Arial"/>
          <w:sz w:val="20"/>
          <w:szCs w:val="20"/>
        </w:rPr>
        <w:t>1.00</w:t>
      </w:r>
      <w:r w:rsidRPr="003320A3">
        <w:rPr>
          <w:rFonts w:ascii="Arial" w:eastAsiaTheme="minorHAnsi" w:hAnsi="Arial" w:cs="Arial"/>
          <w:sz w:val="20"/>
          <w:szCs w:val="20"/>
        </w:rPr>
        <w:t xml:space="preserve"> for the eligibility screening but must be less than 0.75 during the measurement period. If CV(RMSE) is greater than 0.75 during measurement, the project will be flagged for non-routine event analysis.</w:t>
      </w:r>
    </w:p>
  </w:footnote>
  <w:footnote w:id="8">
    <w:p w14:paraId="3242AABE" w14:textId="77777777" w:rsidR="00612C27" w:rsidRPr="003320A3" w:rsidRDefault="00612C27" w:rsidP="00612C27">
      <w:pPr>
        <w:pStyle w:val="FootnoteText"/>
      </w:pPr>
      <w:r w:rsidRPr="003320A3">
        <w:rPr>
          <w:rStyle w:val="FootnoteReference"/>
        </w:rPr>
        <w:footnoteRef/>
      </w:r>
      <w:r w:rsidRPr="003320A3">
        <w:t xml:space="preserve"> </w:t>
      </w:r>
      <w:r w:rsidRPr="003320A3">
        <w:t>CalTRACK Methods Technical Appendix, Section 2.2.1.2.</w:t>
      </w:r>
    </w:p>
  </w:footnote>
  <w:footnote w:id="9">
    <w:p w14:paraId="429D0C2C" w14:textId="77777777" w:rsidR="00612C27" w:rsidRPr="003320A3" w:rsidRDefault="00612C27" w:rsidP="00612C27">
      <w:pPr>
        <w:pStyle w:val="FootnoteText"/>
      </w:pPr>
      <w:r w:rsidRPr="003320A3">
        <w:rPr>
          <w:rStyle w:val="FootnoteReference"/>
        </w:rPr>
        <w:footnoteRef/>
      </w:r>
      <w:r w:rsidRPr="003320A3">
        <w:t xml:space="preserve"> </w:t>
      </w:r>
      <w:r w:rsidRPr="003320A3">
        <w:t>CalTRACK Technical Appendix</w:t>
      </w:r>
      <w:r>
        <w:t>,</w:t>
      </w:r>
      <w:r w:rsidRPr="003320A3">
        <w:t xml:space="preserve"> Section 2.2.1.2, available at </w:t>
      </w:r>
      <w:hyperlink r:id="rId2" w:history="1">
        <w:r w:rsidRPr="003320A3">
          <w:t>http://docs.caltrack.org/en/latest/methods.html</w:t>
        </w:r>
      </w:hyperlink>
      <w:r w:rsidRPr="003320A3">
        <w:t xml:space="preserve">.  </w:t>
      </w:r>
    </w:p>
  </w:footnote>
  <w:footnote w:id="10">
    <w:p w14:paraId="1DE8C2F6" w14:textId="77777777" w:rsidR="00612C27" w:rsidRPr="003320A3" w:rsidRDefault="00612C27" w:rsidP="00612C27">
      <w:pPr>
        <w:pStyle w:val="FootnoteText"/>
      </w:pPr>
      <w:r w:rsidRPr="003320A3">
        <w:rPr>
          <w:rStyle w:val="FootnoteReference"/>
        </w:rPr>
        <w:footnoteRef/>
      </w:r>
      <w:r w:rsidRPr="003320A3">
        <w:t xml:space="preserve"> </w:t>
      </w:r>
      <w:r w:rsidRPr="003320A3">
        <w:t>CalTRACK Technical Appendix</w:t>
      </w:r>
      <w:r>
        <w:t>, Section</w:t>
      </w:r>
      <w:r w:rsidRPr="003320A3">
        <w:t xml:space="preserve"> 2.2.4.1, available at </w:t>
      </w:r>
      <w:hyperlink r:id="rId3" w:history="1">
        <w:r w:rsidRPr="003320A3">
          <w:t>http://docs.caltrack.org/en/latest/methods.html</w:t>
        </w:r>
      </w:hyperlink>
      <w:r w:rsidRPr="003320A3">
        <w:t>.</w:t>
      </w:r>
    </w:p>
  </w:footnote>
  <w:footnote w:id="11">
    <w:p w14:paraId="23FA1E2A" w14:textId="77777777" w:rsidR="00DF1934" w:rsidRPr="003320A3" w:rsidRDefault="00DF1934" w:rsidP="00DF1934">
      <w:pPr>
        <w:pStyle w:val="FootnoteText"/>
      </w:pPr>
      <w:r w:rsidRPr="003320A3">
        <w:rPr>
          <w:rStyle w:val="FootnoteReference"/>
        </w:rPr>
        <w:footnoteRef/>
      </w:r>
      <w:r w:rsidRPr="003320A3">
        <w:t xml:space="preserve"> Uncertainty diminishes as 1/sqrt(n), where n=population size. For daily models, CV(RMSE) = 1.0, 10% savings, FSU can be ~77% (for an individual project), but with a project population of 10, FSU would decrease uncertainty to be 10 sites to diminish uncertainty to FSU &lt; 25%.</w:t>
      </w:r>
    </w:p>
  </w:footnote>
  <w:footnote w:id="12">
    <w:p w14:paraId="058C1C15" w14:textId="77777777" w:rsidR="00612C27" w:rsidRPr="003320A3" w:rsidRDefault="00612C27" w:rsidP="00612C27">
      <w:pPr>
        <w:pStyle w:val="FootnoteText"/>
      </w:pPr>
      <w:r w:rsidRPr="003320A3">
        <w:rPr>
          <w:rStyle w:val="FootnoteReference"/>
        </w:rPr>
        <w:footnoteRef/>
      </w:r>
      <w:r w:rsidRPr="003320A3">
        <w:t xml:space="preserve"> NMEC Rulebook 2.0, </w:t>
      </w:r>
      <w:r>
        <w:t xml:space="preserve">Section II.2.C, </w:t>
      </w:r>
      <w:r w:rsidRPr="003320A3">
        <w:t>p. 12.</w:t>
      </w:r>
    </w:p>
  </w:footnote>
  <w:footnote w:id="13">
    <w:p w14:paraId="04F50741" w14:textId="30DDBF79" w:rsidR="006B5E77" w:rsidRDefault="006B5E77" w:rsidP="000B7AD5">
      <w:pPr>
        <w:pStyle w:val="FootnoteText"/>
      </w:pPr>
      <w:r>
        <w:rPr>
          <w:rStyle w:val="FootnoteReference"/>
        </w:rPr>
        <w:footnoteRef/>
      </w:r>
      <w:r>
        <w:t xml:space="preserve"> </w:t>
      </w:r>
      <w:r w:rsidR="000B7AD5">
        <w:t>PG&amp;E M&amp;V Requirements for Site-Level NMEC</w:t>
      </w:r>
      <w:r>
        <w:t>,</w:t>
      </w:r>
      <w:r w:rsidRPr="003320A3">
        <w:t xml:space="preserve"> available at </w:t>
      </w:r>
      <w:r w:rsidRPr="006B5E77">
        <w:t>https://www.pge.com/assets/pge/docs/save-energy-and-money/energy-savings-programs/pge-site-nmec-mv-requirements.pdf</w:t>
      </w:r>
    </w:p>
  </w:footnote>
  <w:footnote w:id="14">
    <w:p w14:paraId="5A5245A1" w14:textId="066AD951" w:rsidR="00A971B4" w:rsidRDefault="00A971B4">
      <w:pPr>
        <w:pStyle w:val="FootnoteText"/>
      </w:pPr>
      <w:r>
        <w:rPr>
          <w:rStyle w:val="FootnoteReference"/>
        </w:rPr>
        <w:footnoteRef/>
      </w:r>
      <w:r>
        <w:t xml:space="preserve"> </w:t>
      </w:r>
      <w:r w:rsidR="00494BD3">
        <w:t xml:space="preserve">Typical Weather Files of long-term average weather are available at </w:t>
      </w:r>
      <w:r w:rsidR="00494BD3" w:rsidRPr="00494BD3">
        <w:t>http://calmac.org/weather.asp</w:t>
      </w:r>
    </w:p>
  </w:footnote>
  <w:footnote w:id="15">
    <w:p w14:paraId="3CFCEC7C" w14:textId="77777777" w:rsidR="007E048F" w:rsidRDefault="007E048F" w:rsidP="007E048F">
      <w:pPr>
        <w:pStyle w:val="FootnoteText"/>
      </w:pPr>
      <w:r>
        <w:rPr>
          <w:rStyle w:val="FootnoteReference"/>
        </w:rPr>
        <w:footnoteRef/>
      </w:r>
      <w:r>
        <w:t xml:space="preserve"> Avoided Energy Use is determined by adjusting the baseline period energy to the reporting period conditions by using routine adjustments and non-routine adjustments. </w:t>
      </w:r>
    </w:p>
  </w:footnote>
  <w:footnote w:id="16">
    <w:p w14:paraId="1D08E802" w14:textId="274485DE" w:rsidR="007E048F" w:rsidRPr="003320A3" w:rsidRDefault="007E048F" w:rsidP="007E048F">
      <w:pPr>
        <w:spacing w:before="120"/>
        <w:rPr>
          <w:sz w:val="20"/>
          <w:szCs w:val="20"/>
        </w:rPr>
      </w:pPr>
      <w:r w:rsidRPr="003320A3">
        <w:rPr>
          <w:sz w:val="20"/>
          <w:szCs w:val="20"/>
          <w:vertAlign w:val="superscript"/>
        </w:rPr>
        <w:footnoteRef/>
      </w:r>
      <w:r w:rsidRPr="003320A3">
        <w:rPr>
          <w:sz w:val="20"/>
          <w:szCs w:val="20"/>
        </w:rPr>
        <w:t xml:space="preserve"> ASHRAE Guideline 14-20</w:t>
      </w:r>
      <w:r w:rsidR="00B579B2">
        <w:rPr>
          <w:sz w:val="20"/>
          <w:szCs w:val="20"/>
        </w:rPr>
        <w:t>23</w:t>
      </w:r>
      <w:r w:rsidRPr="003320A3">
        <w:rPr>
          <w:sz w:val="20"/>
          <w:szCs w:val="20"/>
        </w:rPr>
        <w:t xml:space="preserve"> –Published guideline. Supersedes ASHRAE Guideline 14-20</w:t>
      </w:r>
      <w:r w:rsidR="00B579B2">
        <w:rPr>
          <w:sz w:val="20"/>
          <w:szCs w:val="20"/>
        </w:rPr>
        <w:t>14</w:t>
      </w:r>
      <w:r w:rsidRPr="003320A3">
        <w:rPr>
          <w:sz w:val="20"/>
          <w:szCs w:val="20"/>
        </w:rPr>
        <w:t xml:space="preserve">. Measurement of Energy, Demand and Water Savings </w:t>
      </w:r>
      <w:hyperlink r:id="rId4" w:history="1">
        <w:r w:rsidRPr="003320A3">
          <w:rPr>
            <w:rStyle w:val="Hyperlink"/>
            <w:sz w:val="20"/>
            <w:szCs w:val="20"/>
          </w:rPr>
          <w:t>https://www.ashrae.org/technical-resources/standards-and-guidelines/titles-purposes-and-scopes</w:t>
        </w:r>
      </w:hyperlink>
      <w:r w:rsidRPr="003320A3">
        <w:rPr>
          <w:rStyle w:val="Hyperlink"/>
          <w:sz w:val="20"/>
          <w:szCs w:val="20"/>
        </w:rPr>
        <w:t>.</w:t>
      </w:r>
    </w:p>
  </w:footnote>
  <w:footnote w:id="17">
    <w:p w14:paraId="79B95071" w14:textId="77777777" w:rsidR="007E048F" w:rsidRDefault="007E048F" w:rsidP="007E048F">
      <w:pPr>
        <w:pStyle w:val="FootnoteText"/>
      </w:pPr>
      <w:r>
        <w:rPr>
          <w:rStyle w:val="FootnoteReference"/>
        </w:rPr>
        <w:footnoteRef/>
      </w:r>
      <w:r>
        <w:t xml:space="preserve"> </w:t>
      </w:r>
      <w:r>
        <w:t xml:space="preserve">CalTRACK Methods </w:t>
      </w:r>
      <w:r w:rsidRPr="0011545A">
        <w:t>https://docs.caltrack.org/en/latest/methods.html</w:t>
      </w:r>
    </w:p>
  </w:footnote>
  <w:footnote w:id="18">
    <w:p w14:paraId="554FF656" w14:textId="77777777" w:rsidR="007E048F" w:rsidRPr="003320A3" w:rsidRDefault="007E048F" w:rsidP="007E048F">
      <w:pPr>
        <w:spacing w:before="120"/>
        <w:rPr>
          <w:rFonts w:eastAsia="Arial"/>
          <w:sz w:val="20"/>
          <w:szCs w:val="20"/>
        </w:rPr>
      </w:pPr>
      <w:r w:rsidRPr="003320A3">
        <w:rPr>
          <w:sz w:val="20"/>
          <w:szCs w:val="20"/>
          <w:vertAlign w:val="superscript"/>
        </w:rPr>
        <w:footnoteRef/>
      </w:r>
      <w:r w:rsidRPr="003320A3">
        <w:rPr>
          <w:rFonts w:eastAsia="Arial"/>
          <w:sz w:val="20"/>
          <w:szCs w:val="20"/>
        </w:rPr>
        <w:t xml:space="preserve"> </w:t>
      </w:r>
      <w:r w:rsidRPr="003320A3">
        <w:rPr>
          <w:sz w:val="20"/>
          <w:szCs w:val="20"/>
        </w:rPr>
        <w:t xml:space="preserve">International Performance Measurement &amp; Verification Protocol: Concepts and Options for Determining Energy and Water Savings, Volume I, Revised March 2002 DOE/GO-102002-1554, International Performance Measurement &amp; Verification Protocol Committee </w:t>
      </w:r>
      <w:hyperlink r:id="rId5" w:history="1">
        <w:r w:rsidRPr="003320A3">
          <w:rPr>
            <w:rStyle w:val="Hyperlink"/>
            <w:sz w:val="20"/>
            <w:szCs w:val="20"/>
          </w:rPr>
          <w:t>https://evo-world.org/en/products-services-mainmenu-en/protocols/ipmvp</w:t>
        </w:r>
      </w:hyperlink>
      <w:r w:rsidRPr="003320A3">
        <w:rPr>
          <w:rStyle w:val="Hyperlink"/>
          <w:sz w:val="20"/>
          <w:szCs w:val="20"/>
        </w:rPr>
        <w:t>.</w:t>
      </w:r>
    </w:p>
  </w:footnote>
  <w:footnote w:id="19">
    <w:p w14:paraId="70558342" w14:textId="77777777" w:rsidR="005C112E" w:rsidRPr="003320A3" w:rsidRDefault="005C112E" w:rsidP="005C112E">
      <w:pPr>
        <w:spacing w:before="120"/>
        <w:rPr>
          <w:sz w:val="20"/>
          <w:szCs w:val="20"/>
        </w:rPr>
      </w:pPr>
      <w:r w:rsidRPr="003320A3">
        <w:rPr>
          <w:sz w:val="20"/>
          <w:szCs w:val="20"/>
          <w:vertAlign w:val="superscript"/>
        </w:rPr>
        <w:footnoteRef/>
      </w:r>
      <w:r w:rsidRPr="003320A3">
        <w:rPr>
          <w:sz w:val="20"/>
          <w:szCs w:val="20"/>
        </w:rPr>
        <w:t xml:space="preserve"> </w:t>
      </w:r>
      <w:hyperlink r:id="rId6">
        <w:r w:rsidRPr="003320A3">
          <w:rPr>
            <w:sz w:val="20"/>
            <w:szCs w:val="20"/>
            <w:u w:val="single"/>
          </w:rPr>
          <w:t>http://docs.cpuc.ca.gov/publisheddocs/published/g000/m232/k459/232459122.pdf</w:t>
        </w:r>
      </w:hyperlink>
      <w:r w:rsidRPr="003320A3">
        <w:rPr>
          <w:sz w:val="20"/>
          <w:szCs w:val="20"/>
          <w:u w:val="single"/>
        </w:rPr>
        <w:t>.</w:t>
      </w:r>
    </w:p>
  </w:footnote>
  <w:footnote w:id="20">
    <w:p w14:paraId="6F5981A9" w14:textId="218F4AFE" w:rsidR="00D1729D" w:rsidRDefault="00D1729D">
      <w:pPr>
        <w:pStyle w:val="FootnoteText"/>
      </w:pPr>
      <w:r>
        <w:rPr>
          <w:rStyle w:val="FootnoteReference"/>
        </w:rPr>
        <w:footnoteRef/>
      </w:r>
      <w:r w:rsidR="00B270E3">
        <w:t xml:space="preserve"> </w:t>
      </w:r>
      <w:r w:rsidR="00CF0339">
        <w:t>ASHRAE Guideline 14-2023 available at</w:t>
      </w:r>
      <w:r>
        <w:t xml:space="preserve"> </w:t>
      </w:r>
      <w:hyperlink r:id="rId7" w:history="1">
        <w:r w:rsidRPr="002E693D">
          <w:rPr>
            <w:rStyle w:val="Hyperlink"/>
          </w:rPr>
          <w:t>https://webstore.ansi.org/standards/ashrae/ashraeguideline142023</w:t>
        </w:r>
      </w:hyperlink>
    </w:p>
  </w:footnote>
  <w:footnote w:id="21">
    <w:p w14:paraId="0495A6B1" w14:textId="37DAF7AD" w:rsidR="002E1185" w:rsidRDefault="002E1185" w:rsidP="009C7B6D">
      <w:r>
        <w:rPr>
          <w:rStyle w:val="FootnoteReference"/>
        </w:rPr>
        <w:footnoteRef/>
      </w:r>
      <w:r w:rsidR="00B270E3">
        <w:rPr>
          <w:sz w:val="20"/>
          <w:szCs w:val="20"/>
        </w:rPr>
        <w:t xml:space="preserve"> </w:t>
      </w:r>
      <w:r w:rsidRPr="00FD6193">
        <w:rPr>
          <w:sz w:val="20"/>
          <w:szCs w:val="20"/>
        </w:rPr>
        <w:t>E</w:t>
      </w:r>
      <w:r w:rsidR="00FD6193">
        <w:rPr>
          <w:sz w:val="20"/>
          <w:szCs w:val="20"/>
        </w:rPr>
        <w:t>E</w:t>
      </w:r>
      <w:r w:rsidRPr="00FD6193">
        <w:rPr>
          <w:sz w:val="20"/>
          <w:szCs w:val="20"/>
        </w:rPr>
        <w:t xml:space="preserve">meter is available at </w:t>
      </w:r>
      <w:hyperlink r:id="rId8" w:history="1">
        <w:r w:rsidRPr="00FD6193">
          <w:rPr>
            <w:rStyle w:val="Hyperlink"/>
            <w:sz w:val="20"/>
            <w:szCs w:val="20"/>
          </w:rPr>
          <w:t>https://github.com/openeemeter/eemeter</w:t>
        </w:r>
      </w:hyperlink>
      <w:r w:rsidRPr="00FD6193">
        <w:rPr>
          <w:sz w:val="20"/>
          <w:szCs w:val="20"/>
        </w:rPr>
        <w:t xml:space="preserve"> where methods are fully explained at </w:t>
      </w:r>
      <w:hyperlink r:id="rId9" w:history="1">
        <w:r w:rsidRPr="00FD6193">
          <w:rPr>
            <w:rStyle w:val="Hyperlink"/>
            <w:sz w:val="20"/>
            <w:szCs w:val="20"/>
          </w:rPr>
          <w:t>https://docs.caltrack.org/en/latest/methods.html</w:t>
        </w:r>
      </w:hyperlink>
    </w:p>
  </w:footnote>
  <w:footnote w:id="22">
    <w:p w14:paraId="66C4C437" w14:textId="11406122" w:rsidR="00117913" w:rsidRDefault="00117913">
      <w:pPr>
        <w:pStyle w:val="FootnoteText"/>
      </w:pPr>
      <w:r>
        <w:rPr>
          <w:rStyle w:val="FootnoteReference"/>
        </w:rPr>
        <w:footnoteRef/>
      </w:r>
      <w:r w:rsidR="00B270E3">
        <w:t xml:space="preserve"> </w:t>
      </w:r>
      <w:r>
        <w:t xml:space="preserve">XGBoost documentation available at </w:t>
      </w:r>
      <w:hyperlink r:id="rId10" w:history="1">
        <w:r w:rsidRPr="002E693D">
          <w:rPr>
            <w:rStyle w:val="Hyperlink"/>
          </w:rPr>
          <w:t>https://xgboost.readthedocs.io/en/stable/python/</w:t>
        </w:r>
      </w:hyperlink>
      <w:r>
        <w:t>.</w:t>
      </w:r>
    </w:p>
  </w:footnote>
  <w:footnote w:id="23">
    <w:p w14:paraId="07C10DB1" w14:textId="73E6E61E" w:rsidR="00FD6193" w:rsidRDefault="00451665">
      <w:pPr>
        <w:pStyle w:val="FootnoteText"/>
      </w:pPr>
      <w:r>
        <w:rPr>
          <w:rStyle w:val="FootnoteReference"/>
        </w:rPr>
        <w:footnoteRef/>
      </w:r>
      <w:r w:rsidR="00B270E3">
        <w:t xml:space="preserve"> </w:t>
      </w:r>
      <w:r>
        <w:t xml:space="preserve">EEweather documentation available at </w:t>
      </w:r>
      <w:r w:rsidRPr="00451665">
        <w:t>https://eeweather.readthedocs.io/en/latest/</w:t>
      </w:r>
    </w:p>
  </w:footnote>
  <w:footnote w:id="24">
    <w:p w14:paraId="4E18E0C1" w14:textId="0E36B63D" w:rsidR="00801EFA" w:rsidRDefault="00801EFA">
      <w:pPr>
        <w:pStyle w:val="FootnoteText"/>
      </w:pPr>
      <w:r>
        <w:rPr>
          <w:rStyle w:val="FootnoteReference"/>
        </w:rPr>
        <w:footnoteRef/>
      </w:r>
      <w:r w:rsidR="00B270E3">
        <w:t xml:space="preserve"> </w:t>
      </w:r>
      <w:r w:rsidRPr="00801EFA">
        <w:t>https://www.ncei.noaa.gov/cdo-web/</w:t>
      </w:r>
    </w:p>
  </w:footnote>
  <w:footnote w:id="25">
    <w:p w14:paraId="7526D8A8" w14:textId="37CBA95B" w:rsidR="00612C27" w:rsidRPr="00DE027E" w:rsidRDefault="00612C27" w:rsidP="00612C27">
      <w:pPr>
        <w:pStyle w:val="FootnoteText"/>
        <w:rPr>
          <w:lang w:val="fr-FR"/>
        </w:rPr>
      </w:pPr>
      <w:r w:rsidRPr="003320A3">
        <w:rPr>
          <w:rStyle w:val="FootnoteReference"/>
        </w:rPr>
        <w:footnoteRef/>
      </w:r>
      <w:r w:rsidRPr="003320A3">
        <w:t xml:space="preserve">U.S. Department of Energy, National Renewable Energy Laboratory, November 2017, </w:t>
      </w:r>
      <w:r w:rsidRPr="003320A3">
        <w:rPr>
          <w:i/>
          <w:iCs/>
        </w:rPr>
        <w:t>Whole-Building Retrofit with Consumption Data Analysis Evaluation Protocol</w:t>
      </w:r>
      <w:r w:rsidRPr="003320A3">
        <w:t xml:space="preserve">. The Uniform Methods Project: Methods for Determining Energy Efficiency Savings for Specific Measures. </w:t>
      </w:r>
      <w:r w:rsidRPr="00DE027E">
        <w:rPr>
          <w:lang w:val="fr-FR"/>
        </w:rPr>
        <w:t>Section 3.2.</w:t>
      </w:r>
    </w:p>
  </w:footnote>
  <w:footnote w:id="26">
    <w:p w14:paraId="6E529413" w14:textId="77777777" w:rsidR="00612C27" w:rsidRPr="00DE027E" w:rsidRDefault="00612C27" w:rsidP="00612C27">
      <w:pPr>
        <w:spacing w:before="120"/>
        <w:rPr>
          <w:rFonts w:eastAsia="Arial"/>
          <w:sz w:val="20"/>
          <w:szCs w:val="20"/>
          <w:lang w:val="fr-FR"/>
        </w:rPr>
      </w:pPr>
      <w:r w:rsidRPr="003320A3">
        <w:rPr>
          <w:rStyle w:val="FootnoteReference"/>
          <w:sz w:val="20"/>
          <w:szCs w:val="20"/>
        </w:rPr>
        <w:footnoteRef/>
      </w:r>
      <w:r w:rsidRPr="00DE027E">
        <w:rPr>
          <w:rFonts w:eastAsia="Arial"/>
          <w:sz w:val="20"/>
          <w:szCs w:val="20"/>
          <w:lang w:val="fr-FR"/>
        </w:rPr>
        <w:t xml:space="preserve"> </w:t>
      </w:r>
      <w:r w:rsidRPr="00DE027E">
        <w:rPr>
          <w:rFonts w:eastAsia="Arial"/>
          <w:sz w:val="20"/>
          <w:szCs w:val="20"/>
          <w:lang w:val="fr-FR"/>
        </w:rPr>
        <w:t xml:space="preserve">Source: </w:t>
      </w:r>
      <w:hyperlink r:id="rId11">
        <w:r w:rsidRPr="00DE027E">
          <w:rPr>
            <w:rFonts w:eastAsia="Arial"/>
            <w:sz w:val="20"/>
            <w:szCs w:val="20"/>
            <w:u w:val="single"/>
            <w:lang w:val="fr-FR"/>
          </w:rPr>
          <w:t xml:space="preserve">https://www.publichealth.columbia.edu/research/population-health-methods/difference-difference-estimation </w:t>
        </w:r>
      </w:hyperlink>
    </w:p>
  </w:footnote>
  <w:footnote w:id="27">
    <w:p w14:paraId="71077E3B" w14:textId="77777777" w:rsidR="00612C27" w:rsidRPr="003320A3" w:rsidRDefault="00612C27" w:rsidP="00612C27">
      <w:pPr>
        <w:spacing w:before="120"/>
        <w:rPr>
          <w:sz w:val="20"/>
          <w:szCs w:val="20"/>
        </w:rPr>
      </w:pPr>
      <w:r w:rsidRPr="003320A3">
        <w:rPr>
          <w:sz w:val="20"/>
          <w:szCs w:val="20"/>
          <w:vertAlign w:val="superscript"/>
        </w:rPr>
        <w:footnoteRef/>
      </w:r>
      <w:r w:rsidRPr="003320A3">
        <w:rPr>
          <w:rFonts w:eastAsia="Arial"/>
          <w:sz w:val="20"/>
          <w:szCs w:val="20"/>
        </w:rPr>
        <w:t xml:space="preserve"> "</w:t>
      </w:r>
      <w:r>
        <w:rPr>
          <w:sz w:val="20"/>
          <w:szCs w:val="20"/>
        </w:rPr>
        <w:t>A</w:t>
      </w:r>
      <w:r w:rsidRPr="003320A3">
        <w:rPr>
          <w:sz w:val="20"/>
          <w:szCs w:val="20"/>
        </w:rPr>
        <w:t>djusted gross" is, in this context, net of other activity on the grid, whereas the final "net" adjustment is considering free ridership alone.</w:t>
      </w:r>
    </w:p>
  </w:footnote>
  <w:footnote w:id="28">
    <w:p w14:paraId="5FD130EF" w14:textId="47C18E00" w:rsidR="001D308A" w:rsidRDefault="00F3112A">
      <w:pPr>
        <w:pStyle w:val="FootnoteText"/>
      </w:pPr>
      <w:r>
        <w:rPr>
          <w:rStyle w:val="FootnoteReference"/>
        </w:rPr>
        <w:footnoteRef/>
      </w:r>
      <w:r>
        <w:t xml:space="preserve"> Granular profiles are provided directly by PG&amp;E or available publicly at </w:t>
      </w:r>
      <w:r w:rsidR="001D308A" w:rsidRPr="001D308A">
        <w:t>https://www.calmac.org/customer_load_shapes_pge.asp</w:t>
      </w:r>
    </w:p>
  </w:footnote>
  <w:footnote w:id="29">
    <w:p w14:paraId="47829BD6" w14:textId="77777777" w:rsidR="00612C27" w:rsidRPr="003320A3" w:rsidRDefault="00612C27" w:rsidP="00612C27">
      <w:pPr>
        <w:pStyle w:val="FootnoteText"/>
      </w:pPr>
      <w:r w:rsidRPr="003320A3">
        <w:rPr>
          <w:rStyle w:val="FootnoteReference"/>
        </w:rPr>
        <w:footnoteRef/>
      </w:r>
      <w:r w:rsidRPr="003320A3">
        <w:t xml:space="preserve"> Granular profiles were tested using two groups of randomly selected Commercial PG&amp;E customers: one group that had recently participated in PG&amp;E’s energy efficiency programs, and another that had not. See: Population NMEC Control Group Accuracy Assessment (2/16/2022, Demand Side Analytics) available at </w:t>
      </w:r>
      <w:hyperlink r:id="rId12">
        <w:r w:rsidRPr="003320A3">
          <w:rPr>
            <w:u w:val="single"/>
          </w:rPr>
          <w:t>https://www.calmac.org/publications/PGE0476.01.pdf</w:t>
        </w:r>
      </w:hyperlink>
      <w:r w:rsidRPr="003320A3">
        <w:t xml:space="preserve">. </w:t>
      </w:r>
      <w:r w:rsidRPr="003320A3">
        <w:t>Subsequent to that research, new granular profiles were created to incorporate a broader set of Commercial customers.</w:t>
      </w:r>
    </w:p>
  </w:footnote>
  <w:footnote w:id="30">
    <w:p w14:paraId="78A14B10" w14:textId="77777777" w:rsidR="00612C27" w:rsidRPr="003320A3" w:rsidRDefault="00612C27" w:rsidP="00612C27">
      <w:pPr>
        <w:pStyle w:val="FootnoteText"/>
      </w:pPr>
      <w:r w:rsidRPr="003320A3">
        <w:rPr>
          <w:rStyle w:val="FootnoteReference"/>
        </w:rPr>
        <w:footnoteRef/>
      </w:r>
      <w:r w:rsidRPr="003320A3">
        <w:t xml:space="preserve"> </w:t>
      </w:r>
      <w:hyperlink r:id="rId13">
        <w:r w:rsidRPr="003320A3">
          <w:rPr>
            <w:u w:val="single"/>
          </w:rPr>
          <w:t>http://docs.cpuc.ca.gov/publisheddocs/published/g000/m232/k459/232459122.pdf</w:t>
        </w:r>
      </w:hyperlink>
      <w:r w:rsidRPr="003320A3">
        <w:rPr>
          <w:u w:val="single"/>
        </w:rPr>
        <w:t>.</w:t>
      </w:r>
    </w:p>
  </w:footnote>
  <w:footnote w:id="31">
    <w:p w14:paraId="0F3F8170" w14:textId="6A2AF3C2" w:rsidR="00A45578" w:rsidRDefault="00A45578" w:rsidP="00A45578">
      <w:pPr>
        <w:pStyle w:val="FootnoteText"/>
      </w:pPr>
      <w:r>
        <w:rPr>
          <w:rStyle w:val="FootnoteReference"/>
        </w:rPr>
        <w:footnoteRef/>
      </w:r>
      <w:r>
        <w:t xml:space="preserve"> Assessment of Energy Efficiency Potential and Goals and Modification of Portfolio Approval and Oversight Process (2021) Decision (D.) 21-05-031, p. 9.</w:t>
      </w:r>
    </w:p>
  </w:footnote>
  <w:footnote w:id="32">
    <w:p w14:paraId="6A72D35B" w14:textId="234F28CC" w:rsidR="00B42B49" w:rsidRDefault="00B42B49">
      <w:pPr>
        <w:pStyle w:val="FootnoteText"/>
      </w:pPr>
      <w:r>
        <w:rPr>
          <w:rStyle w:val="FootnoteReference"/>
        </w:rPr>
        <w:footnoteRef/>
      </w:r>
      <w:r>
        <w:t xml:space="preserve"> </w:t>
      </w:r>
      <w:r w:rsidR="00D6729A">
        <w:t>Increased supply costs are</w:t>
      </w:r>
      <w:r w:rsidR="00E21CAB">
        <w:t xml:space="preserve"> </w:t>
      </w:r>
      <w:r w:rsidR="00C32DF8">
        <w:t xml:space="preserve">typical for electrification projects </w:t>
      </w:r>
      <w:r w:rsidR="007B57D8">
        <w:t xml:space="preserve">and </w:t>
      </w:r>
      <w:r w:rsidR="006C6AD9">
        <w:t>not</w:t>
      </w:r>
      <w:r w:rsidR="007B57D8">
        <w:t xml:space="preserve"> </w:t>
      </w:r>
      <w:r w:rsidR="00512FBA">
        <w:t xml:space="preserve">included in Praxis’ TSB calculation. Increased energy </w:t>
      </w:r>
      <w:r w:rsidR="002C62E8">
        <w:t xml:space="preserve">as negative electric savings will be calculated </w:t>
      </w:r>
      <w:r w:rsidR="00675D69">
        <w:t>the same was positive</w:t>
      </w:r>
      <w:r w:rsidR="006C6AD9">
        <w:t xml:space="preserve"> </w:t>
      </w:r>
      <w:r w:rsidR="0013461B">
        <w:t xml:space="preserve">energy savings but have a negative TSB impact. </w:t>
      </w:r>
      <w:r w:rsidR="00675D69">
        <w:t xml:space="preserve"> </w:t>
      </w:r>
    </w:p>
  </w:footnote>
  <w:footnote w:id="33">
    <w:p w14:paraId="566A7C82" w14:textId="77777777" w:rsidR="00612C27" w:rsidRPr="003320A3" w:rsidRDefault="00612C27" w:rsidP="00612C27">
      <w:pPr>
        <w:pStyle w:val="FootnoteText"/>
      </w:pPr>
      <w:r w:rsidRPr="003320A3">
        <w:rPr>
          <w:rStyle w:val="FootnoteReference"/>
        </w:rPr>
        <w:footnoteRef/>
      </w:r>
      <w:r>
        <w:t xml:space="preserve"> D.21.05-031, May 20, 2021, p. 9.</w:t>
      </w:r>
    </w:p>
  </w:footnote>
  <w:footnote w:id="34">
    <w:p w14:paraId="77C81C5D" w14:textId="77777777" w:rsidR="00E771FD" w:rsidRPr="003320A3" w:rsidRDefault="00E771FD" w:rsidP="00E771FD">
      <w:pPr>
        <w:spacing w:before="120"/>
        <w:rPr>
          <w:sz w:val="20"/>
          <w:szCs w:val="20"/>
        </w:rPr>
      </w:pPr>
      <w:r w:rsidRPr="003320A3">
        <w:rPr>
          <w:sz w:val="20"/>
          <w:szCs w:val="20"/>
          <w:vertAlign w:val="superscript"/>
        </w:rPr>
        <w:footnoteRef/>
      </w:r>
      <w:r w:rsidRPr="003320A3">
        <w:rPr>
          <w:sz w:val="20"/>
          <w:szCs w:val="20"/>
        </w:rPr>
        <w:t xml:space="preserve"> Rolling Portfolio Program Guidance; Weighted Average Expected Useful Life/Net to Gross Method. Excel Spreadsheet titled “</w:t>
      </w:r>
      <w:r w:rsidRPr="003320A3">
        <w:rPr>
          <w:sz w:val="20"/>
          <w:szCs w:val="20"/>
        </w:rPr>
        <w:t xml:space="preserve">Combining_Measures_Claims-DRAFT”. The spreadsheet calculator has not been updated to reflect new DEER values so it can be used only with respect to the proposed method. </w:t>
      </w:r>
      <w:hyperlink r:id="rId14" w:history="1">
        <w:r w:rsidRPr="003320A3">
          <w:rPr>
            <w:rStyle w:val="Hyperlink"/>
            <w:rFonts w:eastAsia="Avenir"/>
            <w:sz w:val="20"/>
            <w:szCs w:val="20"/>
          </w:rPr>
          <w:t>https://www.cpuc.ca.gov/General.aspx?id=6442456320</w:t>
        </w:r>
      </w:hyperlink>
      <w:r w:rsidRPr="003320A3">
        <w:rPr>
          <w:rStyle w:val="Hyperlink"/>
          <w:rFonts w:eastAsia="Avenir"/>
          <w:sz w:val="20"/>
          <w:szCs w:val="20"/>
        </w:rPr>
        <w:t>.</w:t>
      </w:r>
    </w:p>
  </w:footnote>
  <w:footnote w:id="35">
    <w:p w14:paraId="34F0F502" w14:textId="7C7C77AC" w:rsidR="0018049C" w:rsidRDefault="0018049C">
      <w:pPr>
        <w:pStyle w:val="FootnoteText"/>
      </w:pPr>
      <w:r>
        <w:rPr>
          <w:rStyle w:val="FootnoteReference"/>
        </w:rPr>
        <w:footnoteRef/>
      </w:r>
      <w:r>
        <w:t xml:space="preserve"> </w:t>
      </w:r>
      <w:r w:rsidR="00676759">
        <w:t xml:space="preserve">“2 = </w:t>
      </w:r>
      <w:r w:rsidR="00DB406C">
        <w:t>Commercial</w:t>
      </w:r>
      <w:r w:rsidR="00676759">
        <w:t xml:space="preserve"> Outdoor Lighting” is a time-of-use load</w:t>
      </w:r>
      <w:r w:rsidR="00DB406C">
        <w:t xml:space="preserve"> </w:t>
      </w:r>
      <w:r w:rsidR="00676759">
        <w:t>shape</w:t>
      </w:r>
      <w:r w:rsidR="00330D1A">
        <w:t xml:space="preserve"> and for the purpose of this program has</w:t>
      </w:r>
      <w:r w:rsidR="00676759">
        <w:t xml:space="preserve"> been converte</w:t>
      </w:r>
      <w:r w:rsidR="00A7146A">
        <w:t xml:space="preserve">r </w:t>
      </w:r>
      <w:r w:rsidR="000A42E9">
        <w:t>to hourly and adjusted to produce TSB</w:t>
      </w:r>
      <w:r w:rsidR="00DB406C">
        <w:t xml:space="preserve"> </w:t>
      </w:r>
      <w:r w:rsidR="00DB406C">
        <w:t xml:space="preserve">similar to the CET calculation. </w:t>
      </w:r>
    </w:p>
  </w:footnote>
  <w:footnote w:id="36">
    <w:p w14:paraId="6896FFAD" w14:textId="77777777" w:rsidR="00612C27" w:rsidRPr="003320A3" w:rsidRDefault="00612C27" w:rsidP="00612C27">
      <w:pPr>
        <w:spacing w:before="120"/>
        <w:rPr>
          <w:sz w:val="20"/>
          <w:szCs w:val="20"/>
        </w:rPr>
      </w:pPr>
      <w:r w:rsidRPr="003320A3">
        <w:rPr>
          <w:sz w:val="20"/>
          <w:szCs w:val="20"/>
          <w:vertAlign w:val="superscript"/>
        </w:rPr>
        <w:footnoteRef/>
      </w:r>
      <w:r w:rsidRPr="003320A3">
        <w:rPr>
          <w:sz w:val="20"/>
          <w:szCs w:val="20"/>
        </w:rPr>
        <w:t xml:space="preserve"> https://www.caetrm.com/media/reference-documents/CPUC_Resolution_E-4807_December_2016.PDF</w:t>
      </w:r>
    </w:p>
  </w:footnote>
  <w:footnote w:id="37">
    <w:p w14:paraId="03DB8A36" w14:textId="77777777" w:rsidR="00612C27" w:rsidRPr="003320A3" w:rsidRDefault="00612C27" w:rsidP="00612C27">
      <w:pPr>
        <w:spacing w:before="120"/>
        <w:rPr>
          <w:sz w:val="20"/>
          <w:szCs w:val="20"/>
        </w:rPr>
      </w:pPr>
      <w:r w:rsidRPr="003320A3">
        <w:rPr>
          <w:sz w:val="20"/>
          <w:szCs w:val="20"/>
          <w:vertAlign w:val="superscript"/>
        </w:rPr>
        <w:footnoteRef/>
      </w:r>
      <w:r w:rsidRPr="003320A3">
        <w:rPr>
          <w:sz w:val="20"/>
          <w:szCs w:val="20"/>
        </w:rPr>
        <w:t>https://www.cpuc.ca.gov/-/media/cpuc-website/files/legacyfiles/e/6442465683-eepolicymanualrevised-march-20-2020-b.pdf.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099B" w14:textId="67D87CA5" w:rsidR="00D56616" w:rsidRDefault="00D56616">
    <w:pPr>
      <w:pStyle w:val="Header"/>
    </w:pPr>
    <w:r>
      <w:rPr>
        <w:noProof/>
      </w:rPr>
      <w:pict w14:anchorId="0AF15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446391"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B1E85E" w14:paraId="2A453947" w14:textId="77777777" w:rsidTr="00017B63">
      <w:trPr>
        <w:trHeight w:val="300"/>
      </w:trPr>
      <w:tc>
        <w:tcPr>
          <w:tcW w:w="3120" w:type="dxa"/>
        </w:tcPr>
        <w:p w14:paraId="62E066BD" w14:textId="61BA1252" w:rsidR="62B1E85E" w:rsidRDefault="62B1E85E" w:rsidP="00017B63">
          <w:pPr>
            <w:pStyle w:val="Header"/>
            <w:ind w:left="-115"/>
          </w:pPr>
        </w:p>
      </w:tc>
      <w:tc>
        <w:tcPr>
          <w:tcW w:w="3120" w:type="dxa"/>
        </w:tcPr>
        <w:p w14:paraId="2620403A" w14:textId="3288579F" w:rsidR="62B1E85E" w:rsidRDefault="62B1E85E" w:rsidP="00017B63">
          <w:pPr>
            <w:pStyle w:val="Header"/>
            <w:jc w:val="center"/>
          </w:pPr>
        </w:p>
      </w:tc>
      <w:tc>
        <w:tcPr>
          <w:tcW w:w="3120" w:type="dxa"/>
        </w:tcPr>
        <w:p w14:paraId="73FB0A0C" w14:textId="25D08726" w:rsidR="62B1E85E" w:rsidRDefault="62B1E85E" w:rsidP="00017B63">
          <w:pPr>
            <w:pStyle w:val="Header"/>
            <w:ind w:right="-115"/>
            <w:jc w:val="right"/>
          </w:pPr>
        </w:p>
      </w:tc>
    </w:tr>
  </w:tbl>
  <w:p w14:paraId="0CB498A4" w14:textId="0BFB6CA9" w:rsidR="62B1E85E" w:rsidRDefault="00D56616" w:rsidP="00017B63">
    <w:pPr>
      <w:pStyle w:val="Header"/>
    </w:pPr>
    <w:r>
      <w:rPr>
        <w:noProof/>
      </w:rPr>
      <w:pict w14:anchorId="51823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446392"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F93E" w14:textId="4B0858C9" w:rsidR="00D56616" w:rsidRDefault="00D56616">
    <w:pPr>
      <w:pStyle w:val="Header"/>
    </w:pPr>
    <w:r>
      <w:rPr>
        <w:noProof/>
      </w:rPr>
      <w:pict w14:anchorId="1A76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446390"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008"/>
    <w:multiLevelType w:val="hybridMultilevel"/>
    <w:tmpl w:val="8F7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5D7A"/>
    <w:multiLevelType w:val="hybridMultilevel"/>
    <w:tmpl w:val="1144B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A70AB"/>
    <w:multiLevelType w:val="hybridMultilevel"/>
    <w:tmpl w:val="25CC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53D3A"/>
    <w:multiLevelType w:val="hybridMultilevel"/>
    <w:tmpl w:val="1CB8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93C"/>
    <w:multiLevelType w:val="hybridMultilevel"/>
    <w:tmpl w:val="E71CD788"/>
    <w:lvl w:ilvl="0" w:tplc="98B49C50">
      <w:start w:val="1"/>
      <w:numFmt w:val="bullet"/>
      <w:pStyle w:val="AESCBullets"/>
      <w:lvlText w:val=""/>
      <w:lvlJc w:val="left"/>
      <w:pPr>
        <w:ind w:left="1080" w:hanging="360"/>
      </w:pPr>
      <w:rPr>
        <w:rFonts w:ascii="Symbol" w:hAnsi="Symbol" w:hint="default"/>
        <w:color w:val="4DA79E"/>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E9E6940"/>
    <w:multiLevelType w:val="hybridMultilevel"/>
    <w:tmpl w:val="434E84CE"/>
    <w:lvl w:ilvl="0" w:tplc="0EE023E4">
      <w:start w:val="2"/>
      <w:numFmt w:val="bullet"/>
      <w:lvlText w:val=""/>
      <w:lvlJc w:val="left"/>
      <w:pPr>
        <w:ind w:left="792" w:hanging="360"/>
      </w:pPr>
      <w:rPr>
        <w:rFonts w:ascii="Symbol" w:eastAsiaTheme="minorHAnsi" w:hAnsi="Symbol" w:cstheme="minorBidi" w:hint="default"/>
        <w:color w:val="auto"/>
      </w:rPr>
    </w:lvl>
    <w:lvl w:ilvl="1" w:tplc="446EAD94">
      <w:start w:val="1"/>
      <w:numFmt w:val="bullet"/>
      <w:lvlText w:val="o"/>
      <w:lvlJc w:val="left"/>
      <w:pPr>
        <w:ind w:left="1512" w:hanging="360"/>
      </w:pPr>
      <w:rPr>
        <w:rFonts w:ascii="Courier New" w:hAnsi="Courier New" w:cs="Courier New" w:hint="default"/>
        <w:color w:val="auto"/>
      </w:rPr>
    </w:lvl>
    <w:lvl w:ilvl="2" w:tplc="E57454CC">
      <w:start w:val="1"/>
      <w:numFmt w:val="bullet"/>
      <w:lvlText w:val=""/>
      <w:lvlJc w:val="left"/>
      <w:pPr>
        <w:ind w:left="2232" w:hanging="360"/>
      </w:pPr>
      <w:rPr>
        <w:rFonts w:ascii="Wingdings" w:hAnsi="Wingdings" w:hint="default"/>
        <w:color w:val="auto"/>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D24F06"/>
    <w:multiLevelType w:val="hybridMultilevel"/>
    <w:tmpl w:val="A3163528"/>
    <w:lvl w:ilvl="0" w:tplc="04090003">
      <w:start w:val="1"/>
      <w:numFmt w:val="bullet"/>
      <w:lvlText w:val="o"/>
      <w:lvlJc w:val="left"/>
      <w:pPr>
        <w:ind w:left="1080" w:hanging="360"/>
      </w:pPr>
      <w:rPr>
        <w:rFonts w:ascii="Courier New" w:hAnsi="Courier New" w:cs="Courier New" w:hint="default"/>
        <w:color w:val="4DA79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2835116"/>
    <w:multiLevelType w:val="hybridMultilevel"/>
    <w:tmpl w:val="90548C58"/>
    <w:lvl w:ilvl="0" w:tplc="7534A89E">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530FF"/>
    <w:multiLevelType w:val="hybridMultilevel"/>
    <w:tmpl w:val="B614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07192"/>
    <w:multiLevelType w:val="hybridMultilevel"/>
    <w:tmpl w:val="244610FA"/>
    <w:lvl w:ilvl="0" w:tplc="E1C03F00">
      <w:start w:val="1"/>
      <w:numFmt w:val="bullet"/>
      <w:lvlText w:val="•"/>
      <w:lvlJc w:val="left"/>
      <w:pPr>
        <w:ind w:left="720" w:hanging="360"/>
      </w:pPr>
      <w:rPr>
        <w:rFonts w:ascii="Calibri" w:hAnsi="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D4C78"/>
    <w:multiLevelType w:val="multilevel"/>
    <w:tmpl w:val="CE0AF188"/>
    <w:lvl w:ilvl="0">
      <w:start w:val="1"/>
      <w:numFmt w:val="decimal"/>
      <w:lvlText w:val="%1."/>
      <w:lvlJc w:val="left"/>
      <w:pPr>
        <w:ind w:left="720" w:hanging="360"/>
      </w:pPr>
      <w:rPr>
        <w:b/>
        <w:bCs/>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77D42D2"/>
    <w:multiLevelType w:val="hybridMultilevel"/>
    <w:tmpl w:val="6616F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C2B43"/>
    <w:multiLevelType w:val="hybridMultilevel"/>
    <w:tmpl w:val="574C66C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71624742">
      <w:start w:val="1"/>
      <w:numFmt w:val="bullet"/>
      <w:lvlText w:val="-"/>
      <w:lvlJc w:val="left"/>
      <w:pPr>
        <w:ind w:left="360" w:hanging="360"/>
      </w:pPr>
      <w:rPr>
        <w:rFonts w:ascii="Calibri" w:hAnsi="Calibri" w:cs="Times New Roman" w:hint="default"/>
      </w:rPr>
    </w:lvl>
    <w:lvl w:ilvl="7" w:tplc="FFFFFFFF">
      <w:numFmt w:val="decimal"/>
      <w:lvlText w:val=""/>
      <w:lvlJc w:val="left"/>
    </w:lvl>
    <w:lvl w:ilvl="8" w:tplc="FFFFFFFF">
      <w:numFmt w:val="decimal"/>
      <w:lvlText w:val=""/>
      <w:lvlJc w:val="left"/>
    </w:lvl>
  </w:abstractNum>
  <w:abstractNum w:abstractNumId="13" w15:restartNumberingAfterBreak="0">
    <w:nsid w:val="19CA07A9"/>
    <w:multiLevelType w:val="hybridMultilevel"/>
    <w:tmpl w:val="764CE2BA"/>
    <w:lvl w:ilvl="0" w:tplc="9A96DD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F257A"/>
    <w:multiLevelType w:val="hybridMultilevel"/>
    <w:tmpl w:val="D7C2EA4C"/>
    <w:lvl w:ilvl="0" w:tplc="7626FA7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C488D3E">
      <w:start w:val="1"/>
      <w:numFmt w:val="bullet"/>
      <w:lvlText w:val=""/>
      <w:lvlJc w:val="left"/>
      <w:pPr>
        <w:ind w:left="2160" w:hanging="360"/>
      </w:pPr>
      <w:rPr>
        <w:rFonts w:ascii="Wingdings" w:hAnsi="Wingdings" w:hint="default"/>
      </w:rPr>
    </w:lvl>
    <w:lvl w:ilvl="3" w:tplc="0D7473C0">
      <w:start w:val="1"/>
      <w:numFmt w:val="bullet"/>
      <w:lvlText w:val=""/>
      <w:lvlJc w:val="left"/>
      <w:pPr>
        <w:ind w:left="2880" w:hanging="360"/>
      </w:pPr>
      <w:rPr>
        <w:rFonts w:ascii="Symbol" w:hAnsi="Symbol" w:hint="default"/>
      </w:rPr>
    </w:lvl>
    <w:lvl w:ilvl="4" w:tplc="086A499E" w:tentative="1">
      <w:start w:val="1"/>
      <w:numFmt w:val="bullet"/>
      <w:lvlText w:val="o"/>
      <w:lvlJc w:val="left"/>
      <w:pPr>
        <w:ind w:left="3600" w:hanging="360"/>
      </w:pPr>
      <w:rPr>
        <w:rFonts w:ascii="Courier New" w:hAnsi="Courier New" w:cs="Courier New" w:hint="default"/>
      </w:rPr>
    </w:lvl>
    <w:lvl w:ilvl="5" w:tplc="8BA6D08A" w:tentative="1">
      <w:start w:val="1"/>
      <w:numFmt w:val="bullet"/>
      <w:lvlText w:val=""/>
      <w:lvlJc w:val="left"/>
      <w:pPr>
        <w:ind w:left="4320" w:hanging="360"/>
      </w:pPr>
      <w:rPr>
        <w:rFonts w:ascii="Wingdings" w:hAnsi="Wingdings" w:hint="default"/>
      </w:rPr>
    </w:lvl>
    <w:lvl w:ilvl="6" w:tplc="E994589E" w:tentative="1">
      <w:start w:val="1"/>
      <w:numFmt w:val="bullet"/>
      <w:lvlText w:val=""/>
      <w:lvlJc w:val="left"/>
      <w:pPr>
        <w:ind w:left="5040" w:hanging="360"/>
      </w:pPr>
      <w:rPr>
        <w:rFonts w:ascii="Symbol" w:hAnsi="Symbol" w:hint="default"/>
      </w:rPr>
    </w:lvl>
    <w:lvl w:ilvl="7" w:tplc="0B005852" w:tentative="1">
      <w:start w:val="1"/>
      <w:numFmt w:val="bullet"/>
      <w:lvlText w:val="o"/>
      <w:lvlJc w:val="left"/>
      <w:pPr>
        <w:ind w:left="5760" w:hanging="360"/>
      </w:pPr>
      <w:rPr>
        <w:rFonts w:ascii="Courier New" w:hAnsi="Courier New" w:cs="Courier New" w:hint="default"/>
      </w:rPr>
    </w:lvl>
    <w:lvl w:ilvl="8" w:tplc="B2E2146C" w:tentative="1">
      <w:start w:val="1"/>
      <w:numFmt w:val="bullet"/>
      <w:lvlText w:val=""/>
      <w:lvlJc w:val="left"/>
      <w:pPr>
        <w:ind w:left="6480" w:hanging="360"/>
      </w:pPr>
      <w:rPr>
        <w:rFonts w:ascii="Wingdings" w:hAnsi="Wingdings" w:hint="default"/>
      </w:rPr>
    </w:lvl>
  </w:abstractNum>
  <w:abstractNum w:abstractNumId="15" w15:restartNumberingAfterBreak="0">
    <w:nsid w:val="1B542D2F"/>
    <w:multiLevelType w:val="hybridMultilevel"/>
    <w:tmpl w:val="F2B82A06"/>
    <w:lvl w:ilvl="0" w:tplc="FFFFFFFF">
      <w:start w:val="1"/>
      <w:numFmt w:val="decimal"/>
      <w:lvlText w:val="%1."/>
      <w:lvlJc w:val="left"/>
      <w:pPr>
        <w:ind w:left="108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C907B29"/>
    <w:multiLevelType w:val="hybridMultilevel"/>
    <w:tmpl w:val="3B3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D41C6"/>
    <w:multiLevelType w:val="multilevel"/>
    <w:tmpl w:val="0EE4AFE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EE023CA"/>
    <w:multiLevelType w:val="multilevel"/>
    <w:tmpl w:val="8C6688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1F3029E0"/>
    <w:multiLevelType w:val="hybridMultilevel"/>
    <w:tmpl w:val="9620AEE4"/>
    <w:lvl w:ilvl="0" w:tplc="7AC079E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A649A"/>
    <w:multiLevelType w:val="hybridMultilevel"/>
    <w:tmpl w:val="4872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FE09D6"/>
    <w:multiLevelType w:val="hybridMultilevel"/>
    <w:tmpl w:val="19F8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7F2BDF"/>
    <w:multiLevelType w:val="hybridMultilevel"/>
    <w:tmpl w:val="6492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33389"/>
    <w:multiLevelType w:val="hybridMultilevel"/>
    <w:tmpl w:val="736C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A12136"/>
    <w:multiLevelType w:val="hybridMultilevel"/>
    <w:tmpl w:val="739A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47C1F"/>
    <w:multiLevelType w:val="hybridMultilevel"/>
    <w:tmpl w:val="F39C502A"/>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26A67696"/>
    <w:multiLevelType w:val="hybridMultilevel"/>
    <w:tmpl w:val="D398FFF2"/>
    <w:lvl w:ilvl="0" w:tplc="D380946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7" w15:restartNumberingAfterBreak="0">
    <w:nsid w:val="27C1522A"/>
    <w:multiLevelType w:val="hybridMultilevel"/>
    <w:tmpl w:val="9684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503A99"/>
    <w:multiLevelType w:val="hybridMultilevel"/>
    <w:tmpl w:val="80A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440A1"/>
    <w:multiLevelType w:val="hybridMultilevel"/>
    <w:tmpl w:val="6DF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AE4C39"/>
    <w:multiLevelType w:val="hybridMultilevel"/>
    <w:tmpl w:val="D1A44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D5008"/>
    <w:multiLevelType w:val="hybridMultilevel"/>
    <w:tmpl w:val="FC1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00BAF"/>
    <w:multiLevelType w:val="hybridMultilevel"/>
    <w:tmpl w:val="BAA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8D18D3"/>
    <w:multiLevelType w:val="hybridMultilevel"/>
    <w:tmpl w:val="3170236C"/>
    <w:lvl w:ilvl="0" w:tplc="C5A00150">
      <w:start w:val="1"/>
      <w:numFmt w:val="bullet"/>
      <w:lvlText w:val=""/>
      <w:lvlJc w:val="left"/>
      <w:pPr>
        <w:ind w:left="720" w:hanging="360"/>
      </w:pPr>
      <w:rPr>
        <w:rFonts w:ascii="Symbol" w:hAnsi="Symbol" w:hint="default"/>
        <w:color w:val="4DA79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63C81"/>
    <w:multiLevelType w:val="hybridMultilevel"/>
    <w:tmpl w:val="8870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B96759"/>
    <w:multiLevelType w:val="hybridMultilevel"/>
    <w:tmpl w:val="04B6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5F1F8B"/>
    <w:multiLevelType w:val="hybridMultilevel"/>
    <w:tmpl w:val="3F842316"/>
    <w:lvl w:ilvl="0" w:tplc="6B16B774">
      <w:start w:val="1"/>
      <w:numFmt w:val="lowerLetter"/>
      <w:lvlText w:val="%1."/>
      <w:lvlJc w:val="left"/>
      <w:pPr>
        <w:ind w:left="108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ECE49F1"/>
    <w:multiLevelType w:val="hybridMultilevel"/>
    <w:tmpl w:val="E2BA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1F71FD"/>
    <w:multiLevelType w:val="hybridMultilevel"/>
    <w:tmpl w:val="B4E666D4"/>
    <w:lvl w:ilvl="0" w:tplc="790AEC9E">
      <w:start w:val="1"/>
      <w:numFmt w:val="bullet"/>
      <w:lvlText w:val=""/>
      <w:lvlJc w:val="left"/>
      <w:pPr>
        <w:ind w:left="1440" w:hanging="360"/>
      </w:pPr>
      <w:rPr>
        <w:rFonts w:ascii="Symbol" w:hAnsi="Symbol" w:hint="default"/>
        <w:color w:val="00808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FFE64D7"/>
    <w:multiLevelType w:val="hybridMultilevel"/>
    <w:tmpl w:val="9CEA6B34"/>
    <w:lvl w:ilvl="0" w:tplc="7E6C7654">
      <w:start w:val="1"/>
      <w:numFmt w:val="bullet"/>
      <w:lvlText w:val=""/>
      <w:lvlJc w:val="left"/>
      <w:pPr>
        <w:ind w:left="360" w:hanging="360"/>
      </w:pPr>
      <w:rPr>
        <w:rFonts w:ascii="Symbol" w:hAnsi="Symbol" w:hint="default"/>
        <w:color w:val="00808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07B2B32"/>
    <w:multiLevelType w:val="hybridMultilevel"/>
    <w:tmpl w:val="8F2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76B0D"/>
    <w:multiLevelType w:val="hybridMultilevel"/>
    <w:tmpl w:val="23FC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F81320"/>
    <w:multiLevelType w:val="multilevel"/>
    <w:tmpl w:val="D9D68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033D07"/>
    <w:multiLevelType w:val="hybridMultilevel"/>
    <w:tmpl w:val="11E4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667487"/>
    <w:multiLevelType w:val="multilevel"/>
    <w:tmpl w:val="65C2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34D800B2"/>
    <w:multiLevelType w:val="multilevel"/>
    <w:tmpl w:val="26389A88"/>
    <w:lvl w:ilvl="0">
      <w:start w:val="1"/>
      <w:numFmt w:val="decimal"/>
      <w:pStyle w:val="Heading1"/>
      <w:lvlText w:val="%1"/>
      <w:lvlJc w:val="left"/>
      <w:pPr>
        <w:ind w:left="432" w:hanging="432"/>
      </w:pPr>
    </w:lvl>
    <w:lvl w:ilvl="1">
      <w:start w:val="1"/>
      <w:numFmt w:val="decimal"/>
      <w:pStyle w:val="Heading2"/>
      <w:lvlText w:val="%1.%2"/>
      <w:lvlJc w:val="left"/>
      <w:pPr>
        <w:ind w:left="16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373700EA"/>
    <w:multiLevelType w:val="hybridMultilevel"/>
    <w:tmpl w:val="968E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6D16A2"/>
    <w:multiLevelType w:val="hybridMultilevel"/>
    <w:tmpl w:val="B23896D2"/>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71624742">
      <w:start w:val="1"/>
      <w:numFmt w:val="bullet"/>
      <w:lvlText w:val="-"/>
      <w:lvlJc w:val="left"/>
      <w:pPr>
        <w:ind w:left="360" w:hanging="360"/>
      </w:pPr>
      <w:rPr>
        <w:rFonts w:ascii="Calibri" w:hAnsi="Calibri" w:cs="Times New Roman"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77834CA"/>
    <w:multiLevelType w:val="hybridMultilevel"/>
    <w:tmpl w:val="BDE81798"/>
    <w:lvl w:ilvl="0" w:tplc="7E6C7654">
      <w:start w:val="1"/>
      <w:numFmt w:val="bullet"/>
      <w:lvlText w:val=""/>
      <w:lvlJc w:val="left"/>
      <w:pPr>
        <w:ind w:left="360" w:hanging="360"/>
      </w:pPr>
      <w:rPr>
        <w:rFonts w:ascii="Symbol" w:hAnsi="Symbol" w:hint="default"/>
        <w:color w:val="00808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8EA1A3E"/>
    <w:multiLevelType w:val="hybridMultilevel"/>
    <w:tmpl w:val="5492F3DE"/>
    <w:lvl w:ilvl="0" w:tplc="3F0409A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39844875"/>
    <w:multiLevelType w:val="hybridMultilevel"/>
    <w:tmpl w:val="D4FE9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CFA0BB4"/>
    <w:multiLevelType w:val="hybridMultilevel"/>
    <w:tmpl w:val="322C0BB6"/>
    <w:lvl w:ilvl="0" w:tplc="C5A00150">
      <w:start w:val="1"/>
      <w:numFmt w:val="bullet"/>
      <w:lvlText w:val=""/>
      <w:lvlJc w:val="left"/>
      <w:pPr>
        <w:ind w:left="720" w:hanging="360"/>
      </w:pPr>
      <w:rPr>
        <w:rFonts w:ascii="Symbol" w:hAnsi="Symbol" w:hint="default"/>
        <w:color w:val="4DA7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D87209E"/>
    <w:multiLevelType w:val="multilevel"/>
    <w:tmpl w:val="7D5E11B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3" w15:restartNumberingAfterBreak="0">
    <w:nsid w:val="3F94608A"/>
    <w:multiLevelType w:val="hybridMultilevel"/>
    <w:tmpl w:val="D36A071E"/>
    <w:lvl w:ilvl="0" w:tplc="FFFFFFFF">
      <w:numFmt w:val="decimal"/>
      <w:lvlText w:val=""/>
      <w:lvlJc w:val="left"/>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71624742">
      <w:start w:val="1"/>
      <w:numFmt w:val="bullet"/>
      <w:lvlText w:val="-"/>
      <w:lvlJc w:val="left"/>
      <w:pPr>
        <w:ind w:left="360" w:hanging="360"/>
      </w:pPr>
      <w:rPr>
        <w:rFonts w:ascii="Calibri" w:hAnsi="Calibri" w:cs="Times New Roman"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00833CA"/>
    <w:multiLevelType w:val="hybridMultilevel"/>
    <w:tmpl w:val="00A89824"/>
    <w:lvl w:ilvl="0" w:tplc="C5A00150">
      <w:start w:val="1"/>
      <w:numFmt w:val="bullet"/>
      <w:lvlText w:val=""/>
      <w:lvlJc w:val="left"/>
      <w:pPr>
        <w:ind w:left="720" w:hanging="360"/>
      </w:pPr>
      <w:rPr>
        <w:rFonts w:ascii="Symbol" w:hAnsi="Symbol" w:hint="default"/>
        <w:color w:val="4DA79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03A374D"/>
    <w:multiLevelType w:val="hybridMultilevel"/>
    <w:tmpl w:val="A79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D9602D"/>
    <w:multiLevelType w:val="hybridMultilevel"/>
    <w:tmpl w:val="F03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882044"/>
    <w:multiLevelType w:val="multilevel"/>
    <w:tmpl w:val="0E5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3C9257D"/>
    <w:multiLevelType w:val="hybridMultilevel"/>
    <w:tmpl w:val="C7221B8C"/>
    <w:lvl w:ilvl="0" w:tplc="1EA62490">
      <w:start w:val="1"/>
      <w:numFmt w:val="decimal"/>
      <w:lvlText w:val="%1."/>
      <w:lvlJc w:val="left"/>
      <w:pPr>
        <w:ind w:left="1020" w:hanging="360"/>
      </w:pPr>
    </w:lvl>
    <w:lvl w:ilvl="1" w:tplc="2B1E98C4">
      <w:start w:val="1"/>
      <w:numFmt w:val="decimal"/>
      <w:lvlText w:val="%2."/>
      <w:lvlJc w:val="left"/>
      <w:pPr>
        <w:ind w:left="1020" w:hanging="360"/>
      </w:pPr>
    </w:lvl>
    <w:lvl w:ilvl="2" w:tplc="198C976C">
      <w:start w:val="1"/>
      <w:numFmt w:val="decimal"/>
      <w:lvlText w:val="%3."/>
      <w:lvlJc w:val="left"/>
      <w:pPr>
        <w:ind w:left="1020" w:hanging="360"/>
      </w:pPr>
    </w:lvl>
    <w:lvl w:ilvl="3" w:tplc="A372F9D0">
      <w:start w:val="1"/>
      <w:numFmt w:val="decimal"/>
      <w:lvlText w:val="%4."/>
      <w:lvlJc w:val="left"/>
      <w:pPr>
        <w:ind w:left="1020" w:hanging="360"/>
      </w:pPr>
    </w:lvl>
    <w:lvl w:ilvl="4" w:tplc="32ECE16C">
      <w:start w:val="1"/>
      <w:numFmt w:val="decimal"/>
      <w:lvlText w:val="%5."/>
      <w:lvlJc w:val="left"/>
      <w:pPr>
        <w:ind w:left="1020" w:hanging="360"/>
      </w:pPr>
    </w:lvl>
    <w:lvl w:ilvl="5" w:tplc="9800E58E">
      <w:start w:val="1"/>
      <w:numFmt w:val="decimal"/>
      <w:lvlText w:val="%6."/>
      <w:lvlJc w:val="left"/>
      <w:pPr>
        <w:ind w:left="1020" w:hanging="360"/>
      </w:pPr>
    </w:lvl>
    <w:lvl w:ilvl="6" w:tplc="3B84B7F6">
      <w:start w:val="1"/>
      <w:numFmt w:val="decimal"/>
      <w:lvlText w:val="%7."/>
      <w:lvlJc w:val="left"/>
      <w:pPr>
        <w:ind w:left="1020" w:hanging="360"/>
      </w:pPr>
    </w:lvl>
    <w:lvl w:ilvl="7" w:tplc="C8E8EBA6">
      <w:start w:val="1"/>
      <w:numFmt w:val="decimal"/>
      <w:lvlText w:val="%8."/>
      <w:lvlJc w:val="left"/>
      <w:pPr>
        <w:ind w:left="1020" w:hanging="360"/>
      </w:pPr>
    </w:lvl>
    <w:lvl w:ilvl="8" w:tplc="F392DBFE">
      <w:start w:val="1"/>
      <w:numFmt w:val="decimal"/>
      <w:lvlText w:val="%9."/>
      <w:lvlJc w:val="left"/>
      <w:pPr>
        <w:ind w:left="1020" w:hanging="360"/>
      </w:pPr>
    </w:lvl>
  </w:abstractNum>
  <w:abstractNum w:abstractNumId="59" w15:restartNumberingAfterBreak="0">
    <w:nsid w:val="480472C9"/>
    <w:multiLevelType w:val="hybridMultilevel"/>
    <w:tmpl w:val="9FEC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4656EC"/>
    <w:multiLevelType w:val="hybridMultilevel"/>
    <w:tmpl w:val="A3C8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1B23B7"/>
    <w:multiLevelType w:val="hybridMultilevel"/>
    <w:tmpl w:val="DC40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8C0CE6"/>
    <w:multiLevelType w:val="hybridMultilevel"/>
    <w:tmpl w:val="107A5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E32C93"/>
    <w:multiLevelType w:val="hybridMultilevel"/>
    <w:tmpl w:val="F6968DB0"/>
    <w:lvl w:ilvl="0" w:tplc="1C622EF6">
      <w:start w:val="1"/>
      <w:numFmt w:val="bullet"/>
      <w:lvlText w:val=""/>
      <w:lvlJc w:val="left"/>
      <w:pPr>
        <w:ind w:left="720" w:hanging="360"/>
      </w:pPr>
      <w:rPr>
        <w:rFonts w:ascii="Symbol" w:hAnsi="Symbol" w:hint="default"/>
      </w:rPr>
    </w:lvl>
    <w:lvl w:ilvl="1" w:tplc="1DEEB526">
      <w:start w:val="1"/>
      <w:numFmt w:val="bullet"/>
      <w:lvlText w:val="o"/>
      <w:lvlJc w:val="left"/>
      <w:pPr>
        <w:ind w:left="1440" w:hanging="360"/>
      </w:pPr>
      <w:rPr>
        <w:rFonts w:ascii="Courier New" w:hAnsi="Courier New" w:hint="default"/>
      </w:rPr>
    </w:lvl>
    <w:lvl w:ilvl="2" w:tplc="166231FC">
      <w:start w:val="1"/>
      <w:numFmt w:val="bullet"/>
      <w:lvlText w:val=""/>
      <w:lvlJc w:val="left"/>
      <w:pPr>
        <w:ind w:left="2160" w:hanging="360"/>
      </w:pPr>
      <w:rPr>
        <w:rFonts w:ascii="Wingdings" w:hAnsi="Wingdings" w:hint="default"/>
      </w:rPr>
    </w:lvl>
    <w:lvl w:ilvl="3" w:tplc="EB6E58F8">
      <w:start w:val="1"/>
      <w:numFmt w:val="bullet"/>
      <w:lvlText w:val=""/>
      <w:lvlJc w:val="left"/>
      <w:pPr>
        <w:ind w:left="2880" w:hanging="360"/>
      </w:pPr>
      <w:rPr>
        <w:rFonts w:ascii="Symbol" w:hAnsi="Symbol" w:hint="default"/>
      </w:rPr>
    </w:lvl>
    <w:lvl w:ilvl="4" w:tplc="927284D0">
      <w:start w:val="1"/>
      <w:numFmt w:val="bullet"/>
      <w:lvlText w:val="o"/>
      <w:lvlJc w:val="left"/>
      <w:pPr>
        <w:ind w:left="3600" w:hanging="360"/>
      </w:pPr>
      <w:rPr>
        <w:rFonts w:ascii="Courier New" w:hAnsi="Courier New" w:hint="default"/>
      </w:rPr>
    </w:lvl>
    <w:lvl w:ilvl="5" w:tplc="A48281D2">
      <w:start w:val="1"/>
      <w:numFmt w:val="bullet"/>
      <w:lvlText w:val=""/>
      <w:lvlJc w:val="left"/>
      <w:pPr>
        <w:ind w:left="4320" w:hanging="360"/>
      </w:pPr>
      <w:rPr>
        <w:rFonts w:ascii="Wingdings" w:hAnsi="Wingdings" w:hint="default"/>
      </w:rPr>
    </w:lvl>
    <w:lvl w:ilvl="6" w:tplc="C57C9976">
      <w:start w:val="1"/>
      <w:numFmt w:val="bullet"/>
      <w:lvlText w:val=""/>
      <w:lvlJc w:val="left"/>
      <w:pPr>
        <w:ind w:left="5040" w:hanging="360"/>
      </w:pPr>
      <w:rPr>
        <w:rFonts w:ascii="Symbol" w:hAnsi="Symbol" w:hint="default"/>
      </w:rPr>
    </w:lvl>
    <w:lvl w:ilvl="7" w:tplc="B226FA72">
      <w:start w:val="1"/>
      <w:numFmt w:val="bullet"/>
      <w:lvlText w:val="o"/>
      <w:lvlJc w:val="left"/>
      <w:pPr>
        <w:ind w:left="5760" w:hanging="360"/>
      </w:pPr>
      <w:rPr>
        <w:rFonts w:ascii="Courier New" w:hAnsi="Courier New" w:hint="default"/>
      </w:rPr>
    </w:lvl>
    <w:lvl w:ilvl="8" w:tplc="874AA9B0">
      <w:start w:val="1"/>
      <w:numFmt w:val="bullet"/>
      <w:lvlText w:val=""/>
      <w:lvlJc w:val="left"/>
      <w:pPr>
        <w:ind w:left="6480" w:hanging="360"/>
      </w:pPr>
      <w:rPr>
        <w:rFonts w:ascii="Wingdings" w:hAnsi="Wingdings" w:hint="default"/>
      </w:rPr>
    </w:lvl>
  </w:abstractNum>
  <w:abstractNum w:abstractNumId="64" w15:restartNumberingAfterBreak="0">
    <w:nsid w:val="4C935C13"/>
    <w:multiLevelType w:val="hybridMultilevel"/>
    <w:tmpl w:val="06AE7CEE"/>
    <w:lvl w:ilvl="0" w:tplc="3CDC5560">
      <w:start w:val="1"/>
      <w:numFmt w:val="bullet"/>
      <w:lvlText w:val=""/>
      <w:lvlJc w:val="left"/>
      <w:pPr>
        <w:ind w:left="720" w:hanging="360"/>
      </w:pPr>
      <w:rPr>
        <w:rFonts w:ascii="Symbol" w:hAnsi="Symbol" w:hint="default"/>
        <w:color w:val="4DA79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003CA"/>
    <w:multiLevelType w:val="hybridMultilevel"/>
    <w:tmpl w:val="0832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43087A"/>
    <w:multiLevelType w:val="hybridMultilevel"/>
    <w:tmpl w:val="DD5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8D11A9"/>
    <w:multiLevelType w:val="hybridMultilevel"/>
    <w:tmpl w:val="7B9A5FDE"/>
    <w:lvl w:ilvl="0" w:tplc="BAA038C6">
      <w:start w:val="1"/>
      <w:numFmt w:val="bullet"/>
      <w:lvlText w:val=""/>
      <w:lvlJc w:val="left"/>
      <w:pPr>
        <w:ind w:left="1500" w:hanging="360"/>
      </w:pPr>
      <w:rPr>
        <w:rFonts w:ascii="Symbol" w:hAnsi="Symbol"/>
      </w:rPr>
    </w:lvl>
    <w:lvl w:ilvl="1" w:tplc="7778DAD4">
      <w:start w:val="1"/>
      <w:numFmt w:val="bullet"/>
      <w:lvlText w:val=""/>
      <w:lvlJc w:val="left"/>
      <w:pPr>
        <w:ind w:left="2220" w:hanging="360"/>
      </w:pPr>
      <w:rPr>
        <w:rFonts w:ascii="Symbol" w:hAnsi="Symbol"/>
      </w:rPr>
    </w:lvl>
    <w:lvl w:ilvl="2" w:tplc="35BE18B4">
      <w:start w:val="1"/>
      <w:numFmt w:val="bullet"/>
      <w:lvlText w:val=""/>
      <w:lvlJc w:val="left"/>
      <w:pPr>
        <w:ind w:left="2940" w:hanging="360"/>
      </w:pPr>
      <w:rPr>
        <w:rFonts w:ascii="Symbol" w:hAnsi="Symbol"/>
      </w:rPr>
    </w:lvl>
    <w:lvl w:ilvl="3" w:tplc="C20A8640">
      <w:start w:val="1"/>
      <w:numFmt w:val="bullet"/>
      <w:lvlText w:val=""/>
      <w:lvlJc w:val="left"/>
      <w:pPr>
        <w:ind w:left="1500" w:hanging="360"/>
      </w:pPr>
      <w:rPr>
        <w:rFonts w:ascii="Symbol" w:hAnsi="Symbol"/>
      </w:rPr>
    </w:lvl>
    <w:lvl w:ilvl="4" w:tplc="D75C66EC">
      <w:start w:val="1"/>
      <w:numFmt w:val="bullet"/>
      <w:lvlText w:val=""/>
      <w:lvlJc w:val="left"/>
      <w:pPr>
        <w:ind w:left="1500" w:hanging="360"/>
      </w:pPr>
      <w:rPr>
        <w:rFonts w:ascii="Symbol" w:hAnsi="Symbol"/>
      </w:rPr>
    </w:lvl>
    <w:lvl w:ilvl="5" w:tplc="F60480DC">
      <w:start w:val="1"/>
      <w:numFmt w:val="bullet"/>
      <w:lvlText w:val=""/>
      <w:lvlJc w:val="left"/>
      <w:pPr>
        <w:ind w:left="1500" w:hanging="360"/>
      </w:pPr>
      <w:rPr>
        <w:rFonts w:ascii="Symbol" w:hAnsi="Symbol"/>
      </w:rPr>
    </w:lvl>
    <w:lvl w:ilvl="6" w:tplc="056C81D8">
      <w:start w:val="1"/>
      <w:numFmt w:val="bullet"/>
      <w:lvlText w:val=""/>
      <w:lvlJc w:val="left"/>
      <w:pPr>
        <w:ind w:left="1500" w:hanging="360"/>
      </w:pPr>
      <w:rPr>
        <w:rFonts w:ascii="Symbol" w:hAnsi="Symbol"/>
      </w:rPr>
    </w:lvl>
    <w:lvl w:ilvl="7" w:tplc="A7A016D8">
      <w:start w:val="1"/>
      <w:numFmt w:val="bullet"/>
      <w:lvlText w:val=""/>
      <w:lvlJc w:val="left"/>
      <w:pPr>
        <w:ind w:left="1500" w:hanging="360"/>
      </w:pPr>
      <w:rPr>
        <w:rFonts w:ascii="Symbol" w:hAnsi="Symbol"/>
      </w:rPr>
    </w:lvl>
    <w:lvl w:ilvl="8" w:tplc="B516A438">
      <w:start w:val="1"/>
      <w:numFmt w:val="bullet"/>
      <w:lvlText w:val=""/>
      <w:lvlJc w:val="left"/>
      <w:pPr>
        <w:ind w:left="1500" w:hanging="360"/>
      </w:pPr>
      <w:rPr>
        <w:rFonts w:ascii="Symbol" w:hAnsi="Symbol"/>
      </w:rPr>
    </w:lvl>
  </w:abstractNum>
  <w:abstractNum w:abstractNumId="68" w15:restartNumberingAfterBreak="0">
    <w:nsid w:val="4FBF193F"/>
    <w:multiLevelType w:val="hybridMultilevel"/>
    <w:tmpl w:val="B504D5D8"/>
    <w:lvl w:ilvl="0" w:tplc="75AA611A">
      <w:start w:val="1"/>
      <w:numFmt w:val="decimal"/>
      <w:pStyle w:val="ListBullet"/>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1061931"/>
    <w:multiLevelType w:val="hybridMultilevel"/>
    <w:tmpl w:val="41B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57345B"/>
    <w:multiLevelType w:val="hybridMultilevel"/>
    <w:tmpl w:val="CD26CF2E"/>
    <w:lvl w:ilvl="0" w:tplc="B4CEF55E">
      <w:start w:val="1"/>
      <w:numFmt w:val="bullet"/>
      <w:pStyle w:val="BulletLists"/>
      <w:lvlText w:val=""/>
      <w:lvlJc w:val="left"/>
      <w:pPr>
        <w:ind w:left="1080" w:hanging="360"/>
      </w:pPr>
      <w:rPr>
        <w:rFonts w:ascii="Symbol" w:hAnsi="Symbol" w:hint="default"/>
        <w:color w:val="00808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1C117B9"/>
    <w:multiLevelType w:val="hybridMultilevel"/>
    <w:tmpl w:val="B3869BD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72" w15:restartNumberingAfterBreak="0">
    <w:nsid w:val="524A253D"/>
    <w:multiLevelType w:val="hybridMultilevel"/>
    <w:tmpl w:val="8520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5311FD"/>
    <w:multiLevelType w:val="hybridMultilevel"/>
    <w:tmpl w:val="A02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571716"/>
    <w:multiLevelType w:val="hybridMultilevel"/>
    <w:tmpl w:val="C4BAB15A"/>
    <w:lvl w:ilvl="0" w:tplc="61268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0E37C3"/>
    <w:multiLevelType w:val="hybridMultilevel"/>
    <w:tmpl w:val="EDE06D84"/>
    <w:lvl w:ilvl="0" w:tplc="91725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5D355F2"/>
    <w:multiLevelType w:val="hybridMultilevel"/>
    <w:tmpl w:val="EF400B96"/>
    <w:lvl w:ilvl="0" w:tplc="7626FA76">
      <w:numFmt w:val="decimal"/>
      <w:lvlText w:val=""/>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D7473C0">
      <w:numFmt w:val="decimal"/>
      <w:lvlText w:val=""/>
      <w:lvlJc w:val="left"/>
    </w:lvl>
    <w:lvl w:ilvl="4" w:tplc="086A499E">
      <w:numFmt w:val="decimal"/>
      <w:lvlText w:val=""/>
      <w:lvlJc w:val="left"/>
    </w:lvl>
    <w:lvl w:ilvl="5" w:tplc="8BA6D08A">
      <w:numFmt w:val="decimal"/>
      <w:lvlText w:val=""/>
      <w:lvlJc w:val="left"/>
    </w:lvl>
    <w:lvl w:ilvl="6" w:tplc="E994589E">
      <w:numFmt w:val="decimal"/>
      <w:lvlText w:val=""/>
      <w:lvlJc w:val="left"/>
    </w:lvl>
    <w:lvl w:ilvl="7" w:tplc="0B005852">
      <w:numFmt w:val="decimal"/>
      <w:lvlText w:val=""/>
      <w:lvlJc w:val="left"/>
    </w:lvl>
    <w:lvl w:ilvl="8" w:tplc="B2E2146C">
      <w:numFmt w:val="decimal"/>
      <w:lvlText w:val=""/>
      <w:lvlJc w:val="left"/>
    </w:lvl>
  </w:abstractNum>
  <w:abstractNum w:abstractNumId="77" w15:restartNumberingAfterBreak="0">
    <w:nsid w:val="57DA03E3"/>
    <w:multiLevelType w:val="multilevel"/>
    <w:tmpl w:val="AA480D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8" w15:restartNumberingAfterBreak="0">
    <w:nsid w:val="58CD793A"/>
    <w:multiLevelType w:val="hybridMultilevel"/>
    <w:tmpl w:val="16B6C72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9" w15:restartNumberingAfterBreak="0">
    <w:nsid w:val="5AFD6553"/>
    <w:multiLevelType w:val="hybridMultilevel"/>
    <w:tmpl w:val="DE8E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6172FC"/>
    <w:multiLevelType w:val="hybridMultilevel"/>
    <w:tmpl w:val="0EE4AD0E"/>
    <w:lvl w:ilvl="0" w:tplc="04090003">
      <w:start w:val="1"/>
      <w:numFmt w:val="bullet"/>
      <w:lvlText w:val="o"/>
      <w:lvlJc w:val="left"/>
      <w:pPr>
        <w:ind w:left="1080" w:hanging="360"/>
      </w:pPr>
      <w:rPr>
        <w:rFonts w:ascii="Courier New" w:hAnsi="Courier New" w:cs="Courier New" w:hint="default"/>
        <w:color w:val="4DA79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5B854BDA"/>
    <w:multiLevelType w:val="hybridMultilevel"/>
    <w:tmpl w:val="9EFA7548"/>
    <w:lvl w:ilvl="0" w:tplc="97C86E76">
      <w:numFmt w:val="decimal"/>
      <w:lvlText w:val=""/>
      <w:lvlJc w:val="left"/>
    </w:lvl>
    <w:lvl w:ilvl="1" w:tplc="CB4CA896">
      <w:numFmt w:val="decimal"/>
      <w:lvlText w:val=""/>
      <w:lvlJc w:val="left"/>
    </w:lvl>
    <w:lvl w:ilvl="2" w:tplc="97C86E76">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2" w15:restartNumberingAfterBreak="0">
    <w:nsid w:val="5BEF19C5"/>
    <w:multiLevelType w:val="hybridMultilevel"/>
    <w:tmpl w:val="83D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6127DF"/>
    <w:multiLevelType w:val="hybridMultilevel"/>
    <w:tmpl w:val="D1541232"/>
    <w:lvl w:ilvl="0" w:tplc="C5A00150">
      <w:start w:val="1"/>
      <w:numFmt w:val="bullet"/>
      <w:lvlText w:val=""/>
      <w:lvlJc w:val="left"/>
      <w:pPr>
        <w:ind w:left="1083" w:hanging="360"/>
      </w:pPr>
      <w:rPr>
        <w:rFonts w:ascii="Symbol" w:hAnsi="Symbol" w:hint="default"/>
        <w:color w:val="4DA79E"/>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84" w15:restartNumberingAfterBreak="0">
    <w:nsid w:val="5D7E077A"/>
    <w:multiLevelType w:val="hybridMultilevel"/>
    <w:tmpl w:val="0F64E952"/>
    <w:lvl w:ilvl="0" w:tplc="2DD82FB8">
      <w:start w:val="1"/>
      <w:numFmt w:val="bullet"/>
      <w:lvlText w:val=""/>
      <w:lvlJc w:val="left"/>
      <w:pPr>
        <w:ind w:left="720" w:hanging="360"/>
      </w:pPr>
      <w:rPr>
        <w:rFonts w:ascii="Symbol" w:hAnsi="Symbol" w:hint="default"/>
        <w:color w:val="4DA79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2972D3"/>
    <w:multiLevelType w:val="hybridMultilevel"/>
    <w:tmpl w:val="674A1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A04488"/>
    <w:multiLevelType w:val="hybridMultilevel"/>
    <w:tmpl w:val="A8A6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010E4D"/>
    <w:multiLevelType w:val="hybridMultilevel"/>
    <w:tmpl w:val="94B6701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8" w15:restartNumberingAfterBreak="0">
    <w:nsid w:val="67050639"/>
    <w:multiLevelType w:val="hybridMultilevel"/>
    <w:tmpl w:val="E1B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1E2627"/>
    <w:multiLevelType w:val="hybridMultilevel"/>
    <w:tmpl w:val="616848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67E61CCF"/>
    <w:multiLevelType w:val="hybridMultilevel"/>
    <w:tmpl w:val="6170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41408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9756F9C"/>
    <w:multiLevelType w:val="hybridMultilevel"/>
    <w:tmpl w:val="F8B008E0"/>
    <w:lvl w:ilvl="0" w:tplc="C5A00150">
      <w:start w:val="1"/>
      <w:numFmt w:val="bullet"/>
      <w:lvlText w:val=""/>
      <w:lvlJc w:val="left"/>
      <w:pPr>
        <w:ind w:left="720" w:hanging="360"/>
      </w:pPr>
      <w:rPr>
        <w:rFonts w:ascii="Symbol" w:hAnsi="Symbol" w:hint="default"/>
        <w:color w:val="4DA7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F940B3"/>
    <w:multiLevelType w:val="multilevel"/>
    <w:tmpl w:val="CD9456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4" w15:restartNumberingAfterBreak="0">
    <w:nsid w:val="6A7C60D1"/>
    <w:multiLevelType w:val="hybridMultilevel"/>
    <w:tmpl w:val="8C02907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A9A7228"/>
    <w:multiLevelType w:val="hybridMultilevel"/>
    <w:tmpl w:val="8598A9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6" w15:restartNumberingAfterBreak="0">
    <w:nsid w:val="6B7A74C4"/>
    <w:multiLevelType w:val="hybridMultilevel"/>
    <w:tmpl w:val="A49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E45778"/>
    <w:multiLevelType w:val="hybridMultilevel"/>
    <w:tmpl w:val="CCD25396"/>
    <w:lvl w:ilvl="0" w:tplc="B6100B58">
      <w:start w:val="1"/>
      <w:numFmt w:val="bullet"/>
      <w:pStyle w:val="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C1B0D5D"/>
    <w:multiLevelType w:val="hybridMultilevel"/>
    <w:tmpl w:val="B884160A"/>
    <w:lvl w:ilvl="0" w:tplc="86084D2A">
      <w:numFmt w:val="bullet"/>
      <w:lvlText w:val="•"/>
      <w:lvlJc w:val="left"/>
      <w:pPr>
        <w:ind w:left="775" w:hanging="360"/>
      </w:pPr>
      <w:rPr>
        <w:rFonts w:ascii="Calibri" w:eastAsiaTheme="minorHAns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9" w15:restartNumberingAfterBreak="0">
    <w:nsid w:val="6C443A6E"/>
    <w:multiLevelType w:val="multilevel"/>
    <w:tmpl w:val="8432D9E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CC62871"/>
    <w:multiLevelType w:val="hybridMultilevel"/>
    <w:tmpl w:val="85F0B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D8C6958"/>
    <w:multiLevelType w:val="multilevel"/>
    <w:tmpl w:val="51DE358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02" w15:restartNumberingAfterBreak="0">
    <w:nsid w:val="6DF17A5D"/>
    <w:multiLevelType w:val="hybridMultilevel"/>
    <w:tmpl w:val="90548C58"/>
    <w:lvl w:ilvl="0" w:tplc="FFFFFFFF">
      <w:start w:val="1"/>
      <w:numFmt w:val="lowerRoman"/>
      <w:lvlText w:val="%1."/>
      <w:lvlJc w:val="righ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E8245AF"/>
    <w:multiLevelType w:val="hybridMultilevel"/>
    <w:tmpl w:val="159A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9C535C"/>
    <w:multiLevelType w:val="hybridMultilevel"/>
    <w:tmpl w:val="CAAC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384A40"/>
    <w:multiLevelType w:val="hybridMultilevel"/>
    <w:tmpl w:val="8BD4C3A2"/>
    <w:lvl w:ilvl="0" w:tplc="86084D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15D47B6"/>
    <w:multiLevelType w:val="hybridMultilevel"/>
    <w:tmpl w:val="8DA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565685F"/>
    <w:multiLevelType w:val="hybridMultilevel"/>
    <w:tmpl w:val="8ED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32026E"/>
    <w:multiLevelType w:val="hybridMultilevel"/>
    <w:tmpl w:val="BCF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C808D8"/>
    <w:multiLevelType w:val="hybridMultilevel"/>
    <w:tmpl w:val="F2B82A06"/>
    <w:lvl w:ilvl="0" w:tplc="0409000F">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7E02465"/>
    <w:multiLevelType w:val="hybridMultilevel"/>
    <w:tmpl w:val="B6A8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D12536"/>
    <w:multiLevelType w:val="hybridMultilevel"/>
    <w:tmpl w:val="7C28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F6017F"/>
    <w:multiLevelType w:val="multilevel"/>
    <w:tmpl w:val="2FF4F72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CC56EFB"/>
    <w:multiLevelType w:val="hybridMultilevel"/>
    <w:tmpl w:val="1C8C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1D0D8B"/>
    <w:multiLevelType w:val="multilevel"/>
    <w:tmpl w:val="E196D4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8A3AD7"/>
    <w:multiLevelType w:val="multilevel"/>
    <w:tmpl w:val="01D46C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6" w15:restartNumberingAfterBreak="0">
    <w:nsid w:val="7F08230D"/>
    <w:multiLevelType w:val="hybridMultilevel"/>
    <w:tmpl w:val="AC3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F35031"/>
    <w:multiLevelType w:val="hybridMultilevel"/>
    <w:tmpl w:val="3C90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341305">
    <w:abstractNumId w:val="45"/>
  </w:num>
  <w:num w:numId="2" w16cid:durableId="1237276160">
    <w:abstractNumId w:val="9"/>
  </w:num>
  <w:num w:numId="3" w16cid:durableId="217939690">
    <w:abstractNumId w:val="69"/>
  </w:num>
  <w:num w:numId="4" w16cid:durableId="301693726">
    <w:abstractNumId w:val="82"/>
  </w:num>
  <w:num w:numId="5" w16cid:durableId="1369532108">
    <w:abstractNumId w:val="98"/>
  </w:num>
  <w:num w:numId="6" w16cid:durableId="478695298">
    <w:abstractNumId w:val="62"/>
  </w:num>
  <w:num w:numId="7" w16cid:durableId="265384681">
    <w:abstractNumId w:val="105"/>
  </w:num>
  <w:num w:numId="8" w16cid:durableId="1653946185">
    <w:abstractNumId w:val="55"/>
  </w:num>
  <w:num w:numId="9" w16cid:durableId="1084913643">
    <w:abstractNumId w:val="57"/>
  </w:num>
  <w:num w:numId="10" w16cid:durableId="28264028">
    <w:abstractNumId w:val="109"/>
  </w:num>
  <w:num w:numId="11" w16cid:durableId="237904012">
    <w:abstractNumId w:val="44"/>
  </w:num>
  <w:num w:numId="12" w16cid:durableId="1019964081">
    <w:abstractNumId w:val="42"/>
  </w:num>
  <w:num w:numId="13" w16cid:durableId="2070689786">
    <w:abstractNumId w:val="112"/>
  </w:num>
  <w:num w:numId="14" w16cid:durableId="449864064">
    <w:abstractNumId w:val="99"/>
  </w:num>
  <w:num w:numId="15" w16cid:durableId="290017281">
    <w:abstractNumId w:val="30"/>
  </w:num>
  <w:num w:numId="16" w16cid:durableId="708073517">
    <w:abstractNumId w:val="17"/>
  </w:num>
  <w:num w:numId="17" w16cid:durableId="1193106202">
    <w:abstractNumId w:val="60"/>
  </w:num>
  <w:num w:numId="18" w16cid:durableId="1378582098">
    <w:abstractNumId w:val="88"/>
  </w:num>
  <w:num w:numId="19" w16cid:durableId="408229950">
    <w:abstractNumId w:val="52"/>
  </w:num>
  <w:num w:numId="20" w16cid:durableId="13574833">
    <w:abstractNumId w:val="21"/>
  </w:num>
  <w:num w:numId="21" w16cid:durableId="1519736059">
    <w:abstractNumId w:val="5"/>
  </w:num>
  <w:num w:numId="22" w16cid:durableId="11847851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91834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7499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3035105">
    <w:abstractNumId w:val="115"/>
  </w:num>
  <w:num w:numId="26" w16cid:durableId="7367094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4301569">
    <w:abstractNumId w:val="1"/>
  </w:num>
  <w:num w:numId="28" w16cid:durableId="1992514508">
    <w:abstractNumId w:val="66"/>
  </w:num>
  <w:num w:numId="29" w16cid:durableId="2054891081">
    <w:abstractNumId w:val="96"/>
  </w:num>
  <w:num w:numId="30" w16cid:durableId="1376125979">
    <w:abstractNumId w:val="71"/>
  </w:num>
  <w:num w:numId="31" w16cid:durableId="1015107314">
    <w:abstractNumId w:val="0"/>
  </w:num>
  <w:num w:numId="32" w16cid:durableId="1805854311">
    <w:abstractNumId w:val="7"/>
  </w:num>
  <w:num w:numId="33" w16cid:durableId="1125580877">
    <w:abstractNumId w:val="59"/>
  </w:num>
  <w:num w:numId="34" w16cid:durableId="16082188">
    <w:abstractNumId w:val="94"/>
  </w:num>
  <w:num w:numId="35" w16cid:durableId="390158968">
    <w:abstractNumId w:val="113"/>
  </w:num>
  <w:num w:numId="36" w16cid:durableId="129323071">
    <w:abstractNumId w:val="61"/>
  </w:num>
  <w:num w:numId="37" w16cid:durableId="1633562010">
    <w:abstractNumId w:val="81"/>
  </w:num>
  <w:num w:numId="38" w16cid:durableId="919369317">
    <w:abstractNumId w:val="25"/>
  </w:num>
  <w:num w:numId="39" w16cid:durableId="1361737105">
    <w:abstractNumId w:val="78"/>
  </w:num>
  <w:num w:numId="40" w16cid:durableId="525683071">
    <w:abstractNumId w:val="95"/>
  </w:num>
  <w:num w:numId="41" w16cid:durableId="1679767816">
    <w:abstractNumId w:val="89"/>
  </w:num>
  <w:num w:numId="42" w16cid:durableId="1166091225">
    <w:abstractNumId w:val="76"/>
  </w:num>
  <w:num w:numId="43" w16cid:durableId="100537835">
    <w:abstractNumId w:val="14"/>
  </w:num>
  <w:num w:numId="44" w16cid:durableId="3173332">
    <w:abstractNumId w:val="53"/>
  </w:num>
  <w:num w:numId="45" w16cid:durableId="52966890">
    <w:abstractNumId w:val="47"/>
  </w:num>
  <w:num w:numId="46" w16cid:durableId="2138377127">
    <w:abstractNumId w:val="12"/>
  </w:num>
  <w:num w:numId="47" w16cid:durableId="2076540400">
    <w:abstractNumId w:val="107"/>
  </w:num>
  <w:num w:numId="48" w16cid:durableId="1130906085">
    <w:abstractNumId w:val="114"/>
  </w:num>
  <w:num w:numId="49" w16cid:durableId="1846747833">
    <w:abstractNumId w:val="65"/>
  </w:num>
  <w:num w:numId="50" w16cid:durableId="736364465">
    <w:abstractNumId w:val="39"/>
  </w:num>
  <w:num w:numId="51" w16cid:durableId="1770352093">
    <w:abstractNumId w:val="48"/>
  </w:num>
  <w:num w:numId="52" w16cid:durableId="82457674">
    <w:abstractNumId w:val="38"/>
  </w:num>
  <w:num w:numId="53" w16cid:durableId="1271857412">
    <w:abstractNumId w:val="41"/>
  </w:num>
  <w:num w:numId="54" w16cid:durableId="1183783796">
    <w:abstractNumId w:val="79"/>
  </w:num>
  <w:num w:numId="55" w16cid:durableId="2076200665">
    <w:abstractNumId w:val="8"/>
  </w:num>
  <w:num w:numId="56" w16cid:durableId="1883902260">
    <w:abstractNumId w:val="32"/>
  </w:num>
  <w:num w:numId="57" w16cid:durableId="1003775457">
    <w:abstractNumId w:val="40"/>
  </w:num>
  <w:num w:numId="58" w16cid:durableId="2035418699">
    <w:abstractNumId w:val="24"/>
  </w:num>
  <w:num w:numId="59" w16cid:durableId="483591307">
    <w:abstractNumId w:val="111"/>
  </w:num>
  <w:num w:numId="60" w16cid:durableId="2020307662">
    <w:abstractNumId w:val="16"/>
  </w:num>
  <w:num w:numId="61" w16cid:durableId="2041124807">
    <w:abstractNumId w:val="86"/>
  </w:num>
  <w:num w:numId="62" w16cid:durableId="1163665850">
    <w:abstractNumId w:val="2"/>
  </w:num>
  <w:num w:numId="63" w16cid:durableId="525481890">
    <w:abstractNumId w:val="103"/>
  </w:num>
  <w:num w:numId="64" w16cid:durableId="1398816586">
    <w:abstractNumId w:val="31"/>
  </w:num>
  <w:num w:numId="65" w16cid:durableId="18555468">
    <w:abstractNumId w:val="116"/>
  </w:num>
  <w:num w:numId="66" w16cid:durableId="89352656">
    <w:abstractNumId w:val="23"/>
  </w:num>
  <w:num w:numId="67" w16cid:durableId="1920476195">
    <w:abstractNumId w:val="3"/>
  </w:num>
  <w:num w:numId="68" w16cid:durableId="1277445245">
    <w:abstractNumId w:val="34"/>
  </w:num>
  <w:num w:numId="69" w16cid:durableId="2101633302">
    <w:abstractNumId w:val="73"/>
  </w:num>
  <w:num w:numId="70" w16cid:durableId="285044777">
    <w:abstractNumId w:val="37"/>
  </w:num>
  <w:num w:numId="71" w16cid:durableId="1633485839">
    <w:abstractNumId w:val="104"/>
  </w:num>
  <w:num w:numId="72" w16cid:durableId="559025949">
    <w:abstractNumId w:val="108"/>
  </w:num>
  <w:num w:numId="73" w16cid:durableId="1195341708">
    <w:abstractNumId w:val="91"/>
  </w:num>
  <w:num w:numId="74" w16cid:durableId="1059330093">
    <w:abstractNumId w:val="28"/>
  </w:num>
  <w:num w:numId="75" w16cid:durableId="1000232612">
    <w:abstractNumId w:val="97"/>
  </w:num>
  <w:num w:numId="76" w16cid:durableId="1618173617">
    <w:abstractNumId w:val="26"/>
  </w:num>
  <w:num w:numId="77" w16cid:durableId="302321559">
    <w:abstractNumId w:val="85"/>
  </w:num>
  <w:num w:numId="78" w16cid:durableId="985862609">
    <w:abstractNumId w:val="106"/>
  </w:num>
  <w:num w:numId="79" w16cid:durableId="546647288">
    <w:abstractNumId w:val="49"/>
  </w:num>
  <w:num w:numId="80" w16cid:durableId="325521114">
    <w:abstractNumId w:val="75"/>
  </w:num>
  <w:num w:numId="81" w16cid:durableId="531460123">
    <w:abstractNumId w:val="102"/>
  </w:num>
  <w:num w:numId="82" w16cid:durableId="1078550982">
    <w:abstractNumId w:val="46"/>
  </w:num>
  <w:num w:numId="83" w16cid:durableId="365108215">
    <w:abstractNumId w:val="117"/>
  </w:num>
  <w:num w:numId="84" w16cid:durableId="317540911">
    <w:abstractNumId w:val="74"/>
  </w:num>
  <w:num w:numId="85" w16cid:durableId="2120683456">
    <w:abstractNumId w:val="13"/>
  </w:num>
  <w:num w:numId="86" w16cid:durableId="447742950">
    <w:abstractNumId w:val="36"/>
  </w:num>
  <w:num w:numId="87" w16cid:durableId="1806655117">
    <w:abstractNumId w:val="64"/>
  </w:num>
  <w:num w:numId="88" w16cid:durableId="1222206087">
    <w:abstractNumId w:val="20"/>
  </w:num>
  <w:num w:numId="89" w16cid:durableId="387460340">
    <w:abstractNumId w:val="56"/>
  </w:num>
  <w:num w:numId="90" w16cid:durableId="1866823563">
    <w:abstractNumId w:val="72"/>
  </w:num>
  <w:num w:numId="91" w16cid:durableId="1601379427">
    <w:abstractNumId w:val="29"/>
  </w:num>
  <w:num w:numId="92" w16cid:durableId="934823808">
    <w:abstractNumId w:val="35"/>
  </w:num>
  <w:num w:numId="93" w16cid:durableId="891885813">
    <w:abstractNumId w:val="84"/>
  </w:num>
  <w:num w:numId="94" w16cid:durableId="52970942">
    <w:abstractNumId w:val="70"/>
  </w:num>
  <w:num w:numId="95" w16cid:durableId="11662413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77344554">
    <w:abstractNumId w:val="27"/>
  </w:num>
  <w:num w:numId="97" w16cid:durableId="1369064878">
    <w:abstractNumId w:val="90"/>
  </w:num>
  <w:num w:numId="98" w16cid:durableId="1276861444">
    <w:abstractNumId w:val="110"/>
  </w:num>
  <w:num w:numId="99" w16cid:durableId="1101073796">
    <w:abstractNumId w:val="67"/>
  </w:num>
  <w:num w:numId="100" w16cid:durableId="18099336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46084368">
    <w:abstractNumId w:val="100"/>
  </w:num>
  <w:num w:numId="102" w16cid:durableId="156306898">
    <w:abstractNumId w:val="10"/>
  </w:num>
  <w:num w:numId="103" w16cid:durableId="645282075">
    <w:abstractNumId w:val="58"/>
  </w:num>
  <w:num w:numId="104" w16cid:durableId="33622351">
    <w:abstractNumId w:val="19"/>
  </w:num>
  <w:num w:numId="105" w16cid:durableId="247010346">
    <w:abstractNumId w:val="15"/>
  </w:num>
  <w:num w:numId="106" w16cid:durableId="628324179">
    <w:abstractNumId w:val="43"/>
  </w:num>
  <w:num w:numId="107" w16cid:durableId="559756663">
    <w:abstractNumId w:val="87"/>
  </w:num>
  <w:num w:numId="108" w16cid:durableId="17053270">
    <w:abstractNumId w:val="50"/>
  </w:num>
  <w:num w:numId="109" w16cid:durableId="2080202058">
    <w:abstractNumId w:val="45"/>
  </w:num>
  <w:num w:numId="110" w16cid:durableId="1877228945">
    <w:abstractNumId w:val="45"/>
  </w:num>
  <w:num w:numId="111" w16cid:durableId="862128872">
    <w:abstractNumId w:val="11"/>
  </w:num>
  <w:num w:numId="112" w16cid:durableId="672686379">
    <w:abstractNumId w:val="4"/>
  </w:num>
  <w:num w:numId="113" w16cid:durableId="1224095539">
    <w:abstractNumId w:val="51"/>
  </w:num>
  <w:num w:numId="114" w16cid:durableId="330530807">
    <w:abstractNumId w:val="6"/>
  </w:num>
  <w:num w:numId="115" w16cid:durableId="745297727">
    <w:abstractNumId w:val="80"/>
  </w:num>
  <w:num w:numId="116" w16cid:durableId="1291668799">
    <w:abstractNumId w:val="97"/>
  </w:num>
  <w:num w:numId="117" w16cid:durableId="1289511053">
    <w:abstractNumId w:val="97"/>
  </w:num>
  <w:num w:numId="118" w16cid:durableId="246158809">
    <w:abstractNumId w:val="97"/>
  </w:num>
  <w:num w:numId="119" w16cid:durableId="1585794140">
    <w:abstractNumId w:val="68"/>
  </w:num>
  <w:num w:numId="120" w16cid:durableId="1200581294">
    <w:abstractNumId w:val="45"/>
  </w:num>
  <w:num w:numId="121" w16cid:durableId="794177235">
    <w:abstractNumId w:val="45"/>
  </w:num>
  <w:num w:numId="122" w16cid:durableId="1484203868">
    <w:abstractNumId w:val="22"/>
  </w:num>
  <w:num w:numId="123" w16cid:durableId="849489052">
    <w:abstractNumId w:val="33"/>
  </w:num>
  <w:num w:numId="124" w16cid:durableId="1239827075">
    <w:abstractNumId w:val="83"/>
  </w:num>
  <w:num w:numId="125" w16cid:durableId="1848396920">
    <w:abstractNumId w:val="92"/>
  </w:num>
  <w:num w:numId="126" w16cid:durableId="2119567877">
    <w:abstractNumId w:val="54"/>
  </w:num>
  <w:num w:numId="127" w16cid:durableId="1642810354">
    <w:abstractNumId w:val="6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F7"/>
    <w:rsid w:val="0000057A"/>
    <w:rsid w:val="0000062D"/>
    <w:rsid w:val="00000A60"/>
    <w:rsid w:val="000010BD"/>
    <w:rsid w:val="000014E5"/>
    <w:rsid w:val="00001D3E"/>
    <w:rsid w:val="00001D49"/>
    <w:rsid w:val="000021A0"/>
    <w:rsid w:val="000029C0"/>
    <w:rsid w:val="00002CF9"/>
    <w:rsid w:val="000035FA"/>
    <w:rsid w:val="00003A31"/>
    <w:rsid w:val="00003C7B"/>
    <w:rsid w:val="00003EC4"/>
    <w:rsid w:val="000042FC"/>
    <w:rsid w:val="00005065"/>
    <w:rsid w:val="0000554B"/>
    <w:rsid w:val="000056A3"/>
    <w:rsid w:val="00005744"/>
    <w:rsid w:val="00005944"/>
    <w:rsid w:val="000059F6"/>
    <w:rsid w:val="00006735"/>
    <w:rsid w:val="000079AE"/>
    <w:rsid w:val="00007F08"/>
    <w:rsid w:val="000101FC"/>
    <w:rsid w:val="00010269"/>
    <w:rsid w:val="00010AFC"/>
    <w:rsid w:val="00010B32"/>
    <w:rsid w:val="00010EF6"/>
    <w:rsid w:val="000113BD"/>
    <w:rsid w:val="00011951"/>
    <w:rsid w:val="0001217B"/>
    <w:rsid w:val="00012430"/>
    <w:rsid w:val="00012740"/>
    <w:rsid w:val="00012FA7"/>
    <w:rsid w:val="000154D6"/>
    <w:rsid w:val="00015F41"/>
    <w:rsid w:val="0001617A"/>
    <w:rsid w:val="00016406"/>
    <w:rsid w:val="000166A6"/>
    <w:rsid w:val="000166D3"/>
    <w:rsid w:val="0001678C"/>
    <w:rsid w:val="00017336"/>
    <w:rsid w:val="000174FF"/>
    <w:rsid w:val="00017544"/>
    <w:rsid w:val="00017617"/>
    <w:rsid w:val="00017B63"/>
    <w:rsid w:val="00017D18"/>
    <w:rsid w:val="00020095"/>
    <w:rsid w:val="000206F9"/>
    <w:rsid w:val="000212BC"/>
    <w:rsid w:val="00021BE3"/>
    <w:rsid w:val="00021D86"/>
    <w:rsid w:val="00022055"/>
    <w:rsid w:val="00022236"/>
    <w:rsid w:val="00022410"/>
    <w:rsid w:val="000226B2"/>
    <w:rsid w:val="00022C43"/>
    <w:rsid w:val="000230CF"/>
    <w:rsid w:val="000230F5"/>
    <w:rsid w:val="000238D6"/>
    <w:rsid w:val="00023ACF"/>
    <w:rsid w:val="0002567D"/>
    <w:rsid w:val="0002606C"/>
    <w:rsid w:val="0002616A"/>
    <w:rsid w:val="000261AD"/>
    <w:rsid w:val="00026465"/>
    <w:rsid w:val="00026636"/>
    <w:rsid w:val="000269A7"/>
    <w:rsid w:val="00030797"/>
    <w:rsid w:val="00030853"/>
    <w:rsid w:val="00030CF8"/>
    <w:rsid w:val="000310B4"/>
    <w:rsid w:val="0003148D"/>
    <w:rsid w:val="000315AE"/>
    <w:rsid w:val="000324B1"/>
    <w:rsid w:val="000326FE"/>
    <w:rsid w:val="00032B23"/>
    <w:rsid w:val="00032FCA"/>
    <w:rsid w:val="00033599"/>
    <w:rsid w:val="00033963"/>
    <w:rsid w:val="00033B24"/>
    <w:rsid w:val="00034872"/>
    <w:rsid w:val="000348F5"/>
    <w:rsid w:val="00034CCF"/>
    <w:rsid w:val="00034E63"/>
    <w:rsid w:val="000352C4"/>
    <w:rsid w:val="00035B72"/>
    <w:rsid w:val="000360D7"/>
    <w:rsid w:val="000362D6"/>
    <w:rsid w:val="0003642F"/>
    <w:rsid w:val="00036602"/>
    <w:rsid w:val="00036C3B"/>
    <w:rsid w:val="000371CA"/>
    <w:rsid w:val="000372D7"/>
    <w:rsid w:val="00037ED4"/>
    <w:rsid w:val="00040367"/>
    <w:rsid w:val="000409DC"/>
    <w:rsid w:val="000414DC"/>
    <w:rsid w:val="000415C9"/>
    <w:rsid w:val="00041618"/>
    <w:rsid w:val="00041854"/>
    <w:rsid w:val="00041870"/>
    <w:rsid w:val="00041934"/>
    <w:rsid w:val="00041A7A"/>
    <w:rsid w:val="0004230E"/>
    <w:rsid w:val="000428AB"/>
    <w:rsid w:val="000429C6"/>
    <w:rsid w:val="00043021"/>
    <w:rsid w:val="00044293"/>
    <w:rsid w:val="00044B11"/>
    <w:rsid w:val="00044B5E"/>
    <w:rsid w:val="00044BA8"/>
    <w:rsid w:val="00044E51"/>
    <w:rsid w:val="00044F9F"/>
    <w:rsid w:val="00045248"/>
    <w:rsid w:val="00045CFC"/>
    <w:rsid w:val="00045FCB"/>
    <w:rsid w:val="00046296"/>
    <w:rsid w:val="000473A8"/>
    <w:rsid w:val="00047B4C"/>
    <w:rsid w:val="00047DC1"/>
    <w:rsid w:val="00050064"/>
    <w:rsid w:val="0005008C"/>
    <w:rsid w:val="00050644"/>
    <w:rsid w:val="00050A02"/>
    <w:rsid w:val="00050B13"/>
    <w:rsid w:val="0005110E"/>
    <w:rsid w:val="00051187"/>
    <w:rsid w:val="000514D5"/>
    <w:rsid w:val="00051D16"/>
    <w:rsid w:val="0005203F"/>
    <w:rsid w:val="00052287"/>
    <w:rsid w:val="000533C6"/>
    <w:rsid w:val="00053672"/>
    <w:rsid w:val="000537B9"/>
    <w:rsid w:val="00053B73"/>
    <w:rsid w:val="00054135"/>
    <w:rsid w:val="00055AE6"/>
    <w:rsid w:val="00056332"/>
    <w:rsid w:val="00056689"/>
    <w:rsid w:val="00056831"/>
    <w:rsid w:val="00056A70"/>
    <w:rsid w:val="00056AA4"/>
    <w:rsid w:val="00056F13"/>
    <w:rsid w:val="00057057"/>
    <w:rsid w:val="000575C6"/>
    <w:rsid w:val="00057940"/>
    <w:rsid w:val="00057B87"/>
    <w:rsid w:val="000601E3"/>
    <w:rsid w:val="000604BF"/>
    <w:rsid w:val="000605D5"/>
    <w:rsid w:val="00060741"/>
    <w:rsid w:val="00060860"/>
    <w:rsid w:val="000608E8"/>
    <w:rsid w:val="00060B36"/>
    <w:rsid w:val="00060FEB"/>
    <w:rsid w:val="00061442"/>
    <w:rsid w:val="00061969"/>
    <w:rsid w:val="000620B5"/>
    <w:rsid w:val="0006221D"/>
    <w:rsid w:val="00062537"/>
    <w:rsid w:val="000631A9"/>
    <w:rsid w:val="00063584"/>
    <w:rsid w:val="000640B7"/>
    <w:rsid w:val="000648E7"/>
    <w:rsid w:val="00064CEE"/>
    <w:rsid w:val="000652AE"/>
    <w:rsid w:val="00065A9F"/>
    <w:rsid w:val="00065EBD"/>
    <w:rsid w:val="00065F47"/>
    <w:rsid w:val="0006614A"/>
    <w:rsid w:val="00066547"/>
    <w:rsid w:val="00067033"/>
    <w:rsid w:val="000670C2"/>
    <w:rsid w:val="00067188"/>
    <w:rsid w:val="00067845"/>
    <w:rsid w:val="0006799E"/>
    <w:rsid w:val="00067A43"/>
    <w:rsid w:val="00070278"/>
    <w:rsid w:val="00070390"/>
    <w:rsid w:val="000707F8"/>
    <w:rsid w:val="00070BF5"/>
    <w:rsid w:val="00070F2A"/>
    <w:rsid w:val="00071021"/>
    <w:rsid w:val="000710B5"/>
    <w:rsid w:val="00071281"/>
    <w:rsid w:val="000713C2"/>
    <w:rsid w:val="00071AF0"/>
    <w:rsid w:val="00071C7A"/>
    <w:rsid w:val="000725AD"/>
    <w:rsid w:val="0007261E"/>
    <w:rsid w:val="00072D5A"/>
    <w:rsid w:val="0007306C"/>
    <w:rsid w:val="000737EC"/>
    <w:rsid w:val="0007399F"/>
    <w:rsid w:val="000739BE"/>
    <w:rsid w:val="00073E91"/>
    <w:rsid w:val="00074E97"/>
    <w:rsid w:val="000757A7"/>
    <w:rsid w:val="0007581C"/>
    <w:rsid w:val="000769E4"/>
    <w:rsid w:val="000803A8"/>
    <w:rsid w:val="00080981"/>
    <w:rsid w:val="00080C9B"/>
    <w:rsid w:val="00080D8F"/>
    <w:rsid w:val="00080EBC"/>
    <w:rsid w:val="00081004"/>
    <w:rsid w:val="00081316"/>
    <w:rsid w:val="000814ED"/>
    <w:rsid w:val="000815E4"/>
    <w:rsid w:val="00081620"/>
    <w:rsid w:val="0008188E"/>
    <w:rsid w:val="00081AEC"/>
    <w:rsid w:val="00082045"/>
    <w:rsid w:val="00082358"/>
    <w:rsid w:val="00082382"/>
    <w:rsid w:val="00082721"/>
    <w:rsid w:val="00082BA3"/>
    <w:rsid w:val="00082D31"/>
    <w:rsid w:val="000833B9"/>
    <w:rsid w:val="00083571"/>
    <w:rsid w:val="0008371C"/>
    <w:rsid w:val="00083F5E"/>
    <w:rsid w:val="000846B8"/>
    <w:rsid w:val="000847B2"/>
    <w:rsid w:val="00084B38"/>
    <w:rsid w:val="00084D0B"/>
    <w:rsid w:val="00084E50"/>
    <w:rsid w:val="0008530F"/>
    <w:rsid w:val="00085B68"/>
    <w:rsid w:val="00085D2E"/>
    <w:rsid w:val="0008684C"/>
    <w:rsid w:val="00086896"/>
    <w:rsid w:val="00086B69"/>
    <w:rsid w:val="00086BB7"/>
    <w:rsid w:val="000871AD"/>
    <w:rsid w:val="00087289"/>
    <w:rsid w:val="00087815"/>
    <w:rsid w:val="00090994"/>
    <w:rsid w:val="00090B07"/>
    <w:rsid w:val="00090E35"/>
    <w:rsid w:val="00090FF1"/>
    <w:rsid w:val="0009116C"/>
    <w:rsid w:val="000916EC"/>
    <w:rsid w:val="00091A15"/>
    <w:rsid w:val="00091FD3"/>
    <w:rsid w:val="000928E6"/>
    <w:rsid w:val="00092AF8"/>
    <w:rsid w:val="00092EAC"/>
    <w:rsid w:val="00092F92"/>
    <w:rsid w:val="0009323A"/>
    <w:rsid w:val="00094B65"/>
    <w:rsid w:val="00094C3C"/>
    <w:rsid w:val="00094FE5"/>
    <w:rsid w:val="00095177"/>
    <w:rsid w:val="00095A19"/>
    <w:rsid w:val="00095C2C"/>
    <w:rsid w:val="0009663B"/>
    <w:rsid w:val="00097025"/>
    <w:rsid w:val="000975A0"/>
    <w:rsid w:val="00097A72"/>
    <w:rsid w:val="000A06EE"/>
    <w:rsid w:val="000A0ABF"/>
    <w:rsid w:val="000A10CC"/>
    <w:rsid w:val="000A130D"/>
    <w:rsid w:val="000A1313"/>
    <w:rsid w:val="000A1343"/>
    <w:rsid w:val="000A1A4A"/>
    <w:rsid w:val="000A21F6"/>
    <w:rsid w:val="000A22D3"/>
    <w:rsid w:val="000A2B5C"/>
    <w:rsid w:val="000A31F8"/>
    <w:rsid w:val="000A35FB"/>
    <w:rsid w:val="000A3CD6"/>
    <w:rsid w:val="000A3E94"/>
    <w:rsid w:val="000A42E9"/>
    <w:rsid w:val="000A42FF"/>
    <w:rsid w:val="000A4BCD"/>
    <w:rsid w:val="000A4DA1"/>
    <w:rsid w:val="000A528D"/>
    <w:rsid w:val="000A53DB"/>
    <w:rsid w:val="000A5458"/>
    <w:rsid w:val="000A572F"/>
    <w:rsid w:val="000A5EEB"/>
    <w:rsid w:val="000A5F6B"/>
    <w:rsid w:val="000A6220"/>
    <w:rsid w:val="000A6467"/>
    <w:rsid w:val="000A693A"/>
    <w:rsid w:val="000A6C07"/>
    <w:rsid w:val="000A7D95"/>
    <w:rsid w:val="000B0292"/>
    <w:rsid w:val="000B029D"/>
    <w:rsid w:val="000B0648"/>
    <w:rsid w:val="000B07B1"/>
    <w:rsid w:val="000B0CD8"/>
    <w:rsid w:val="000B0F73"/>
    <w:rsid w:val="000B1E83"/>
    <w:rsid w:val="000B22F5"/>
    <w:rsid w:val="000B23F8"/>
    <w:rsid w:val="000B24F1"/>
    <w:rsid w:val="000B25C9"/>
    <w:rsid w:val="000B2874"/>
    <w:rsid w:val="000B3009"/>
    <w:rsid w:val="000B3159"/>
    <w:rsid w:val="000B31FE"/>
    <w:rsid w:val="000B33EF"/>
    <w:rsid w:val="000B358F"/>
    <w:rsid w:val="000B389E"/>
    <w:rsid w:val="000B3A37"/>
    <w:rsid w:val="000B3BE9"/>
    <w:rsid w:val="000B3BF9"/>
    <w:rsid w:val="000B3C45"/>
    <w:rsid w:val="000B4122"/>
    <w:rsid w:val="000B44EE"/>
    <w:rsid w:val="000B4522"/>
    <w:rsid w:val="000B4583"/>
    <w:rsid w:val="000B463E"/>
    <w:rsid w:val="000B4DBB"/>
    <w:rsid w:val="000B566D"/>
    <w:rsid w:val="000B61DF"/>
    <w:rsid w:val="000B713F"/>
    <w:rsid w:val="000B757C"/>
    <w:rsid w:val="000B766A"/>
    <w:rsid w:val="000B7971"/>
    <w:rsid w:val="000B7AD5"/>
    <w:rsid w:val="000B7E96"/>
    <w:rsid w:val="000C0056"/>
    <w:rsid w:val="000C007C"/>
    <w:rsid w:val="000C0744"/>
    <w:rsid w:val="000C088A"/>
    <w:rsid w:val="000C0ECC"/>
    <w:rsid w:val="000C12D2"/>
    <w:rsid w:val="000C1672"/>
    <w:rsid w:val="000C17D7"/>
    <w:rsid w:val="000C191A"/>
    <w:rsid w:val="000C19D7"/>
    <w:rsid w:val="000C1F73"/>
    <w:rsid w:val="000C2297"/>
    <w:rsid w:val="000C2325"/>
    <w:rsid w:val="000C270F"/>
    <w:rsid w:val="000C2FFC"/>
    <w:rsid w:val="000C3E01"/>
    <w:rsid w:val="000C3E2E"/>
    <w:rsid w:val="000C4A23"/>
    <w:rsid w:val="000C4AD3"/>
    <w:rsid w:val="000C4B3F"/>
    <w:rsid w:val="000C4BEE"/>
    <w:rsid w:val="000C4CA3"/>
    <w:rsid w:val="000C4CBF"/>
    <w:rsid w:val="000C5976"/>
    <w:rsid w:val="000C5D8E"/>
    <w:rsid w:val="000C6567"/>
    <w:rsid w:val="000C696D"/>
    <w:rsid w:val="000C7CCF"/>
    <w:rsid w:val="000D0306"/>
    <w:rsid w:val="000D11C5"/>
    <w:rsid w:val="000D1D7A"/>
    <w:rsid w:val="000D1D7D"/>
    <w:rsid w:val="000D1EB5"/>
    <w:rsid w:val="000D1F9D"/>
    <w:rsid w:val="000D224F"/>
    <w:rsid w:val="000D2F12"/>
    <w:rsid w:val="000D3E25"/>
    <w:rsid w:val="000D3F9B"/>
    <w:rsid w:val="000D417A"/>
    <w:rsid w:val="000D46B5"/>
    <w:rsid w:val="000D46B7"/>
    <w:rsid w:val="000D46CF"/>
    <w:rsid w:val="000D486D"/>
    <w:rsid w:val="000D515B"/>
    <w:rsid w:val="000D56EA"/>
    <w:rsid w:val="000D589E"/>
    <w:rsid w:val="000D599C"/>
    <w:rsid w:val="000D611B"/>
    <w:rsid w:val="000D65B1"/>
    <w:rsid w:val="000D67B4"/>
    <w:rsid w:val="000D6BA4"/>
    <w:rsid w:val="000D7A0E"/>
    <w:rsid w:val="000D7CB0"/>
    <w:rsid w:val="000E063C"/>
    <w:rsid w:val="000E08CF"/>
    <w:rsid w:val="000E0B50"/>
    <w:rsid w:val="000E195D"/>
    <w:rsid w:val="000E1A71"/>
    <w:rsid w:val="000E1B4B"/>
    <w:rsid w:val="000E1FD6"/>
    <w:rsid w:val="000E2739"/>
    <w:rsid w:val="000E2E7F"/>
    <w:rsid w:val="000E420C"/>
    <w:rsid w:val="000E42AD"/>
    <w:rsid w:val="000E4437"/>
    <w:rsid w:val="000E4C90"/>
    <w:rsid w:val="000E4D47"/>
    <w:rsid w:val="000E4E57"/>
    <w:rsid w:val="000E504E"/>
    <w:rsid w:val="000E5A8E"/>
    <w:rsid w:val="000E6936"/>
    <w:rsid w:val="000E6E21"/>
    <w:rsid w:val="000E70E4"/>
    <w:rsid w:val="000E70E6"/>
    <w:rsid w:val="000E75C5"/>
    <w:rsid w:val="000F0025"/>
    <w:rsid w:val="000F0094"/>
    <w:rsid w:val="000F0353"/>
    <w:rsid w:val="000F0987"/>
    <w:rsid w:val="000F0D55"/>
    <w:rsid w:val="000F1295"/>
    <w:rsid w:val="000F23D8"/>
    <w:rsid w:val="000F2760"/>
    <w:rsid w:val="000F3179"/>
    <w:rsid w:val="000F3839"/>
    <w:rsid w:val="000F3A98"/>
    <w:rsid w:val="000F3BC4"/>
    <w:rsid w:val="000F3DD9"/>
    <w:rsid w:val="000F492B"/>
    <w:rsid w:val="000F4945"/>
    <w:rsid w:val="000F4D9F"/>
    <w:rsid w:val="000F517A"/>
    <w:rsid w:val="000F53E0"/>
    <w:rsid w:val="000F56CE"/>
    <w:rsid w:val="000F5852"/>
    <w:rsid w:val="000F5A2E"/>
    <w:rsid w:val="000F5B13"/>
    <w:rsid w:val="000F5DC1"/>
    <w:rsid w:val="000F6B0F"/>
    <w:rsid w:val="000F7AC5"/>
    <w:rsid w:val="000F7B3D"/>
    <w:rsid w:val="000F7DF4"/>
    <w:rsid w:val="0010018A"/>
    <w:rsid w:val="00100550"/>
    <w:rsid w:val="00100846"/>
    <w:rsid w:val="001011E1"/>
    <w:rsid w:val="00101800"/>
    <w:rsid w:val="0010188F"/>
    <w:rsid w:val="00101912"/>
    <w:rsid w:val="00101A28"/>
    <w:rsid w:val="00101BA2"/>
    <w:rsid w:val="00101FF0"/>
    <w:rsid w:val="001020A5"/>
    <w:rsid w:val="0010256B"/>
    <w:rsid w:val="001034FD"/>
    <w:rsid w:val="00103576"/>
    <w:rsid w:val="0010390B"/>
    <w:rsid w:val="00103FC7"/>
    <w:rsid w:val="0010408B"/>
    <w:rsid w:val="00104766"/>
    <w:rsid w:val="00105673"/>
    <w:rsid w:val="00105AC5"/>
    <w:rsid w:val="00105B19"/>
    <w:rsid w:val="00105EF9"/>
    <w:rsid w:val="001061FC"/>
    <w:rsid w:val="0010699C"/>
    <w:rsid w:val="00106C7C"/>
    <w:rsid w:val="00106E83"/>
    <w:rsid w:val="0010715B"/>
    <w:rsid w:val="00107485"/>
    <w:rsid w:val="001075C2"/>
    <w:rsid w:val="00107DBD"/>
    <w:rsid w:val="0011028E"/>
    <w:rsid w:val="001102BF"/>
    <w:rsid w:val="0011121E"/>
    <w:rsid w:val="001113D9"/>
    <w:rsid w:val="001115D8"/>
    <w:rsid w:val="00111877"/>
    <w:rsid w:val="00111F46"/>
    <w:rsid w:val="0011255D"/>
    <w:rsid w:val="00112C1D"/>
    <w:rsid w:val="001133CB"/>
    <w:rsid w:val="00113FE0"/>
    <w:rsid w:val="00114440"/>
    <w:rsid w:val="001152B7"/>
    <w:rsid w:val="0011545A"/>
    <w:rsid w:val="001157DA"/>
    <w:rsid w:val="00115E40"/>
    <w:rsid w:val="0011617E"/>
    <w:rsid w:val="00116EED"/>
    <w:rsid w:val="00116FA2"/>
    <w:rsid w:val="0011713D"/>
    <w:rsid w:val="0011722F"/>
    <w:rsid w:val="00117667"/>
    <w:rsid w:val="00117913"/>
    <w:rsid w:val="00117933"/>
    <w:rsid w:val="00117CF0"/>
    <w:rsid w:val="001202CB"/>
    <w:rsid w:val="001206A6"/>
    <w:rsid w:val="00120DA3"/>
    <w:rsid w:val="00121341"/>
    <w:rsid w:val="00121B93"/>
    <w:rsid w:val="00122427"/>
    <w:rsid w:val="001233FD"/>
    <w:rsid w:val="001234E0"/>
    <w:rsid w:val="00123B7E"/>
    <w:rsid w:val="00124938"/>
    <w:rsid w:val="0012518B"/>
    <w:rsid w:val="0012587A"/>
    <w:rsid w:val="00126830"/>
    <w:rsid w:val="0012763C"/>
    <w:rsid w:val="001276A2"/>
    <w:rsid w:val="00130504"/>
    <w:rsid w:val="0013070A"/>
    <w:rsid w:val="00130711"/>
    <w:rsid w:val="0013076E"/>
    <w:rsid w:val="00131CA8"/>
    <w:rsid w:val="00131F58"/>
    <w:rsid w:val="0013249F"/>
    <w:rsid w:val="00132F49"/>
    <w:rsid w:val="00133765"/>
    <w:rsid w:val="00134452"/>
    <w:rsid w:val="0013461B"/>
    <w:rsid w:val="00134E13"/>
    <w:rsid w:val="00135264"/>
    <w:rsid w:val="00135396"/>
    <w:rsid w:val="0013596C"/>
    <w:rsid w:val="001359AE"/>
    <w:rsid w:val="00135D48"/>
    <w:rsid w:val="00136183"/>
    <w:rsid w:val="00136492"/>
    <w:rsid w:val="00136593"/>
    <w:rsid w:val="00136C1A"/>
    <w:rsid w:val="00136F1F"/>
    <w:rsid w:val="001371B1"/>
    <w:rsid w:val="00137330"/>
    <w:rsid w:val="00137BBB"/>
    <w:rsid w:val="001404F8"/>
    <w:rsid w:val="00140806"/>
    <w:rsid w:val="001408E9"/>
    <w:rsid w:val="001411F7"/>
    <w:rsid w:val="00141981"/>
    <w:rsid w:val="00141A3C"/>
    <w:rsid w:val="00141C20"/>
    <w:rsid w:val="00141D2A"/>
    <w:rsid w:val="00142804"/>
    <w:rsid w:val="0014306A"/>
    <w:rsid w:val="001434AB"/>
    <w:rsid w:val="00143638"/>
    <w:rsid w:val="0014385C"/>
    <w:rsid w:val="00144413"/>
    <w:rsid w:val="00144A5C"/>
    <w:rsid w:val="00144A66"/>
    <w:rsid w:val="00144BE1"/>
    <w:rsid w:val="00144C36"/>
    <w:rsid w:val="00144CE7"/>
    <w:rsid w:val="001451FA"/>
    <w:rsid w:val="00145429"/>
    <w:rsid w:val="001456F3"/>
    <w:rsid w:val="00146450"/>
    <w:rsid w:val="00146795"/>
    <w:rsid w:val="0014686E"/>
    <w:rsid w:val="00146B87"/>
    <w:rsid w:val="00146C16"/>
    <w:rsid w:val="00146FAC"/>
    <w:rsid w:val="001475A5"/>
    <w:rsid w:val="001477C3"/>
    <w:rsid w:val="00147EA5"/>
    <w:rsid w:val="00150A9B"/>
    <w:rsid w:val="00151002"/>
    <w:rsid w:val="00151339"/>
    <w:rsid w:val="00151579"/>
    <w:rsid w:val="00151A70"/>
    <w:rsid w:val="00152C5A"/>
    <w:rsid w:val="00153030"/>
    <w:rsid w:val="00153554"/>
    <w:rsid w:val="00153B2F"/>
    <w:rsid w:val="00153D6A"/>
    <w:rsid w:val="001541A3"/>
    <w:rsid w:val="001542E8"/>
    <w:rsid w:val="0015466C"/>
    <w:rsid w:val="00154771"/>
    <w:rsid w:val="001548C3"/>
    <w:rsid w:val="0015521A"/>
    <w:rsid w:val="00155B37"/>
    <w:rsid w:val="00155E50"/>
    <w:rsid w:val="001563CF"/>
    <w:rsid w:val="0015642E"/>
    <w:rsid w:val="0015673F"/>
    <w:rsid w:val="00156A41"/>
    <w:rsid w:val="00156D63"/>
    <w:rsid w:val="00157D23"/>
    <w:rsid w:val="00160165"/>
    <w:rsid w:val="001608D6"/>
    <w:rsid w:val="001610F2"/>
    <w:rsid w:val="001613BB"/>
    <w:rsid w:val="0016146A"/>
    <w:rsid w:val="001614E7"/>
    <w:rsid w:val="00161690"/>
    <w:rsid w:val="00161900"/>
    <w:rsid w:val="00161A6E"/>
    <w:rsid w:val="00161C49"/>
    <w:rsid w:val="00162738"/>
    <w:rsid w:val="001629B3"/>
    <w:rsid w:val="00162D3B"/>
    <w:rsid w:val="001631D5"/>
    <w:rsid w:val="00163B29"/>
    <w:rsid w:val="00163C3F"/>
    <w:rsid w:val="00163EC4"/>
    <w:rsid w:val="00163FF7"/>
    <w:rsid w:val="00164682"/>
    <w:rsid w:val="0016469D"/>
    <w:rsid w:val="001646A0"/>
    <w:rsid w:val="00164DC7"/>
    <w:rsid w:val="00165456"/>
    <w:rsid w:val="0016555F"/>
    <w:rsid w:val="00165BD8"/>
    <w:rsid w:val="00165F1E"/>
    <w:rsid w:val="0016623B"/>
    <w:rsid w:val="00166440"/>
    <w:rsid w:val="00166818"/>
    <w:rsid w:val="00166AC9"/>
    <w:rsid w:val="00166E34"/>
    <w:rsid w:val="00167199"/>
    <w:rsid w:val="0016734B"/>
    <w:rsid w:val="00167FF5"/>
    <w:rsid w:val="001701E9"/>
    <w:rsid w:val="00170A9D"/>
    <w:rsid w:val="00170B7A"/>
    <w:rsid w:val="00170C2C"/>
    <w:rsid w:val="00171574"/>
    <w:rsid w:val="0017192A"/>
    <w:rsid w:val="00171A40"/>
    <w:rsid w:val="00171CFF"/>
    <w:rsid w:val="001725B5"/>
    <w:rsid w:val="001733A2"/>
    <w:rsid w:val="00173AEF"/>
    <w:rsid w:val="00174906"/>
    <w:rsid w:val="00174A54"/>
    <w:rsid w:val="00174CB9"/>
    <w:rsid w:val="00175B5A"/>
    <w:rsid w:val="00175F52"/>
    <w:rsid w:val="00176032"/>
    <w:rsid w:val="0017650F"/>
    <w:rsid w:val="001765F0"/>
    <w:rsid w:val="00177508"/>
    <w:rsid w:val="001776BB"/>
    <w:rsid w:val="00177F04"/>
    <w:rsid w:val="00180234"/>
    <w:rsid w:val="00180321"/>
    <w:rsid w:val="0018049C"/>
    <w:rsid w:val="00180D68"/>
    <w:rsid w:val="00180D6C"/>
    <w:rsid w:val="00180E25"/>
    <w:rsid w:val="00181901"/>
    <w:rsid w:val="00182533"/>
    <w:rsid w:val="001829EA"/>
    <w:rsid w:val="00182B6C"/>
    <w:rsid w:val="00182F81"/>
    <w:rsid w:val="00183564"/>
    <w:rsid w:val="0018366B"/>
    <w:rsid w:val="00183D95"/>
    <w:rsid w:val="00183E4C"/>
    <w:rsid w:val="00184185"/>
    <w:rsid w:val="00184333"/>
    <w:rsid w:val="0018440D"/>
    <w:rsid w:val="00184886"/>
    <w:rsid w:val="00184ABA"/>
    <w:rsid w:val="00184BA4"/>
    <w:rsid w:val="00184CB8"/>
    <w:rsid w:val="00184D57"/>
    <w:rsid w:val="00184E4A"/>
    <w:rsid w:val="001857E0"/>
    <w:rsid w:val="00185A9F"/>
    <w:rsid w:val="00185B70"/>
    <w:rsid w:val="00185B8A"/>
    <w:rsid w:val="00186447"/>
    <w:rsid w:val="0018647A"/>
    <w:rsid w:val="00186891"/>
    <w:rsid w:val="00186ACF"/>
    <w:rsid w:val="00186F48"/>
    <w:rsid w:val="001877F4"/>
    <w:rsid w:val="00187B72"/>
    <w:rsid w:val="00187BFB"/>
    <w:rsid w:val="00187D1E"/>
    <w:rsid w:val="00190598"/>
    <w:rsid w:val="00191256"/>
    <w:rsid w:val="001914B1"/>
    <w:rsid w:val="001915A5"/>
    <w:rsid w:val="00191F51"/>
    <w:rsid w:val="00192010"/>
    <w:rsid w:val="0019260A"/>
    <w:rsid w:val="00192E51"/>
    <w:rsid w:val="0019348E"/>
    <w:rsid w:val="00193646"/>
    <w:rsid w:val="001936CF"/>
    <w:rsid w:val="00194D3A"/>
    <w:rsid w:val="00195633"/>
    <w:rsid w:val="001960B5"/>
    <w:rsid w:val="0019629A"/>
    <w:rsid w:val="001962E9"/>
    <w:rsid w:val="00196594"/>
    <w:rsid w:val="001965C5"/>
    <w:rsid w:val="00196F90"/>
    <w:rsid w:val="0019701B"/>
    <w:rsid w:val="00197849"/>
    <w:rsid w:val="001A01A6"/>
    <w:rsid w:val="001A0268"/>
    <w:rsid w:val="001A04F2"/>
    <w:rsid w:val="001A055B"/>
    <w:rsid w:val="001A07AC"/>
    <w:rsid w:val="001A0B80"/>
    <w:rsid w:val="001A0C25"/>
    <w:rsid w:val="001A1135"/>
    <w:rsid w:val="001A1F2F"/>
    <w:rsid w:val="001A2621"/>
    <w:rsid w:val="001A2802"/>
    <w:rsid w:val="001A2FF4"/>
    <w:rsid w:val="001A4075"/>
    <w:rsid w:val="001A41AA"/>
    <w:rsid w:val="001A448C"/>
    <w:rsid w:val="001A4D67"/>
    <w:rsid w:val="001A5193"/>
    <w:rsid w:val="001A5898"/>
    <w:rsid w:val="001A5BE9"/>
    <w:rsid w:val="001A65C2"/>
    <w:rsid w:val="001A6C27"/>
    <w:rsid w:val="001A6C92"/>
    <w:rsid w:val="001A6FFE"/>
    <w:rsid w:val="001A7725"/>
    <w:rsid w:val="001A7AA3"/>
    <w:rsid w:val="001A7C51"/>
    <w:rsid w:val="001A7CD5"/>
    <w:rsid w:val="001A7CEC"/>
    <w:rsid w:val="001B0259"/>
    <w:rsid w:val="001B0756"/>
    <w:rsid w:val="001B097D"/>
    <w:rsid w:val="001B0DA0"/>
    <w:rsid w:val="001B0FAA"/>
    <w:rsid w:val="001B1B8C"/>
    <w:rsid w:val="001B2DDC"/>
    <w:rsid w:val="001B305A"/>
    <w:rsid w:val="001B30CD"/>
    <w:rsid w:val="001B30D6"/>
    <w:rsid w:val="001B3B42"/>
    <w:rsid w:val="001B3C78"/>
    <w:rsid w:val="001B3D8F"/>
    <w:rsid w:val="001B4188"/>
    <w:rsid w:val="001B4202"/>
    <w:rsid w:val="001B46A9"/>
    <w:rsid w:val="001B48F3"/>
    <w:rsid w:val="001B4B4F"/>
    <w:rsid w:val="001B4E04"/>
    <w:rsid w:val="001B5290"/>
    <w:rsid w:val="001B58B9"/>
    <w:rsid w:val="001B5F81"/>
    <w:rsid w:val="001B6326"/>
    <w:rsid w:val="001B6499"/>
    <w:rsid w:val="001B6FFF"/>
    <w:rsid w:val="001B72E8"/>
    <w:rsid w:val="001B7385"/>
    <w:rsid w:val="001B75B3"/>
    <w:rsid w:val="001B76BD"/>
    <w:rsid w:val="001B7D8D"/>
    <w:rsid w:val="001B7E9B"/>
    <w:rsid w:val="001C039A"/>
    <w:rsid w:val="001C03D0"/>
    <w:rsid w:val="001C0881"/>
    <w:rsid w:val="001C093C"/>
    <w:rsid w:val="001C0BC2"/>
    <w:rsid w:val="001C0CF8"/>
    <w:rsid w:val="001C138E"/>
    <w:rsid w:val="001C1AB6"/>
    <w:rsid w:val="001C2568"/>
    <w:rsid w:val="001C263D"/>
    <w:rsid w:val="001C2E6A"/>
    <w:rsid w:val="001C3014"/>
    <w:rsid w:val="001C31A2"/>
    <w:rsid w:val="001C35D2"/>
    <w:rsid w:val="001C3861"/>
    <w:rsid w:val="001C3900"/>
    <w:rsid w:val="001C3995"/>
    <w:rsid w:val="001C3C80"/>
    <w:rsid w:val="001C3EDB"/>
    <w:rsid w:val="001C5032"/>
    <w:rsid w:val="001C51F4"/>
    <w:rsid w:val="001C571A"/>
    <w:rsid w:val="001C57AF"/>
    <w:rsid w:val="001C6141"/>
    <w:rsid w:val="001C63B4"/>
    <w:rsid w:val="001C718F"/>
    <w:rsid w:val="001C75C8"/>
    <w:rsid w:val="001C76F3"/>
    <w:rsid w:val="001C7B2F"/>
    <w:rsid w:val="001C7E17"/>
    <w:rsid w:val="001C7E2C"/>
    <w:rsid w:val="001D038A"/>
    <w:rsid w:val="001D0A91"/>
    <w:rsid w:val="001D0A9E"/>
    <w:rsid w:val="001D0B5C"/>
    <w:rsid w:val="001D1118"/>
    <w:rsid w:val="001D12C4"/>
    <w:rsid w:val="001D15BC"/>
    <w:rsid w:val="001D1737"/>
    <w:rsid w:val="001D18E9"/>
    <w:rsid w:val="001D1944"/>
    <w:rsid w:val="001D1B4E"/>
    <w:rsid w:val="001D308A"/>
    <w:rsid w:val="001D3302"/>
    <w:rsid w:val="001D3DCF"/>
    <w:rsid w:val="001D3E40"/>
    <w:rsid w:val="001D5209"/>
    <w:rsid w:val="001D5488"/>
    <w:rsid w:val="001D55E6"/>
    <w:rsid w:val="001D5732"/>
    <w:rsid w:val="001D622F"/>
    <w:rsid w:val="001D67AF"/>
    <w:rsid w:val="001D680A"/>
    <w:rsid w:val="001D6AF7"/>
    <w:rsid w:val="001D6DA8"/>
    <w:rsid w:val="001D6E21"/>
    <w:rsid w:val="001D6E6D"/>
    <w:rsid w:val="001D70E2"/>
    <w:rsid w:val="001D7397"/>
    <w:rsid w:val="001D7754"/>
    <w:rsid w:val="001D7807"/>
    <w:rsid w:val="001D7B8A"/>
    <w:rsid w:val="001D7FC8"/>
    <w:rsid w:val="001E0219"/>
    <w:rsid w:val="001E04D9"/>
    <w:rsid w:val="001E0A3A"/>
    <w:rsid w:val="001E0DA6"/>
    <w:rsid w:val="001E1178"/>
    <w:rsid w:val="001E16C8"/>
    <w:rsid w:val="001E171D"/>
    <w:rsid w:val="001E1AA1"/>
    <w:rsid w:val="001E1AD3"/>
    <w:rsid w:val="001E1F23"/>
    <w:rsid w:val="001E238E"/>
    <w:rsid w:val="001E24CA"/>
    <w:rsid w:val="001E26F7"/>
    <w:rsid w:val="001E29D4"/>
    <w:rsid w:val="001E29FD"/>
    <w:rsid w:val="001E2B24"/>
    <w:rsid w:val="001E2D64"/>
    <w:rsid w:val="001E31C7"/>
    <w:rsid w:val="001E32D4"/>
    <w:rsid w:val="001E370D"/>
    <w:rsid w:val="001E37D1"/>
    <w:rsid w:val="001E440E"/>
    <w:rsid w:val="001E468B"/>
    <w:rsid w:val="001E4A12"/>
    <w:rsid w:val="001E4F16"/>
    <w:rsid w:val="001E4FF7"/>
    <w:rsid w:val="001E52C6"/>
    <w:rsid w:val="001E55EF"/>
    <w:rsid w:val="001E5692"/>
    <w:rsid w:val="001E5840"/>
    <w:rsid w:val="001E5D5A"/>
    <w:rsid w:val="001E5D70"/>
    <w:rsid w:val="001E63BB"/>
    <w:rsid w:val="001E68DF"/>
    <w:rsid w:val="001E7254"/>
    <w:rsid w:val="001E72BB"/>
    <w:rsid w:val="001E747E"/>
    <w:rsid w:val="001E7B62"/>
    <w:rsid w:val="001E7E92"/>
    <w:rsid w:val="001F0591"/>
    <w:rsid w:val="001F062B"/>
    <w:rsid w:val="001F06D2"/>
    <w:rsid w:val="001F08CF"/>
    <w:rsid w:val="001F1030"/>
    <w:rsid w:val="001F118E"/>
    <w:rsid w:val="001F1496"/>
    <w:rsid w:val="001F158F"/>
    <w:rsid w:val="001F1711"/>
    <w:rsid w:val="001F1715"/>
    <w:rsid w:val="001F18AB"/>
    <w:rsid w:val="001F1952"/>
    <w:rsid w:val="001F1FE8"/>
    <w:rsid w:val="001F28AD"/>
    <w:rsid w:val="001F2A29"/>
    <w:rsid w:val="001F2B27"/>
    <w:rsid w:val="001F2FBC"/>
    <w:rsid w:val="001F30CF"/>
    <w:rsid w:val="001F3332"/>
    <w:rsid w:val="001F3655"/>
    <w:rsid w:val="001F3CE6"/>
    <w:rsid w:val="001F3E6C"/>
    <w:rsid w:val="001F424C"/>
    <w:rsid w:val="001F4263"/>
    <w:rsid w:val="001F4BC8"/>
    <w:rsid w:val="001F4C3E"/>
    <w:rsid w:val="001F4CC0"/>
    <w:rsid w:val="001F51EB"/>
    <w:rsid w:val="001F538D"/>
    <w:rsid w:val="001F59A3"/>
    <w:rsid w:val="001F5C7A"/>
    <w:rsid w:val="001F64C2"/>
    <w:rsid w:val="001F671B"/>
    <w:rsid w:val="001F6DC8"/>
    <w:rsid w:val="001F7144"/>
    <w:rsid w:val="002002EB"/>
    <w:rsid w:val="0020034E"/>
    <w:rsid w:val="002007CF"/>
    <w:rsid w:val="00200BEC"/>
    <w:rsid w:val="0020151B"/>
    <w:rsid w:val="00201F51"/>
    <w:rsid w:val="00202104"/>
    <w:rsid w:val="0020273C"/>
    <w:rsid w:val="00202A0B"/>
    <w:rsid w:val="002037ED"/>
    <w:rsid w:val="00203A84"/>
    <w:rsid w:val="0020458C"/>
    <w:rsid w:val="00204D76"/>
    <w:rsid w:val="00204FFA"/>
    <w:rsid w:val="002054EE"/>
    <w:rsid w:val="00205B62"/>
    <w:rsid w:val="00205C70"/>
    <w:rsid w:val="00205D01"/>
    <w:rsid w:val="0020644E"/>
    <w:rsid w:val="00207099"/>
    <w:rsid w:val="002070D8"/>
    <w:rsid w:val="0020743E"/>
    <w:rsid w:val="00207DB9"/>
    <w:rsid w:val="0021043E"/>
    <w:rsid w:val="002105C6"/>
    <w:rsid w:val="0021081E"/>
    <w:rsid w:val="00210E42"/>
    <w:rsid w:val="002111A3"/>
    <w:rsid w:val="002113BC"/>
    <w:rsid w:val="002115A0"/>
    <w:rsid w:val="002119C4"/>
    <w:rsid w:val="00211B58"/>
    <w:rsid w:val="0021224E"/>
    <w:rsid w:val="00212401"/>
    <w:rsid w:val="00213CD3"/>
    <w:rsid w:val="00213DA6"/>
    <w:rsid w:val="00213FA2"/>
    <w:rsid w:val="00214166"/>
    <w:rsid w:val="002144C0"/>
    <w:rsid w:val="0021483B"/>
    <w:rsid w:val="00214BA8"/>
    <w:rsid w:val="00214DE2"/>
    <w:rsid w:val="00214FC4"/>
    <w:rsid w:val="002151E1"/>
    <w:rsid w:val="002158F8"/>
    <w:rsid w:val="00215A91"/>
    <w:rsid w:val="00215F42"/>
    <w:rsid w:val="00216C08"/>
    <w:rsid w:val="00216CF0"/>
    <w:rsid w:val="002170C3"/>
    <w:rsid w:val="00217129"/>
    <w:rsid w:val="00217871"/>
    <w:rsid w:val="0022119C"/>
    <w:rsid w:val="0022145E"/>
    <w:rsid w:val="00221613"/>
    <w:rsid w:val="0022199F"/>
    <w:rsid w:val="00221CF5"/>
    <w:rsid w:val="00221E4B"/>
    <w:rsid w:val="002224BB"/>
    <w:rsid w:val="00222525"/>
    <w:rsid w:val="002232DB"/>
    <w:rsid w:val="00223CBE"/>
    <w:rsid w:val="00224104"/>
    <w:rsid w:val="00224CA1"/>
    <w:rsid w:val="00224CC4"/>
    <w:rsid w:val="00225331"/>
    <w:rsid w:val="00225C22"/>
    <w:rsid w:val="002271BF"/>
    <w:rsid w:val="00227C0F"/>
    <w:rsid w:val="00227F1D"/>
    <w:rsid w:val="0023047C"/>
    <w:rsid w:val="00230D78"/>
    <w:rsid w:val="00230EB3"/>
    <w:rsid w:val="00230EFD"/>
    <w:rsid w:val="0023113E"/>
    <w:rsid w:val="00231597"/>
    <w:rsid w:val="00231943"/>
    <w:rsid w:val="00231BF8"/>
    <w:rsid w:val="002323C8"/>
    <w:rsid w:val="00232E70"/>
    <w:rsid w:val="00233DE1"/>
    <w:rsid w:val="0023447E"/>
    <w:rsid w:val="002346A9"/>
    <w:rsid w:val="00234E41"/>
    <w:rsid w:val="00234EDC"/>
    <w:rsid w:val="00234F26"/>
    <w:rsid w:val="00235902"/>
    <w:rsid w:val="00236418"/>
    <w:rsid w:val="002364BE"/>
    <w:rsid w:val="002369CE"/>
    <w:rsid w:val="00236B20"/>
    <w:rsid w:val="00236F31"/>
    <w:rsid w:val="0023746E"/>
    <w:rsid w:val="00237A4C"/>
    <w:rsid w:val="00240261"/>
    <w:rsid w:val="0024053D"/>
    <w:rsid w:val="00240865"/>
    <w:rsid w:val="002418C8"/>
    <w:rsid w:val="00241F71"/>
    <w:rsid w:val="0024257D"/>
    <w:rsid w:val="002426FD"/>
    <w:rsid w:val="0024303F"/>
    <w:rsid w:val="0024362C"/>
    <w:rsid w:val="00243700"/>
    <w:rsid w:val="002441FC"/>
    <w:rsid w:val="00244744"/>
    <w:rsid w:val="00244970"/>
    <w:rsid w:val="00244ADC"/>
    <w:rsid w:val="00244F1B"/>
    <w:rsid w:val="00245050"/>
    <w:rsid w:val="002455F7"/>
    <w:rsid w:val="00245696"/>
    <w:rsid w:val="002462F5"/>
    <w:rsid w:val="00246E48"/>
    <w:rsid w:val="00246FF4"/>
    <w:rsid w:val="002470BC"/>
    <w:rsid w:val="00247C9D"/>
    <w:rsid w:val="0025003A"/>
    <w:rsid w:val="0025005B"/>
    <w:rsid w:val="002507FB"/>
    <w:rsid w:val="002509D7"/>
    <w:rsid w:val="00250C10"/>
    <w:rsid w:val="002515D5"/>
    <w:rsid w:val="00251684"/>
    <w:rsid w:val="002519A9"/>
    <w:rsid w:val="002519BF"/>
    <w:rsid w:val="00251DA4"/>
    <w:rsid w:val="0025234F"/>
    <w:rsid w:val="00252A52"/>
    <w:rsid w:val="00252E43"/>
    <w:rsid w:val="00252F7A"/>
    <w:rsid w:val="002536B2"/>
    <w:rsid w:val="00253F8B"/>
    <w:rsid w:val="00254137"/>
    <w:rsid w:val="00254789"/>
    <w:rsid w:val="00254872"/>
    <w:rsid w:val="002548CC"/>
    <w:rsid w:val="00254C5B"/>
    <w:rsid w:val="00255493"/>
    <w:rsid w:val="00256043"/>
    <w:rsid w:val="00256274"/>
    <w:rsid w:val="0025631A"/>
    <w:rsid w:val="0025633E"/>
    <w:rsid w:val="00256451"/>
    <w:rsid w:val="0025645C"/>
    <w:rsid w:val="002564FD"/>
    <w:rsid w:val="00256C9F"/>
    <w:rsid w:val="00257538"/>
    <w:rsid w:val="00257EC0"/>
    <w:rsid w:val="00260183"/>
    <w:rsid w:val="002607E8"/>
    <w:rsid w:val="00260AB7"/>
    <w:rsid w:val="00260ABC"/>
    <w:rsid w:val="00260EDA"/>
    <w:rsid w:val="00260F11"/>
    <w:rsid w:val="0026186A"/>
    <w:rsid w:val="00261F1E"/>
    <w:rsid w:val="00262119"/>
    <w:rsid w:val="0026211A"/>
    <w:rsid w:val="00262664"/>
    <w:rsid w:val="00262790"/>
    <w:rsid w:val="0026298F"/>
    <w:rsid w:val="00262BAC"/>
    <w:rsid w:val="00262D89"/>
    <w:rsid w:val="00262F1B"/>
    <w:rsid w:val="00263072"/>
    <w:rsid w:val="0026315F"/>
    <w:rsid w:val="00263748"/>
    <w:rsid w:val="00263A34"/>
    <w:rsid w:val="00263CAB"/>
    <w:rsid w:val="00263E30"/>
    <w:rsid w:val="0026403B"/>
    <w:rsid w:val="002642B2"/>
    <w:rsid w:val="00264556"/>
    <w:rsid w:val="0026470E"/>
    <w:rsid w:val="00264CD6"/>
    <w:rsid w:val="002650BD"/>
    <w:rsid w:val="002651E5"/>
    <w:rsid w:val="002653E4"/>
    <w:rsid w:val="002653E8"/>
    <w:rsid w:val="002655C7"/>
    <w:rsid w:val="00265994"/>
    <w:rsid w:val="00265AE0"/>
    <w:rsid w:val="00265C5D"/>
    <w:rsid w:val="00265F51"/>
    <w:rsid w:val="0026646D"/>
    <w:rsid w:val="00266C53"/>
    <w:rsid w:val="00266DB4"/>
    <w:rsid w:val="00266DB5"/>
    <w:rsid w:val="002679B5"/>
    <w:rsid w:val="00267B7B"/>
    <w:rsid w:val="00267C69"/>
    <w:rsid w:val="0027072F"/>
    <w:rsid w:val="00270839"/>
    <w:rsid w:val="00271119"/>
    <w:rsid w:val="00271316"/>
    <w:rsid w:val="00271632"/>
    <w:rsid w:val="0027170F"/>
    <w:rsid w:val="00271796"/>
    <w:rsid w:val="00272294"/>
    <w:rsid w:val="00272FE8"/>
    <w:rsid w:val="0027365B"/>
    <w:rsid w:val="0027402D"/>
    <w:rsid w:val="00274D75"/>
    <w:rsid w:val="002751BD"/>
    <w:rsid w:val="0027564A"/>
    <w:rsid w:val="00275B1A"/>
    <w:rsid w:val="00275DC0"/>
    <w:rsid w:val="00276125"/>
    <w:rsid w:val="0027630B"/>
    <w:rsid w:val="0027706F"/>
    <w:rsid w:val="002778B8"/>
    <w:rsid w:val="00277A6E"/>
    <w:rsid w:val="00277C95"/>
    <w:rsid w:val="00277D14"/>
    <w:rsid w:val="002803D2"/>
    <w:rsid w:val="0028059D"/>
    <w:rsid w:val="002809ED"/>
    <w:rsid w:val="00280B54"/>
    <w:rsid w:val="00280BA1"/>
    <w:rsid w:val="002813AC"/>
    <w:rsid w:val="00281C00"/>
    <w:rsid w:val="0028291A"/>
    <w:rsid w:val="00283083"/>
    <w:rsid w:val="002830ED"/>
    <w:rsid w:val="00283310"/>
    <w:rsid w:val="0028476C"/>
    <w:rsid w:val="00284945"/>
    <w:rsid w:val="0028508F"/>
    <w:rsid w:val="00285390"/>
    <w:rsid w:val="002857FB"/>
    <w:rsid w:val="00285974"/>
    <w:rsid w:val="0028611F"/>
    <w:rsid w:val="00286318"/>
    <w:rsid w:val="00286584"/>
    <w:rsid w:val="00286CB6"/>
    <w:rsid w:val="00286EB2"/>
    <w:rsid w:val="00286FD1"/>
    <w:rsid w:val="00287292"/>
    <w:rsid w:val="00287314"/>
    <w:rsid w:val="00287440"/>
    <w:rsid w:val="0028755C"/>
    <w:rsid w:val="00287C50"/>
    <w:rsid w:val="00287CC0"/>
    <w:rsid w:val="00287ED8"/>
    <w:rsid w:val="00290101"/>
    <w:rsid w:val="00290640"/>
    <w:rsid w:val="002906F5"/>
    <w:rsid w:val="0029082A"/>
    <w:rsid w:val="00291195"/>
    <w:rsid w:val="002914D9"/>
    <w:rsid w:val="00291CEE"/>
    <w:rsid w:val="0029227D"/>
    <w:rsid w:val="00292D85"/>
    <w:rsid w:val="002938A3"/>
    <w:rsid w:val="002939BE"/>
    <w:rsid w:val="00293D45"/>
    <w:rsid w:val="00294424"/>
    <w:rsid w:val="0029464C"/>
    <w:rsid w:val="002952F3"/>
    <w:rsid w:val="002956E4"/>
    <w:rsid w:val="00295A80"/>
    <w:rsid w:val="00295B81"/>
    <w:rsid w:val="00295D4D"/>
    <w:rsid w:val="00295DC6"/>
    <w:rsid w:val="0029672B"/>
    <w:rsid w:val="0029683F"/>
    <w:rsid w:val="002973B2"/>
    <w:rsid w:val="00297549"/>
    <w:rsid w:val="00297CE9"/>
    <w:rsid w:val="00297F39"/>
    <w:rsid w:val="002A0B23"/>
    <w:rsid w:val="002A166F"/>
    <w:rsid w:val="002A177B"/>
    <w:rsid w:val="002A1F2E"/>
    <w:rsid w:val="002A27B6"/>
    <w:rsid w:val="002A2E6C"/>
    <w:rsid w:val="002A35F6"/>
    <w:rsid w:val="002A41FC"/>
    <w:rsid w:val="002A4414"/>
    <w:rsid w:val="002A4966"/>
    <w:rsid w:val="002A4986"/>
    <w:rsid w:val="002A524C"/>
    <w:rsid w:val="002A5401"/>
    <w:rsid w:val="002A58A9"/>
    <w:rsid w:val="002A5921"/>
    <w:rsid w:val="002A5EBF"/>
    <w:rsid w:val="002A66A7"/>
    <w:rsid w:val="002A67D0"/>
    <w:rsid w:val="002A6867"/>
    <w:rsid w:val="002A6AE2"/>
    <w:rsid w:val="002A6D51"/>
    <w:rsid w:val="002A6DE2"/>
    <w:rsid w:val="002A6E08"/>
    <w:rsid w:val="002A707E"/>
    <w:rsid w:val="002A71A3"/>
    <w:rsid w:val="002A7390"/>
    <w:rsid w:val="002A7A35"/>
    <w:rsid w:val="002A7E79"/>
    <w:rsid w:val="002B0526"/>
    <w:rsid w:val="002B0593"/>
    <w:rsid w:val="002B07BE"/>
    <w:rsid w:val="002B0823"/>
    <w:rsid w:val="002B0D30"/>
    <w:rsid w:val="002B0D89"/>
    <w:rsid w:val="002B0EEB"/>
    <w:rsid w:val="002B14E9"/>
    <w:rsid w:val="002B1995"/>
    <w:rsid w:val="002B1AE3"/>
    <w:rsid w:val="002B1BF7"/>
    <w:rsid w:val="002B1FE7"/>
    <w:rsid w:val="002B2681"/>
    <w:rsid w:val="002B2824"/>
    <w:rsid w:val="002B2D04"/>
    <w:rsid w:val="002B3E5A"/>
    <w:rsid w:val="002B3F0D"/>
    <w:rsid w:val="002B465F"/>
    <w:rsid w:val="002B4C77"/>
    <w:rsid w:val="002B5316"/>
    <w:rsid w:val="002B5509"/>
    <w:rsid w:val="002B5929"/>
    <w:rsid w:val="002B5E1B"/>
    <w:rsid w:val="002B628E"/>
    <w:rsid w:val="002B645C"/>
    <w:rsid w:val="002B6BD6"/>
    <w:rsid w:val="002B6C3A"/>
    <w:rsid w:val="002B6D36"/>
    <w:rsid w:val="002B6F00"/>
    <w:rsid w:val="002B716F"/>
    <w:rsid w:val="002B719D"/>
    <w:rsid w:val="002B7667"/>
    <w:rsid w:val="002B7A94"/>
    <w:rsid w:val="002B7DB7"/>
    <w:rsid w:val="002B7DF2"/>
    <w:rsid w:val="002C0269"/>
    <w:rsid w:val="002C0E4E"/>
    <w:rsid w:val="002C1156"/>
    <w:rsid w:val="002C115D"/>
    <w:rsid w:val="002C173F"/>
    <w:rsid w:val="002C184B"/>
    <w:rsid w:val="002C194F"/>
    <w:rsid w:val="002C1F83"/>
    <w:rsid w:val="002C2938"/>
    <w:rsid w:val="002C2EDC"/>
    <w:rsid w:val="002C38DE"/>
    <w:rsid w:val="002C3B5B"/>
    <w:rsid w:val="002C3FDE"/>
    <w:rsid w:val="002C41E1"/>
    <w:rsid w:val="002C48B3"/>
    <w:rsid w:val="002C5264"/>
    <w:rsid w:val="002C528F"/>
    <w:rsid w:val="002C62E8"/>
    <w:rsid w:val="002C6821"/>
    <w:rsid w:val="002C6B74"/>
    <w:rsid w:val="002C7180"/>
    <w:rsid w:val="002C780F"/>
    <w:rsid w:val="002C7A41"/>
    <w:rsid w:val="002C7C02"/>
    <w:rsid w:val="002D002C"/>
    <w:rsid w:val="002D0470"/>
    <w:rsid w:val="002D0779"/>
    <w:rsid w:val="002D1233"/>
    <w:rsid w:val="002D1417"/>
    <w:rsid w:val="002D17D9"/>
    <w:rsid w:val="002D18C5"/>
    <w:rsid w:val="002D1BD0"/>
    <w:rsid w:val="002D1CFC"/>
    <w:rsid w:val="002D251C"/>
    <w:rsid w:val="002D26DE"/>
    <w:rsid w:val="002D2763"/>
    <w:rsid w:val="002D2932"/>
    <w:rsid w:val="002D3040"/>
    <w:rsid w:val="002D3673"/>
    <w:rsid w:val="002D3BB6"/>
    <w:rsid w:val="002D3F03"/>
    <w:rsid w:val="002D42D2"/>
    <w:rsid w:val="002D4539"/>
    <w:rsid w:val="002D4AC3"/>
    <w:rsid w:val="002D4DA3"/>
    <w:rsid w:val="002D675C"/>
    <w:rsid w:val="002D72AE"/>
    <w:rsid w:val="002D750A"/>
    <w:rsid w:val="002D79EC"/>
    <w:rsid w:val="002E0322"/>
    <w:rsid w:val="002E0368"/>
    <w:rsid w:val="002E056D"/>
    <w:rsid w:val="002E0A50"/>
    <w:rsid w:val="002E0DA2"/>
    <w:rsid w:val="002E0FEC"/>
    <w:rsid w:val="002E1185"/>
    <w:rsid w:val="002E1203"/>
    <w:rsid w:val="002E19BE"/>
    <w:rsid w:val="002E2DC0"/>
    <w:rsid w:val="002E2EC0"/>
    <w:rsid w:val="002E316F"/>
    <w:rsid w:val="002E3250"/>
    <w:rsid w:val="002E3844"/>
    <w:rsid w:val="002E39CB"/>
    <w:rsid w:val="002E48BC"/>
    <w:rsid w:val="002E52D1"/>
    <w:rsid w:val="002E5D8C"/>
    <w:rsid w:val="002E614A"/>
    <w:rsid w:val="002E69B4"/>
    <w:rsid w:val="002E6C8D"/>
    <w:rsid w:val="002E6DDF"/>
    <w:rsid w:val="002E72A3"/>
    <w:rsid w:val="002E7551"/>
    <w:rsid w:val="002E75E8"/>
    <w:rsid w:val="002E7880"/>
    <w:rsid w:val="002F0DE2"/>
    <w:rsid w:val="002F0F49"/>
    <w:rsid w:val="002F15CB"/>
    <w:rsid w:val="002F166E"/>
    <w:rsid w:val="002F19BB"/>
    <w:rsid w:val="002F1CB5"/>
    <w:rsid w:val="002F2BF8"/>
    <w:rsid w:val="002F3447"/>
    <w:rsid w:val="002F3648"/>
    <w:rsid w:val="002F37E6"/>
    <w:rsid w:val="002F4DB5"/>
    <w:rsid w:val="002F5429"/>
    <w:rsid w:val="002F5F43"/>
    <w:rsid w:val="002F609D"/>
    <w:rsid w:val="002F60AB"/>
    <w:rsid w:val="002F6860"/>
    <w:rsid w:val="002F6891"/>
    <w:rsid w:val="002F7026"/>
    <w:rsid w:val="002F76EE"/>
    <w:rsid w:val="002F7D9F"/>
    <w:rsid w:val="0030024A"/>
    <w:rsid w:val="003003BD"/>
    <w:rsid w:val="003008B0"/>
    <w:rsid w:val="003009CD"/>
    <w:rsid w:val="00301260"/>
    <w:rsid w:val="0030129B"/>
    <w:rsid w:val="00301380"/>
    <w:rsid w:val="00301444"/>
    <w:rsid w:val="0030150B"/>
    <w:rsid w:val="0030174C"/>
    <w:rsid w:val="0030176A"/>
    <w:rsid w:val="003017D8"/>
    <w:rsid w:val="00301C7D"/>
    <w:rsid w:val="00301DA7"/>
    <w:rsid w:val="00301F1A"/>
    <w:rsid w:val="00302A9B"/>
    <w:rsid w:val="00302B05"/>
    <w:rsid w:val="00302EF5"/>
    <w:rsid w:val="00303F4B"/>
    <w:rsid w:val="00304DD9"/>
    <w:rsid w:val="00305BED"/>
    <w:rsid w:val="00305F61"/>
    <w:rsid w:val="003060A2"/>
    <w:rsid w:val="0030693F"/>
    <w:rsid w:val="00306B7C"/>
    <w:rsid w:val="00306F95"/>
    <w:rsid w:val="00307284"/>
    <w:rsid w:val="00307E0D"/>
    <w:rsid w:val="00310567"/>
    <w:rsid w:val="003108AE"/>
    <w:rsid w:val="00310BD2"/>
    <w:rsid w:val="00310ED7"/>
    <w:rsid w:val="003114C3"/>
    <w:rsid w:val="00311674"/>
    <w:rsid w:val="00311AC2"/>
    <w:rsid w:val="00311B36"/>
    <w:rsid w:val="00311BD5"/>
    <w:rsid w:val="00312073"/>
    <w:rsid w:val="003124AD"/>
    <w:rsid w:val="0031269B"/>
    <w:rsid w:val="003126AA"/>
    <w:rsid w:val="00312779"/>
    <w:rsid w:val="00312966"/>
    <w:rsid w:val="00312F11"/>
    <w:rsid w:val="0031304A"/>
    <w:rsid w:val="003133AA"/>
    <w:rsid w:val="003137FC"/>
    <w:rsid w:val="00313939"/>
    <w:rsid w:val="00313DE9"/>
    <w:rsid w:val="00313F0C"/>
    <w:rsid w:val="0031435A"/>
    <w:rsid w:val="00314EBF"/>
    <w:rsid w:val="00315150"/>
    <w:rsid w:val="00315523"/>
    <w:rsid w:val="00315560"/>
    <w:rsid w:val="0031572F"/>
    <w:rsid w:val="00315ADD"/>
    <w:rsid w:val="00315BD9"/>
    <w:rsid w:val="00315EF1"/>
    <w:rsid w:val="00315F5C"/>
    <w:rsid w:val="003166DB"/>
    <w:rsid w:val="003169E0"/>
    <w:rsid w:val="00316ADC"/>
    <w:rsid w:val="00316BC5"/>
    <w:rsid w:val="0031734E"/>
    <w:rsid w:val="0031798A"/>
    <w:rsid w:val="00317A7D"/>
    <w:rsid w:val="00317B77"/>
    <w:rsid w:val="00317C7E"/>
    <w:rsid w:val="0032049E"/>
    <w:rsid w:val="00320EFA"/>
    <w:rsid w:val="0032106B"/>
    <w:rsid w:val="00321135"/>
    <w:rsid w:val="00321C39"/>
    <w:rsid w:val="003222C6"/>
    <w:rsid w:val="00322B3D"/>
    <w:rsid w:val="0032302C"/>
    <w:rsid w:val="00323486"/>
    <w:rsid w:val="003236F2"/>
    <w:rsid w:val="00323C3E"/>
    <w:rsid w:val="00323E31"/>
    <w:rsid w:val="00324414"/>
    <w:rsid w:val="003246D7"/>
    <w:rsid w:val="003250D4"/>
    <w:rsid w:val="0032562F"/>
    <w:rsid w:val="003258B2"/>
    <w:rsid w:val="00325BB7"/>
    <w:rsid w:val="00325E2C"/>
    <w:rsid w:val="003262D9"/>
    <w:rsid w:val="003266FF"/>
    <w:rsid w:val="00326CD1"/>
    <w:rsid w:val="00326DA1"/>
    <w:rsid w:val="00327621"/>
    <w:rsid w:val="00327C39"/>
    <w:rsid w:val="00327DE7"/>
    <w:rsid w:val="003303C3"/>
    <w:rsid w:val="003309C1"/>
    <w:rsid w:val="00330B17"/>
    <w:rsid w:val="00330B93"/>
    <w:rsid w:val="00330D1A"/>
    <w:rsid w:val="00330E27"/>
    <w:rsid w:val="0033129B"/>
    <w:rsid w:val="0033178C"/>
    <w:rsid w:val="00331A6F"/>
    <w:rsid w:val="00331A93"/>
    <w:rsid w:val="00331AB2"/>
    <w:rsid w:val="00331F4B"/>
    <w:rsid w:val="0033240D"/>
    <w:rsid w:val="0033262A"/>
    <w:rsid w:val="00332EB7"/>
    <w:rsid w:val="0033362B"/>
    <w:rsid w:val="003341B1"/>
    <w:rsid w:val="00334204"/>
    <w:rsid w:val="003346BC"/>
    <w:rsid w:val="00334929"/>
    <w:rsid w:val="00334978"/>
    <w:rsid w:val="00334D9B"/>
    <w:rsid w:val="00335199"/>
    <w:rsid w:val="0033537B"/>
    <w:rsid w:val="00335D4F"/>
    <w:rsid w:val="00336195"/>
    <w:rsid w:val="00336D5E"/>
    <w:rsid w:val="00337113"/>
    <w:rsid w:val="00337282"/>
    <w:rsid w:val="003374D1"/>
    <w:rsid w:val="00337642"/>
    <w:rsid w:val="003376F6"/>
    <w:rsid w:val="00337701"/>
    <w:rsid w:val="00337999"/>
    <w:rsid w:val="00337C99"/>
    <w:rsid w:val="00337C9A"/>
    <w:rsid w:val="00340620"/>
    <w:rsid w:val="00340BE2"/>
    <w:rsid w:val="003413F3"/>
    <w:rsid w:val="00341547"/>
    <w:rsid w:val="00341BE9"/>
    <w:rsid w:val="00341C71"/>
    <w:rsid w:val="003423BD"/>
    <w:rsid w:val="00342518"/>
    <w:rsid w:val="00342682"/>
    <w:rsid w:val="00342840"/>
    <w:rsid w:val="00342867"/>
    <w:rsid w:val="00342A22"/>
    <w:rsid w:val="00342D85"/>
    <w:rsid w:val="00343CF1"/>
    <w:rsid w:val="0034408E"/>
    <w:rsid w:val="0034444B"/>
    <w:rsid w:val="00344E4E"/>
    <w:rsid w:val="00344E8A"/>
    <w:rsid w:val="00345BEE"/>
    <w:rsid w:val="00345CD6"/>
    <w:rsid w:val="0034617D"/>
    <w:rsid w:val="003465C6"/>
    <w:rsid w:val="003469BA"/>
    <w:rsid w:val="00346C40"/>
    <w:rsid w:val="00346CA5"/>
    <w:rsid w:val="00346DA1"/>
    <w:rsid w:val="0034744B"/>
    <w:rsid w:val="003476BF"/>
    <w:rsid w:val="003477F6"/>
    <w:rsid w:val="00347907"/>
    <w:rsid w:val="003479FC"/>
    <w:rsid w:val="00350122"/>
    <w:rsid w:val="0035014D"/>
    <w:rsid w:val="0035087A"/>
    <w:rsid w:val="0035195A"/>
    <w:rsid w:val="00351ED8"/>
    <w:rsid w:val="00351F26"/>
    <w:rsid w:val="003524AC"/>
    <w:rsid w:val="003525DF"/>
    <w:rsid w:val="00352F10"/>
    <w:rsid w:val="003531DD"/>
    <w:rsid w:val="00353381"/>
    <w:rsid w:val="003537C4"/>
    <w:rsid w:val="0035381F"/>
    <w:rsid w:val="00353AC6"/>
    <w:rsid w:val="00353C18"/>
    <w:rsid w:val="00353D8F"/>
    <w:rsid w:val="00353FBB"/>
    <w:rsid w:val="00354606"/>
    <w:rsid w:val="00354D20"/>
    <w:rsid w:val="00355354"/>
    <w:rsid w:val="003557BD"/>
    <w:rsid w:val="003559EA"/>
    <w:rsid w:val="00355A41"/>
    <w:rsid w:val="00355B62"/>
    <w:rsid w:val="00355FBF"/>
    <w:rsid w:val="003562BB"/>
    <w:rsid w:val="003569CB"/>
    <w:rsid w:val="00356F29"/>
    <w:rsid w:val="00357326"/>
    <w:rsid w:val="00357335"/>
    <w:rsid w:val="003578CB"/>
    <w:rsid w:val="00357DA9"/>
    <w:rsid w:val="00357F14"/>
    <w:rsid w:val="0036009C"/>
    <w:rsid w:val="003600DF"/>
    <w:rsid w:val="003600FF"/>
    <w:rsid w:val="00360473"/>
    <w:rsid w:val="003606B0"/>
    <w:rsid w:val="0036085D"/>
    <w:rsid w:val="003608AC"/>
    <w:rsid w:val="0036116A"/>
    <w:rsid w:val="003612DC"/>
    <w:rsid w:val="00361310"/>
    <w:rsid w:val="003617FA"/>
    <w:rsid w:val="00361942"/>
    <w:rsid w:val="00361BFE"/>
    <w:rsid w:val="00361CE4"/>
    <w:rsid w:val="00361D57"/>
    <w:rsid w:val="00362E70"/>
    <w:rsid w:val="003635A7"/>
    <w:rsid w:val="0036373C"/>
    <w:rsid w:val="003639C5"/>
    <w:rsid w:val="00363C53"/>
    <w:rsid w:val="00363F36"/>
    <w:rsid w:val="0036421A"/>
    <w:rsid w:val="003644DA"/>
    <w:rsid w:val="0036470E"/>
    <w:rsid w:val="00364723"/>
    <w:rsid w:val="00364885"/>
    <w:rsid w:val="00365289"/>
    <w:rsid w:val="0036554E"/>
    <w:rsid w:val="00365B1B"/>
    <w:rsid w:val="00365DA7"/>
    <w:rsid w:val="00365F57"/>
    <w:rsid w:val="00366634"/>
    <w:rsid w:val="0036683F"/>
    <w:rsid w:val="00366A43"/>
    <w:rsid w:val="00367770"/>
    <w:rsid w:val="00367DC1"/>
    <w:rsid w:val="00370814"/>
    <w:rsid w:val="00370E44"/>
    <w:rsid w:val="0037172C"/>
    <w:rsid w:val="00371884"/>
    <w:rsid w:val="00371A60"/>
    <w:rsid w:val="00371AE7"/>
    <w:rsid w:val="00372BA9"/>
    <w:rsid w:val="0037317D"/>
    <w:rsid w:val="00373558"/>
    <w:rsid w:val="0037482E"/>
    <w:rsid w:val="00374B61"/>
    <w:rsid w:val="003751FA"/>
    <w:rsid w:val="003753B0"/>
    <w:rsid w:val="00375CEE"/>
    <w:rsid w:val="0037645C"/>
    <w:rsid w:val="00376525"/>
    <w:rsid w:val="003766EB"/>
    <w:rsid w:val="003766F0"/>
    <w:rsid w:val="00377497"/>
    <w:rsid w:val="0037793A"/>
    <w:rsid w:val="00377A14"/>
    <w:rsid w:val="00377EDE"/>
    <w:rsid w:val="00380405"/>
    <w:rsid w:val="0038062D"/>
    <w:rsid w:val="00380B0C"/>
    <w:rsid w:val="00380B2D"/>
    <w:rsid w:val="00380E15"/>
    <w:rsid w:val="00381717"/>
    <w:rsid w:val="003817CE"/>
    <w:rsid w:val="00381CFE"/>
    <w:rsid w:val="00382263"/>
    <w:rsid w:val="0038276B"/>
    <w:rsid w:val="00382783"/>
    <w:rsid w:val="00382F54"/>
    <w:rsid w:val="00383301"/>
    <w:rsid w:val="003838CE"/>
    <w:rsid w:val="00383B78"/>
    <w:rsid w:val="00383C24"/>
    <w:rsid w:val="00384771"/>
    <w:rsid w:val="003848E9"/>
    <w:rsid w:val="00384B15"/>
    <w:rsid w:val="00384E79"/>
    <w:rsid w:val="00384F83"/>
    <w:rsid w:val="00385160"/>
    <w:rsid w:val="00385251"/>
    <w:rsid w:val="00385B83"/>
    <w:rsid w:val="00385FF1"/>
    <w:rsid w:val="00386013"/>
    <w:rsid w:val="0038699F"/>
    <w:rsid w:val="00386EAC"/>
    <w:rsid w:val="0038789E"/>
    <w:rsid w:val="00387BBC"/>
    <w:rsid w:val="00387ECF"/>
    <w:rsid w:val="00387EE5"/>
    <w:rsid w:val="00390487"/>
    <w:rsid w:val="00390963"/>
    <w:rsid w:val="00391236"/>
    <w:rsid w:val="003915D3"/>
    <w:rsid w:val="003917D5"/>
    <w:rsid w:val="0039190D"/>
    <w:rsid w:val="0039194B"/>
    <w:rsid w:val="00391E43"/>
    <w:rsid w:val="0039234D"/>
    <w:rsid w:val="0039256A"/>
    <w:rsid w:val="0039262D"/>
    <w:rsid w:val="0039278D"/>
    <w:rsid w:val="003928D5"/>
    <w:rsid w:val="003936BA"/>
    <w:rsid w:val="00393C18"/>
    <w:rsid w:val="00393CF3"/>
    <w:rsid w:val="00393EC1"/>
    <w:rsid w:val="00394069"/>
    <w:rsid w:val="00394DD0"/>
    <w:rsid w:val="00395651"/>
    <w:rsid w:val="00395F3B"/>
    <w:rsid w:val="00396C21"/>
    <w:rsid w:val="003972A9"/>
    <w:rsid w:val="003972DA"/>
    <w:rsid w:val="00397788"/>
    <w:rsid w:val="00397ABE"/>
    <w:rsid w:val="003A0042"/>
    <w:rsid w:val="003A053E"/>
    <w:rsid w:val="003A087B"/>
    <w:rsid w:val="003A0B68"/>
    <w:rsid w:val="003A0FB6"/>
    <w:rsid w:val="003A14DB"/>
    <w:rsid w:val="003A1C66"/>
    <w:rsid w:val="003A2207"/>
    <w:rsid w:val="003A27B9"/>
    <w:rsid w:val="003A2F04"/>
    <w:rsid w:val="003A31DA"/>
    <w:rsid w:val="003A3255"/>
    <w:rsid w:val="003A3544"/>
    <w:rsid w:val="003A4041"/>
    <w:rsid w:val="003A4528"/>
    <w:rsid w:val="003A4838"/>
    <w:rsid w:val="003A48ED"/>
    <w:rsid w:val="003A4EF8"/>
    <w:rsid w:val="003A59B2"/>
    <w:rsid w:val="003A5C01"/>
    <w:rsid w:val="003A64F1"/>
    <w:rsid w:val="003A67C5"/>
    <w:rsid w:val="003A6E66"/>
    <w:rsid w:val="003A7106"/>
    <w:rsid w:val="003A7588"/>
    <w:rsid w:val="003A78FE"/>
    <w:rsid w:val="003A7CA6"/>
    <w:rsid w:val="003B0FCC"/>
    <w:rsid w:val="003B0FF8"/>
    <w:rsid w:val="003B1345"/>
    <w:rsid w:val="003B1BE1"/>
    <w:rsid w:val="003B200D"/>
    <w:rsid w:val="003B26D9"/>
    <w:rsid w:val="003B2D87"/>
    <w:rsid w:val="003B2F02"/>
    <w:rsid w:val="003B30CA"/>
    <w:rsid w:val="003B31FB"/>
    <w:rsid w:val="003B32DE"/>
    <w:rsid w:val="003B3509"/>
    <w:rsid w:val="003B39E3"/>
    <w:rsid w:val="003B3C80"/>
    <w:rsid w:val="003B3FAA"/>
    <w:rsid w:val="003B3FE7"/>
    <w:rsid w:val="003B40D1"/>
    <w:rsid w:val="003B4449"/>
    <w:rsid w:val="003B4B65"/>
    <w:rsid w:val="003B4CB9"/>
    <w:rsid w:val="003B543A"/>
    <w:rsid w:val="003B5F30"/>
    <w:rsid w:val="003B63E6"/>
    <w:rsid w:val="003B6489"/>
    <w:rsid w:val="003B6662"/>
    <w:rsid w:val="003B72E2"/>
    <w:rsid w:val="003B7A6B"/>
    <w:rsid w:val="003C05CA"/>
    <w:rsid w:val="003C0921"/>
    <w:rsid w:val="003C100E"/>
    <w:rsid w:val="003C143B"/>
    <w:rsid w:val="003C185E"/>
    <w:rsid w:val="003C1ACE"/>
    <w:rsid w:val="003C1E35"/>
    <w:rsid w:val="003C1F31"/>
    <w:rsid w:val="003C2DC4"/>
    <w:rsid w:val="003C2F17"/>
    <w:rsid w:val="003C31C8"/>
    <w:rsid w:val="003C320A"/>
    <w:rsid w:val="003C380D"/>
    <w:rsid w:val="003C3CDE"/>
    <w:rsid w:val="003C5139"/>
    <w:rsid w:val="003C53A6"/>
    <w:rsid w:val="003C5602"/>
    <w:rsid w:val="003C5F2F"/>
    <w:rsid w:val="003C65D9"/>
    <w:rsid w:val="003C686D"/>
    <w:rsid w:val="003C6D25"/>
    <w:rsid w:val="003C700D"/>
    <w:rsid w:val="003C7291"/>
    <w:rsid w:val="003D0BB7"/>
    <w:rsid w:val="003D18AB"/>
    <w:rsid w:val="003D18AE"/>
    <w:rsid w:val="003D1A96"/>
    <w:rsid w:val="003D1B60"/>
    <w:rsid w:val="003D2B16"/>
    <w:rsid w:val="003D2DA0"/>
    <w:rsid w:val="003D2FB7"/>
    <w:rsid w:val="003D3F28"/>
    <w:rsid w:val="003D477C"/>
    <w:rsid w:val="003D487F"/>
    <w:rsid w:val="003D4BB7"/>
    <w:rsid w:val="003D52AC"/>
    <w:rsid w:val="003D5335"/>
    <w:rsid w:val="003D5607"/>
    <w:rsid w:val="003D561F"/>
    <w:rsid w:val="003D566E"/>
    <w:rsid w:val="003D5880"/>
    <w:rsid w:val="003D5B79"/>
    <w:rsid w:val="003D5ED9"/>
    <w:rsid w:val="003D5EDC"/>
    <w:rsid w:val="003D6A1F"/>
    <w:rsid w:val="003D77A5"/>
    <w:rsid w:val="003E004A"/>
    <w:rsid w:val="003E112C"/>
    <w:rsid w:val="003E14FD"/>
    <w:rsid w:val="003E2289"/>
    <w:rsid w:val="003E23D6"/>
    <w:rsid w:val="003E271A"/>
    <w:rsid w:val="003E2EB6"/>
    <w:rsid w:val="003E33DA"/>
    <w:rsid w:val="003E3671"/>
    <w:rsid w:val="003E3A3F"/>
    <w:rsid w:val="003E4181"/>
    <w:rsid w:val="003E5105"/>
    <w:rsid w:val="003E569B"/>
    <w:rsid w:val="003E56C2"/>
    <w:rsid w:val="003E5775"/>
    <w:rsid w:val="003E5A6F"/>
    <w:rsid w:val="003E5EA3"/>
    <w:rsid w:val="003E66FC"/>
    <w:rsid w:val="003E7B9C"/>
    <w:rsid w:val="003E7F0E"/>
    <w:rsid w:val="003F02E5"/>
    <w:rsid w:val="003F0797"/>
    <w:rsid w:val="003F0877"/>
    <w:rsid w:val="003F0FD3"/>
    <w:rsid w:val="003F1090"/>
    <w:rsid w:val="003F19D2"/>
    <w:rsid w:val="003F1D20"/>
    <w:rsid w:val="003F1FD2"/>
    <w:rsid w:val="003F21C2"/>
    <w:rsid w:val="003F24B3"/>
    <w:rsid w:val="003F275A"/>
    <w:rsid w:val="003F3705"/>
    <w:rsid w:val="003F3D64"/>
    <w:rsid w:val="003F4321"/>
    <w:rsid w:val="003F4329"/>
    <w:rsid w:val="003F438D"/>
    <w:rsid w:val="003F439C"/>
    <w:rsid w:val="003F46B0"/>
    <w:rsid w:val="003F54D7"/>
    <w:rsid w:val="003F5501"/>
    <w:rsid w:val="003F56A5"/>
    <w:rsid w:val="003F5AA6"/>
    <w:rsid w:val="003F5C00"/>
    <w:rsid w:val="003F5C03"/>
    <w:rsid w:val="003F61C9"/>
    <w:rsid w:val="003F6317"/>
    <w:rsid w:val="003F644A"/>
    <w:rsid w:val="003F6596"/>
    <w:rsid w:val="003F6F1F"/>
    <w:rsid w:val="003F7191"/>
    <w:rsid w:val="003F729B"/>
    <w:rsid w:val="00401533"/>
    <w:rsid w:val="004015D4"/>
    <w:rsid w:val="00401ACA"/>
    <w:rsid w:val="00401F15"/>
    <w:rsid w:val="004020A2"/>
    <w:rsid w:val="004029D5"/>
    <w:rsid w:val="00403296"/>
    <w:rsid w:val="0040339C"/>
    <w:rsid w:val="0040340D"/>
    <w:rsid w:val="0040357C"/>
    <w:rsid w:val="00403811"/>
    <w:rsid w:val="00403E3C"/>
    <w:rsid w:val="00403E85"/>
    <w:rsid w:val="00403FB0"/>
    <w:rsid w:val="004044BE"/>
    <w:rsid w:val="00405A8E"/>
    <w:rsid w:val="00406251"/>
    <w:rsid w:val="00406837"/>
    <w:rsid w:val="00406CD9"/>
    <w:rsid w:val="00406DD4"/>
    <w:rsid w:val="0040717E"/>
    <w:rsid w:val="00407326"/>
    <w:rsid w:val="00407701"/>
    <w:rsid w:val="00407EBF"/>
    <w:rsid w:val="00410036"/>
    <w:rsid w:val="00410919"/>
    <w:rsid w:val="00411879"/>
    <w:rsid w:val="00412048"/>
    <w:rsid w:val="0041228B"/>
    <w:rsid w:val="00412808"/>
    <w:rsid w:val="00412EDD"/>
    <w:rsid w:val="00413866"/>
    <w:rsid w:val="00413BD3"/>
    <w:rsid w:val="00414508"/>
    <w:rsid w:val="00414612"/>
    <w:rsid w:val="0041499B"/>
    <w:rsid w:val="00415877"/>
    <w:rsid w:val="00416C5A"/>
    <w:rsid w:val="00416D9F"/>
    <w:rsid w:val="004172FA"/>
    <w:rsid w:val="004178BC"/>
    <w:rsid w:val="00420EF6"/>
    <w:rsid w:val="00420F2A"/>
    <w:rsid w:val="00421376"/>
    <w:rsid w:val="00421469"/>
    <w:rsid w:val="004220F8"/>
    <w:rsid w:val="0042229D"/>
    <w:rsid w:val="00422335"/>
    <w:rsid w:val="00423B1B"/>
    <w:rsid w:val="00423B29"/>
    <w:rsid w:val="00424153"/>
    <w:rsid w:val="00424BF3"/>
    <w:rsid w:val="00425460"/>
    <w:rsid w:val="004256FB"/>
    <w:rsid w:val="0042579A"/>
    <w:rsid w:val="004259D4"/>
    <w:rsid w:val="004259F1"/>
    <w:rsid w:val="00425C96"/>
    <w:rsid w:val="00425DEC"/>
    <w:rsid w:val="00426080"/>
    <w:rsid w:val="004261D6"/>
    <w:rsid w:val="00426443"/>
    <w:rsid w:val="004267B7"/>
    <w:rsid w:val="00426F6B"/>
    <w:rsid w:val="004274FC"/>
    <w:rsid w:val="004276AA"/>
    <w:rsid w:val="00430233"/>
    <w:rsid w:val="00430862"/>
    <w:rsid w:val="004326C4"/>
    <w:rsid w:val="0043273D"/>
    <w:rsid w:val="00432785"/>
    <w:rsid w:val="00432A53"/>
    <w:rsid w:val="00433375"/>
    <w:rsid w:val="004334BE"/>
    <w:rsid w:val="004336F4"/>
    <w:rsid w:val="004337DE"/>
    <w:rsid w:val="00434207"/>
    <w:rsid w:val="00434289"/>
    <w:rsid w:val="0043454B"/>
    <w:rsid w:val="0043465B"/>
    <w:rsid w:val="004349AC"/>
    <w:rsid w:val="00434AAB"/>
    <w:rsid w:val="00434C38"/>
    <w:rsid w:val="00434CFF"/>
    <w:rsid w:val="00434EFE"/>
    <w:rsid w:val="00435077"/>
    <w:rsid w:val="00435345"/>
    <w:rsid w:val="004358A5"/>
    <w:rsid w:val="004359E7"/>
    <w:rsid w:val="004360C5"/>
    <w:rsid w:val="00436B5B"/>
    <w:rsid w:val="00437717"/>
    <w:rsid w:val="004400F3"/>
    <w:rsid w:val="0044015B"/>
    <w:rsid w:val="00440582"/>
    <w:rsid w:val="0044085F"/>
    <w:rsid w:val="00440D01"/>
    <w:rsid w:val="00440FCE"/>
    <w:rsid w:val="00441951"/>
    <w:rsid w:val="00441AAB"/>
    <w:rsid w:val="00441D87"/>
    <w:rsid w:val="00441FFE"/>
    <w:rsid w:val="00442BAE"/>
    <w:rsid w:val="00442E4C"/>
    <w:rsid w:val="0044318A"/>
    <w:rsid w:val="004433F0"/>
    <w:rsid w:val="004439A2"/>
    <w:rsid w:val="00443E15"/>
    <w:rsid w:val="00444105"/>
    <w:rsid w:val="00444509"/>
    <w:rsid w:val="0044561E"/>
    <w:rsid w:val="00445ADF"/>
    <w:rsid w:val="00446243"/>
    <w:rsid w:val="00446331"/>
    <w:rsid w:val="004464B0"/>
    <w:rsid w:val="00446BAC"/>
    <w:rsid w:val="00446BEF"/>
    <w:rsid w:val="00446FAE"/>
    <w:rsid w:val="0044763A"/>
    <w:rsid w:val="00447718"/>
    <w:rsid w:val="00447B16"/>
    <w:rsid w:val="0045038D"/>
    <w:rsid w:val="00451665"/>
    <w:rsid w:val="00451F0B"/>
    <w:rsid w:val="00452547"/>
    <w:rsid w:val="0045264F"/>
    <w:rsid w:val="00452686"/>
    <w:rsid w:val="00452E9C"/>
    <w:rsid w:val="0045311E"/>
    <w:rsid w:val="004532C6"/>
    <w:rsid w:val="004537F2"/>
    <w:rsid w:val="0045409E"/>
    <w:rsid w:val="004541B9"/>
    <w:rsid w:val="004542BD"/>
    <w:rsid w:val="0045470A"/>
    <w:rsid w:val="00454B05"/>
    <w:rsid w:val="00454E09"/>
    <w:rsid w:val="00454E64"/>
    <w:rsid w:val="00454E80"/>
    <w:rsid w:val="00455013"/>
    <w:rsid w:val="004554A6"/>
    <w:rsid w:val="00455A1E"/>
    <w:rsid w:val="00455E87"/>
    <w:rsid w:val="00456369"/>
    <w:rsid w:val="00456BD8"/>
    <w:rsid w:val="0045727E"/>
    <w:rsid w:val="0045736A"/>
    <w:rsid w:val="004573B0"/>
    <w:rsid w:val="004575A9"/>
    <w:rsid w:val="00457C52"/>
    <w:rsid w:val="00460537"/>
    <w:rsid w:val="0046053A"/>
    <w:rsid w:val="00460760"/>
    <w:rsid w:val="00460FF8"/>
    <w:rsid w:val="00461A36"/>
    <w:rsid w:val="00461AD0"/>
    <w:rsid w:val="00462033"/>
    <w:rsid w:val="00462BE6"/>
    <w:rsid w:val="0046325D"/>
    <w:rsid w:val="004636B8"/>
    <w:rsid w:val="00464791"/>
    <w:rsid w:val="004647A7"/>
    <w:rsid w:val="00465393"/>
    <w:rsid w:val="004659F8"/>
    <w:rsid w:val="00465EB2"/>
    <w:rsid w:val="00466121"/>
    <w:rsid w:val="0046686C"/>
    <w:rsid w:val="00467227"/>
    <w:rsid w:val="0046763E"/>
    <w:rsid w:val="004678E3"/>
    <w:rsid w:val="0046790D"/>
    <w:rsid w:val="00467AA8"/>
    <w:rsid w:val="00467AEB"/>
    <w:rsid w:val="00467BBA"/>
    <w:rsid w:val="00467CCF"/>
    <w:rsid w:val="00470013"/>
    <w:rsid w:val="004708BE"/>
    <w:rsid w:val="00470C64"/>
    <w:rsid w:val="00470DE1"/>
    <w:rsid w:val="00470E46"/>
    <w:rsid w:val="004715BA"/>
    <w:rsid w:val="00471D0C"/>
    <w:rsid w:val="00471E94"/>
    <w:rsid w:val="004721EB"/>
    <w:rsid w:val="004722F1"/>
    <w:rsid w:val="00472EBF"/>
    <w:rsid w:val="004730D5"/>
    <w:rsid w:val="0047329C"/>
    <w:rsid w:val="00473873"/>
    <w:rsid w:val="004739DE"/>
    <w:rsid w:val="00473EA1"/>
    <w:rsid w:val="0047454D"/>
    <w:rsid w:val="00474DD8"/>
    <w:rsid w:val="00474E5D"/>
    <w:rsid w:val="00474F9F"/>
    <w:rsid w:val="0047696E"/>
    <w:rsid w:val="00477029"/>
    <w:rsid w:val="004770A8"/>
    <w:rsid w:val="004772AD"/>
    <w:rsid w:val="00477713"/>
    <w:rsid w:val="00477B54"/>
    <w:rsid w:val="00477C5C"/>
    <w:rsid w:val="00477D82"/>
    <w:rsid w:val="00480191"/>
    <w:rsid w:val="0048028B"/>
    <w:rsid w:val="004802AA"/>
    <w:rsid w:val="00480450"/>
    <w:rsid w:val="00480621"/>
    <w:rsid w:val="00480F02"/>
    <w:rsid w:val="00481950"/>
    <w:rsid w:val="00481E67"/>
    <w:rsid w:val="004820F4"/>
    <w:rsid w:val="004827C1"/>
    <w:rsid w:val="004830AB"/>
    <w:rsid w:val="00483828"/>
    <w:rsid w:val="00483C2E"/>
    <w:rsid w:val="00483C7C"/>
    <w:rsid w:val="00484BA3"/>
    <w:rsid w:val="00485103"/>
    <w:rsid w:val="004853A9"/>
    <w:rsid w:val="00485466"/>
    <w:rsid w:val="00485582"/>
    <w:rsid w:val="00485677"/>
    <w:rsid w:val="00485A5D"/>
    <w:rsid w:val="00485B93"/>
    <w:rsid w:val="00486814"/>
    <w:rsid w:val="00486900"/>
    <w:rsid w:val="00486D93"/>
    <w:rsid w:val="00487561"/>
    <w:rsid w:val="00487681"/>
    <w:rsid w:val="004879A5"/>
    <w:rsid w:val="00487EB8"/>
    <w:rsid w:val="0049028C"/>
    <w:rsid w:val="0049030D"/>
    <w:rsid w:val="0049058B"/>
    <w:rsid w:val="004911F5"/>
    <w:rsid w:val="004915DF"/>
    <w:rsid w:val="004917C7"/>
    <w:rsid w:val="00491AD7"/>
    <w:rsid w:val="00491B2A"/>
    <w:rsid w:val="00491FC8"/>
    <w:rsid w:val="00492545"/>
    <w:rsid w:val="00492E65"/>
    <w:rsid w:val="00493137"/>
    <w:rsid w:val="004933BD"/>
    <w:rsid w:val="004935DC"/>
    <w:rsid w:val="00493ADE"/>
    <w:rsid w:val="004945F6"/>
    <w:rsid w:val="004946E3"/>
    <w:rsid w:val="00494B89"/>
    <w:rsid w:val="00494BD3"/>
    <w:rsid w:val="00494C72"/>
    <w:rsid w:val="00494F61"/>
    <w:rsid w:val="0049543F"/>
    <w:rsid w:val="004955C7"/>
    <w:rsid w:val="004959CE"/>
    <w:rsid w:val="00495FE3"/>
    <w:rsid w:val="00496C11"/>
    <w:rsid w:val="004979CB"/>
    <w:rsid w:val="00497B3A"/>
    <w:rsid w:val="00497E55"/>
    <w:rsid w:val="004A1217"/>
    <w:rsid w:val="004A1B66"/>
    <w:rsid w:val="004A1BB0"/>
    <w:rsid w:val="004A1CCD"/>
    <w:rsid w:val="004A1F70"/>
    <w:rsid w:val="004A20FF"/>
    <w:rsid w:val="004A2281"/>
    <w:rsid w:val="004A22D9"/>
    <w:rsid w:val="004A2E14"/>
    <w:rsid w:val="004A3134"/>
    <w:rsid w:val="004A3A5F"/>
    <w:rsid w:val="004A4650"/>
    <w:rsid w:val="004A5453"/>
    <w:rsid w:val="004A5A40"/>
    <w:rsid w:val="004A5AFF"/>
    <w:rsid w:val="004A63C9"/>
    <w:rsid w:val="004A7380"/>
    <w:rsid w:val="004A75A4"/>
    <w:rsid w:val="004A7A7B"/>
    <w:rsid w:val="004B0A01"/>
    <w:rsid w:val="004B0A36"/>
    <w:rsid w:val="004B0A4B"/>
    <w:rsid w:val="004B0E63"/>
    <w:rsid w:val="004B0FF5"/>
    <w:rsid w:val="004B137B"/>
    <w:rsid w:val="004B16E4"/>
    <w:rsid w:val="004B1AA8"/>
    <w:rsid w:val="004B200D"/>
    <w:rsid w:val="004B219B"/>
    <w:rsid w:val="004B2811"/>
    <w:rsid w:val="004B2EFA"/>
    <w:rsid w:val="004B30AB"/>
    <w:rsid w:val="004B33B9"/>
    <w:rsid w:val="004B349E"/>
    <w:rsid w:val="004B370D"/>
    <w:rsid w:val="004B3C8C"/>
    <w:rsid w:val="004B4193"/>
    <w:rsid w:val="004B432C"/>
    <w:rsid w:val="004B4D3B"/>
    <w:rsid w:val="004B526E"/>
    <w:rsid w:val="004B57F8"/>
    <w:rsid w:val="004B685B"/>
    <w:rsid w:val="004B6ECE"/>
    <w:rsid w:val="004B6F73"/>
    <w:rsid w:val="004B7458"/>
    <w:rsid w:val="004B764A"/>
    <w:rsid w:val="004B790A"/>
    <w:rsid w:val="004B7D2C"/>
    <w:rsid w:val="004C12BD"/>
    <w:rsid w:val="004C1F4C"/>
    <w:rsid w:val="004C202E"/>
    <w:rsid w:val="004C22D5"/>
    <w:rsid w:val="004C22DA"/>
    <w:rsid w:val="004C24D7"/>
    <w:rsid w:val="004C2643"/>
    <w:rsid w:val="004C2D63"/>
    <w:rsid w:val="004C305F"/>
    <w:rsid w:val="004C3BAC"/>
    <w:rsid w:val="004C3E34"/>
    <w:rsid w:val="004C40C7"/>
    <w:rsid w:val="004C4581"/>
    <w:rsid w:val="004C4787"/>
    <w:rsid w:val="004C4C73"/>
    <w:rsid w:val="004C4F3F"/>
    <w:rsid w:val="004C5F2D"/>
    <w:rsid w:val="004C604C"/>
    <w:rsid w:val="004C65FC"/>
    <w:rsid w:val="004C6951"/>
    <w:rsid w:val="004C6B18"/>
    <w:rsid w:val="004C70FA"/>
    <w:rsid w:val="004C7463"/>
    <w:rsid w:val="004C752C"/>
    <w:rsid w:val="004C79E7"/>
    <w:rsid w:val="004C7BD7"/>
    <w:rsid w:val="004C7D5D"/>
    <w:rsid w:val="004D01CC"/>
    <w:rsid w:val="004D0616"/>
    <w:rsid w:val="004D064A"/>
    <w:rsid w:val="004D06F2"/>
    <w:rsid w:val="004D0D68"/>
    <w:rsid w:val="004D1A23"/>
    <w:rsid w:val="004D2428"/>
    <w:rsid w:val="004D2468"/>
    <w:rsid w:val="004D296B"/>
    <w:rsid w:val="004D2B52"/>
    <w:rsid w:val="004D2CFE"/>
    <w:rsid w:val="004D2EC6"/>
    <w:rsid w:val="004D3092"/>
    <w:rsid w:val="004D3561"/>
    <w:rsid w:val="004D3C08"/>
    <w:rsid w:val="004D41E0"/>
    <w:rsid w:val="004D42F4"/>
    <w:rsid w:val="004D4853"/>
    <w:rsid w:val="004D4E46"/>
    <w:rsid w:val="004D4FC7"/>
    <w:rsid w:val="004D5512"/>
    <w:rsid w:val="004D5814"/>
    <w:rsid w:val="004D5977"/>
    <w:rsid w:val="004D65E2"/>
    <w:rsid w:val="004D68D7"/>
    <w:rsid w:val="004D6919"/>
    <w:rsid w:val="004D71AA"/>
    <w:rsid w:val="004D7311"/>
    <w:rsid w:val="004D7461"/>
    <w:rsid w:val="004D7A36"/>
    <w:rsid w:val="004E0779"/>
    <w:rsid w:val="004E078E"/>
    <w:rsid w:val="004E1285"/>
    <w:rsid w:val="004E1647"/>
    <w:rsid w:val="004E1A3A"/>
    <w:rsid w:val="004E1AFE"/>
    <w:rsid w:val="004E1C4C"/>
    <w:rsid w:val="004E1F30"/>
    <w:rsid w:val="004E2A10"/>
    <w:rsid w:val="004E2B3D"/>
    <w:rsid w:val="004E2D0D"/>
    <w:rsid w:val="004E2E19"/>
    <w:rsid w:val="004E2E66"/>
    <w:rsid w:val="004E3584"/>
    <w:rsid w:val="004E3724"/>
    <w:rsid w:val="004E38FB"/>
    <w:rsid w:val="004E39BC"/>
    <w:rsid w:val="004E3AAD"/>
    <w:rsid w:val="004E3E69"/>
    <w:rsid w:val="004E45B9"/>
    <w:rsid w:val="004E4747"/>
    <w:rsid w:val="004E4969"/>
    <w:rsid w:val="004E4D85"/>
    <w:rsid w:val="004E4F26"/>
    <w:rsid w:val="004E5281"/>
    <w:rsid w:val="004E53D5"/>
    <w:rsid w:val="004E562B"/>
    <w:rsid w:val="004E5A31"/>
    <w:rsid w:val="004E6207"/>
    <w:rsid w:val="004E62E4"/>
    <w:rsid w:val="004E6470"/>
    <w:rsid w:val="004E65D8"/>
    <w:rsid w:val="004E669A"/>
    <w:rsid w:val="004E6893"/>
    <w:rsid w:val="004E6A20"/>
    <w:rsid w:val="004E6A2C"/>
    <w:rsid w:val="004E6B99"/>
    <w:rsid w:val="004E6FDF"/>
    <w:rsid w:val="004F0DD2"/>
    <w:rsid w:val="004F1040"/>
    <w:rsid w:val="004F1354"/>
    <w:rsid w:val="004F13E6"/>
    <w:rsid w:val="004F194A"/>
    <w:rsid w:val="004F1ED6"/>
    <w:rsid w:val="004F220B"/>
    <w:rsid w:val="004F267A"/>
    <w:rsid w:val="004F2BEC"/>
    <w:rsid w:val="004F308D"/>
    <w:rsid w:val="004F35DA"/>
    <w:rsid w:val="004F35F9"/>
    <w:rsid w:val="004F372A"/>
    <w:rsid w:val="004F377C"/>
    <w:rsid w:val="004F3AA7"/>
    <w:rsid w:val="004F3B10"/>
    <w:rsid w:val="004F3DD2"/>
    <w:rsid w:val="004F441E"/>
    <w:rsid w:val="004F444E"/>
    <w:rsid w:val="004F446B"/>
    <w:rsid w:val="004F4D5B"/>
    <w:rsid w:val="004F5027"/>
    <w:rsid w:val="004F54BB"/>
    <w:rsid w:val="004F58A7"/>
    <w:rsid w:val="004F6015"/>
    <w:rsid w:val="004F6525"/>
    <w:rsid w:val="004F67BC"/>
    <w:rsid w:val="004F6F0F"/>
    <w:rsid w:val="004F78C9"/>
    <w:rsid w:val="005005F2"/>
    <w:rsid w:val="005009DF"/>
    <w:rsid w:val="00500B1B"/>
    <w:rsid w:val="00500EAC"/>
    <w:rsid w:val="00501B91"/>
    <w:rsid w:val="00501F8C"/>
    <w:rsid w:val="005027B1"/>
    <w:rsid w:val="005029E7"/>
    <w:rsid w:val="00502ED4"/>
    <w:rsid w:val="00502EE7"/>
    <w:rsid w:val="00502FD1"/>
    <w:rsid w:val="005037C8"/>
    <w:rsid w:val="00503886"/>
    <w:rsid w:val="00504D9D"/>
    <w:rsid w:val="005053CC"/>
    <w:rsid w:val="00505E1E"/>
    <w:rsid w:val="00507441"/>
    <w:rsid w:val="00507602"/>
    <w:rsid w:val="005077E5"/>
    <w:rsid w:val="00507FA2"/>
    <w:rsid w:val="00507FB0"/>
    <w:rsid w:val="00510254"/>
    <w:rsid w:val="00510892"/>
    <w:rsid w:val="00510C74"/>
    <w:rsid w:val="0051128B"/>
    <w:rsid w:val="0051139C"/>
    <w:rsid w:val="00511527"/>
    <w:rsid w:val="005117D0"/>
    <w:rsid w:val="00511AA1"/>
    <w:rsid w:val="00511FE9"/>
    <w:rsid w:val="005123B1"/>
    <w:rsid w:val="00512719"/>
    <w:rsid w:val="005128A0"/>
    <w:rsid w:val="00512A55"/>
    <w:rsid w:val="00512FBA"/>
    <w:rsid w:val="005130F4"/>
    <w:rsid w:val="005136AA"/>
    <w:rsid w:val="00514488"/>
    <w:rsid w:val="00514D7E"/>
    <w:rsid w:val="00514D9E"/>
    <w:rsid w:val="005156AA"/>
    <w:rsid w:val="005164F0"/>
    <w:rsid w:val="00516873"/>
    <w:rsid w:val="00516A21"/>
    <w:rsid w:val="00516BA0"/>
    <w:rsid w:val="00516C04"/>
    <w:rsid w:val="00516DF8"/>
    <w:rsid w:val="00516ED9"/>
    <w:rsid w:val="005173E7"/>
    <w:rsid w:val="005174E6"/>
    <w:rsid w:val="005201A1"/>
    <w:rsid w:val="005205AF"/>
    <w:rsid w:val="00520B29"/>
    <w:rsid w:val="00520EB5"/>
    <w:rsid w:val="0052113D"/>
    <w:rsid w:val="005211E7"/>
    <w:rsid w:val="00521384"/>
    <w:rsid w:val="0052177E"/>
    <w:rsid w:val="00521E80"/>
    <w:rsid w:val="00522100"/>
    <w:rsid w:val="00522A8E"/>
    <w:rsid w:val="00522C59"/>
    <w:rsid w:val="00522EC4"/>
    <w:rsid w:val="00523028"/>
    <w:rsid w:val="005234B6"/>
    <w:rsid w:val="00523D5C"/>
    <w:rsid w:val="0052415A"/>
    <w:rsid w:val="00524D29"/>
    <w:rsid w:val="005256B6"/>
    <w:rsid w:val="00525716"/>
    <w:rsid w:val="00526023"/>
    <w:rsid w:val="0052603C"/>
    <w:rsid w:val="00526760"/>
    <w:rsid w:val="00526EDB"/>
    <w:rsid w:val="005270C2"/>
    <w:rsid w:val="00527120"/>
    <w:rsid w:val="0052731E"/>
    <w:rsid w:val="00527640"/>
    <w:rsid w:val="005279FC"/>
    <w:rsid w:val="00527C4F"/>
    <w:rsid w:val="00527F7C"/>
    <w:rsid w:val="00530043"/>
    <w:rsid w:val="0053066E"/>
    <w:rsid w:val="00530B08"/>
    <w:rsid w:val="00530E6C"/>
    <w:rsid w:val="00530EEF"/>
    <w:rsid w:val="00530F0A"/>
    <w:rsid w:val="0053171D"/>
    <w:rsid w:val="00531773"/>
    <w:rsid w:val="005320A4"/>
    <w:rsid w:val="00532152"/>
    <w:rsid w:val="0053241A"/>
    <w:rsid w:val="0053260D"/>
    <w:rsid w:val="0053270D"/>
    <w:rsid w:val="0053316D"/>
    <w:rsid w:val="005336E2"/>
    <w:rsid w:val="0053448F"/>
    <w:rsid w:val="00534FE1"/>
    <w:rsid w:val="00535019"/>
    <w:rsid w:val="005351D4"/>
    <w:rsid w:val="005354CD"/>
    <w:rsid w:val="00535760"/>
    <w:rsid w:val="00536F0D"/>
    <w:rsid w:val="005402F9"/>
    <w:rsid w:val="00540329"/>
    <w:rsid w:val="005405E1"/>
    <w:rsid w:val="0054077F"/>
    <w:rsid w:val="00540C71"/>
    <w:rsid w:val="00540CE3"/>
    <w:rsid w:val="005410F9"/>
    <w:rsid w:val="005415F4"/>
    <w:rsid w:val="005417E0"/>
    <w:rsid w:val="0054199F"/>
    <w:rsid w:val="00541A64"/>
    <w:rsid w:val="00542CFE"/>
    <w:rsid w:val="0054328A"/>
    <w:rsid w:val="00543362"/>
    <w:rsid w:val="00543797"/>
    <w:rsid w:val="00543C35"/>
    <w:rsid w:val="00544087"/>
    <w:rsid w:val="00544178"/>
    <w:rsid w:val="005445CD"/>
    <w:rsid w:val="00544687"/>
    <w:rsid w:val="00544BB7"/>
    <w:rsid w:val="00544C1A"/>
    <w:rsid w:val="00544F14"/>
    <w:rsid w:val="00545034"/>
    <w:rsid w:val="005450A8"/>
    <w:rsid w:val="00545CE8"/>
    <w:rsid w:val="00545ED8"/>
    <w:rsid w:val="00546167"/>
    <w:rsid w:val="00546436"/>
    <w:rsid w:val="0054718F"/>
    <w:rsid w:val="00547498"/>
    <w:rsid w:val="0055006D"/>
    <w:rsid w:val="005500EA"/>
    <w:rsid w:val="00550147"/>
    <w:rsid w:val="00550B3B"/>
    <w:rsid w:val="0055175C"/>
    <w:rsid w:val="00551985"/>
    <w:rsid w:val="00551C35"/>
    <w:rsid w:val="00552577"/>
    <w:rsid w:val="005525EC"/>
    <w:rsid w:val="00552827"/>
    <w:rsid w:val="00552B08"/>
    <w:rsid w:val="00552B54"/>
    <w:rsid w:val="00552C78"/>
    <w:rsid w:val="00553711"/>
    <w:rsid w:val="00553869"/>
    <w:rsid w:val="0055404B"/>
    <w:rsid w:val="00554A28"/>
    <w:rsid w:val="00554A3A"/>
    <w:rsid w:val="00554B01"/>
    <w:rsid w:val="00554BDA"/>
    <w:rsid w:val="00554FAF"/>
    <w:rsid w:val="005554DB"/>
    <w:rsid w:val="0055562A"/>
    <w:rsid w:val="005557B6"/>
    <w:rsid w:val="00555B5B"/>
    <w:rsid w:val="00555E51"/>
    <w:rsid w:val="00555F95"/>
    <w:rsid w:val="0055604C"/>
    <w:rsid w:val="0055617C"/>
    <w:rsid w:val="0055632F"/>
    <w:rsid w:val="00556602"/>
    <w:rsid w:val="0055698C"/>
    <w:rsid w:val="0055715B"/>
    <w:rsid w:val="0055715E"/>
    <w:rsid w:val="00557336"/>
    <w:rsid w:val="005573CF"/>
    <w:rsid w:val="00557433"/>
    <w:rsid w:val="00557837"/>
    <w:rsid w:val="00557BAA"/>
    <w:rsid w:val="00557E19"/>
    <w:rsid w:val="00560058"/>
    <w:rsid w:val="0056021E"/>
    <w:rsid w:val="005603FC"/>
    <w:rsid w:val="005605C1"/>
    <w:rsid w:val="005607DB"/>
    <w:rsid w:val="00560917"/>
    <w:rsid w:val="00560941"/>
    <w:rsid w:val="005612CF"/>
    <w:rsid w:val="0056140B"/>
    <w:rsid w:val="005616BE"/>
    <w:rsid w:val="005620EB"/>
    <w:rsid w:val="0056212D"/>
    <w:rsid w:val="00562586"/>
    <w:rsid w:val="005626EA"/>
    <w:rsid w:val="0056278C"/>
    <w:rsid w:val="005629DA"/>
    <w:rsid w:val="00562A74"/>
    <w:rsid w:val="00562E95"/>
    <w:rsid w:val="0056336F"/>
    <w:rsid w:val="005639AA"/>
    <w:rsid w:val="00563B95"/>
    <w:rsid w:val="0056469D"/>
    <w:rsid w:val="00565B9E"/>
    <w:rsid w:val="00565DB5"/>
    <w:rsid w:val="00565E6F"/>
    <w:rsid w:val="0056626D"/>
    <w:rsid w:val="00566281"/>
    <w:rsid w:val="005665D8"/>
    <w:rsid w:val="00567F30"/>
    <w:rsid w:val="0057049A"/>
    <w:rsid w:val="00570727"/>
    <w:rsid w:val="005708FC"/>
    <w:rsid w:val="00570B8E"/>
    <w:rsid w:val="00570D5B"/>
    <w:rsid w:val="00570D99"/>
    <w:rsid w:val="00571592"/>
    <w:rsid w:val="005718DC"/>
    <w:rsid w:val="005719B0"/>
    <w:rsid w:val="00571D7F"/>
    <w:rsid w:val="00571DF7"/>
    <w:rsid w:val="00571E41"/>
    <w:rsid w:val="00572891"/>
    <w:rsid w:val="0057301A"/>
    <w:rsid w:val="00573169"/>
    <w:rsid w:val="00573820"/>
    <w:rsid w:val="00573BEC"/>
    <w:rsid w:val="00573E2A"/>
    <w:rsid w:val="00574A21"/>
    <w:rsid w:val="00574E32"/>
    <w:rsid w:val="00575A7F"/>
    <w:rsid w:val="00575DAE"/>
    <w:rsid w:val="0057663E"/>
    <w:rsid w:val="005766B5"/>
    <w:rsid w:val="00576741"/>
    <w:rsid w:val="005769B2"/>
    <w:rsid w:val="00576EA7"/>
    <w:rsid w:val="00577956"/>
    <w:rsid w:val="00577966"/>
    <w:rsid w:val="00577E24"/>
    <w:rsid w:val="00577ED1"/>
    <w:rsid w:val="00577F0C"/>
    <w:rsid w:val="00577F55"/>
    <w:rsid w:val="0057B18B"/>
    <w:rsid w:val="0058005E"/>
    <w:rsid w:val="00580941"/>
    <w:rsid w:val="00581393"/>
    <w:rsid w:val="005814B7"/>
    <w:rsid w:val="00581807"/>
    <w:rsid w:val="005826C6"/>
    <w:rsid w:val="005826EC"/>
    <w:rsid w:val="00582D9E"/>
    <w:rsid w:val="00582DF2"/>
    <w:rsid w:val="00582F2A"/>
    <w:rsid w:val="005831B3"/>
    <w:rsid w:val="00583619"/>
    <w:rsid w:val="00583658"/>
    <w:rsid w:val="00583A28"/>
    <w:rsid w:val="00583BD1"/>
    <w:rsid w:val="00583E0C"/>
    <w:rsid w:val="00584197"/>
    <w:rsid w:val="005841AE"/>
    <w:rsid w:val="00584212"/>
    <w:rsid w:val="00584330"/>
    <w:rsid w:val="0058489A"/>
    <w:rsid w:val="005853D4"/>
    <w:rsid w:val="00585671"/>
    <w:rsid w:val="00585C6B"/>
    <w:rsid w:val="00586683"/>
    <w:rsid w:val="00586AFE"/>
    <w:rsid w:val="00586D46"/>
    <w:rsid w:val="0058748C"/>
    <w:rsid w:val="00587621"/>
    <w:rsid w:val="00587D19"/>
    <w:rsid w:val="00587E55"/>
    <w:rsid w:val="00587E78"/>
    <w:rsid w:val="00590172"/>
    <w:rsid w:val="005905B8"/>
    <w:rsid w:val="00590977"/>
    <w:rsid w:val="00591304"/>
    <w:rsid w:val="00591B68"/>
    <w:rsid w:val="00591D4C"/>
    <w:rsid w:val="00592706"/>
    <w:rsid w:val="0059291C"/>
    <w:rsid w:val="00592E42"/>
    <w:rsid w:val="00593350"/>
    <w:rsid w:val="00593619"/>
    <w:rsid w:val="005938BD"/>
    <w:rsid w:val="00593AF6"/>
    <w:rsid w:val="00593B38"/>
    <w:rsid w:val="00593B93"/>
    <w:rsid w:val="00593C50"/>
    <w:rsid w:val="00593C57"/>
    <w:rsid w:val="0059447E"/>
    <w:rsid w:val="00594576"/>
    <w:rsid w:val="0059470B"/>
    <w:rsid w:val="00595EAA"/>
    <w:rsid w:val="00597331"/>
    <w:rsid w:val="005977B9"/>
    <w:rsid w:val="00597847"/>
    <w:rsid w:val="005978A0"/>
    <w:rsid w:val="0059794C"/>
    <w:rsid w:val="00597B25"/>
    <w:rsid w:val="00597BBD"/>
    <w:rsid w:val="005A05E5"/>
    <w:rsid w:val="005A15B7"/>
    <w:rsid w:val="005A1848"/>
    <w:rsid w:val="005A2014"/>
    <w:rsid w:val="005A23A1"/>
    <w:rsid w:val="005A2659"/>
    <w:rsid w:val="005A2736"/>
    <w:rsid w:val="005A273B"/>
    <w:rsid w:val="005A27D1"/>
    <w:rsid w:val="005A297E"/>
    <w:rsid w:val="005A2A50"/>
    <w:rsid w:val="005A2EBC"/>
    <w:rsid w:val="005A2EBD"/>
    <w:rsid w:val="005A2F07"/>
    <w:rsid w:val="005A304B"/>
    <w:rsid w:val="005A30F4"/>
    <w:rsid w:val="005A403F"/>
    <w:rsid w:val="005A4687"/>
    <w:rsid w:val="005A489C"/>
    <w:rsid w:val="005A4E7A"/>
    <w:rsid w:val="005A5BBA"/>
    <w:rsid w:val="005A690C"/>
    <w:rsid w:val="005A6974"/>
    <w:rsid w:val="005A6D38"/>
    <w:rsid w:val="005A77C1"/>
    <w:rsid w:val="005A7AEE"/>
    <w:rsid w:val="005A7E0D"/>
    <w:rsid w:val="005B056A"/>
    <w:rsid w:val="005B0D08"/>
    <w:rsid w:val="005B0EAF"/>
    <w:rsid w:val="005B1081"/>
    <w:rsid w:val="005B1099"/>
    <w:rsid w:val="005B152C"/>
    <w:rsid w:val="005B1A47"/>
    <w:rsid w:val="005B1AC6"/>
    <w:rsid w:val="005B21F6"/>
    <w:rsid w:val="005B2542"/>
    <w:rsid w:val="005B2947"/>
    <w:rsid w:val="005B2B60"/>
    <w:rsid w:val="005B3188"/>
    <w:rsid w:val="005B33E4"/>
    <w:rsid w:val="005B387A"/>
    <w:rsid w:val="005B3D8D"/>
    <w:rsid w:val="005B3FF7"/>
    <w:rsid w:val="005B44E6"/>
    <w:rsid w:val="005B471F"/>
    <w:rsid w:val="005B4915"/>
    <w:rsid w:val="005B4C00"/>
    <w:rsid w:val="005B4E59"/>
    <w:rsid w:val="005B5632"/>
    <w:rsid w:val="005B5D47"/>
    <w:rsid w:val="005B5DBC"/>
    <w:rsid w:val="005B5EC8"/>
    <w:rsid w:val="005B626B"/>
    <w:rsid w:val="005B67FB"/>
    <w:rsid w:val="005B6A80"/>
    <w:rsid w:val="005B6CDE"/>
    <w:rsid w:val="005B6D87"/>
    <w:rsid w:val="005B6F30"/>
    <w:rsid w:val="005B7AA1"/>
    <w:rsid w:val="005C0190"/>
    <w:rsid w:val="005C048E"/>
    <w:rsid w:val="005C074D"/>
    <w:rsid w:val="005C083E"/>
    <w:rsid w:val="005C0D13"/>
    <w:rsid w:val="005C0F2E"/>
    <w:rsid w:val="005C0F9E"/>
    <w:rsid w:val="005C112E"/>
    <w:rsid w:val="005C18FB"/>
    <w:rsid w:val="005C1FEC"/>
    <w:rsid w:val="005C2732"/>
    <w:rsid w:val="005C2D7A"/>
    <w:rsid w:val="005C4E55"/>
    <w:rsid w:val="005C4F34"/>
    <w:rsid w:val="005C63E5"/>
    <w:rsid w:val="005C655F"/>
    <w:rsid w:val="005C6748"/>
    <w:rsid w:val="005C6B2E"/>
    <w:rsid w:val="005C6B43"/>
    <w:rsid w:val="005C7D54"/>
    <w:rsid w:val="005D0721"/>
    <w:rsid w:val="005D0915"/>
    <w:rsid w:val="005D1EA8"/>
    <w:rsid w:val="005D2155"/>
    <w:rsid w:val="005D231C"/>
    <w:rsid w:val="005D30C2"/>
    <w:rsid w:val="005D3234"/>
    <w:rsid w:val="005D373F"/>
    <w:rsid w:val="005D3DEF"/>
    <w:rsid w:val="005D42E4"/>
    <w:rsid w:val="005D4418"/>
    <w:rsid w:val="005D4684"/>
    <w:rsid w:val="005D48EE"/>
    <w:rsid w:val="005D4B0F"/>
    <w:rsid w:val="005D5AC9"/>
    <w:rsid w:val="005D6266"/>
    <w:rsid w:val="005D65F3"/>
    <w:rsid w:val="005D6765"/>
    <w:rsid w:val="005D7056"/>
    <w:rsid w:val="005D7160"/>
    <w:rsid w:val="005D7552"/>
    <w:rsid w:val="005D7CA3"/>
    <w:rsid w:val="005E02B6"/>
    <w:rsid w:val="005E0455"/>
    <w:rsid w:val="005E07AB"/>
    <w:rsid w:val="005E083A"/>
    <w:rsid w:val="005E1475"/>
    <w:rsid w:val="005E1573"/>
    <w:rsid w:val="005E2497"/>
    <w:rsid w:val="005E2F9B"/>
    <w:rsid w:val="005E323F"/>
    <w:rsid w:val="005E39E6"/>
    <w:rsid w:val="005E3CBF"/>
    <w:rsid w:val="005E481A"/>
    <w:rsid w:val="005E4848"/>
    <w:rsid w:val="005E52DB"/>
    <w:rsid w:val="005E5312"/>
    <w:rsid w:val="005E58A0"/>
    <w:rsid w:val="005E5F7E"/>
    <w:rsid w:val="005E64D3"/>
    <w:rsid w:val="005E6D9C"/>
    <w:rsid w:val="005E7190"/>
    <w:rsid w:val="005E71EA"/>
    <w:rsid w:val="005E77A9"/>
    <w:rsid w:val="005E7D84"/>
    <w:rsid w:val="005F0027"/>
    <w:rsid w:val="005F02C7"/>
    <w:rsid w:val="005F0888"/>
    <w:rsid w:val="005F0919"/>
    <w:rsid w:val="005F0A14"/>
    <w:rsid w:val="005F0AF2"/>
    <w:rsid w:val="005F159A"/>
    <w:rsid w:val="005F1DE0"/>
    <w:rsid w:val="005F2102"/>
    <w:rsid w:val="005F25FD"/>
    <w:rsid w:val="005F2C92"/>
    <w:rsid w:val="005F3001"/>
    <w:rsid w:val="005F3423"/>
    <w:rsid w:val="005F361F"/>
    <w:rsid w:val="005F37BF"/>
    <w:rsid w:val="005F397D"/>
    <w:rsid w:val="005F4301"/>
    <w:rsid w:val="005F4D66"/>
    <w:rsid w:val="005F5058"/>
    <w:rsid w:val="005F512B"/>
    <w:rsid w:val="005F5405"/>
    <w:rsid w:val="005F5A28"/>
    <w:rsid w:val="005F5AD0"/>
    <w:rsid w:val="005F5CB9"/>
    <w:rsid w:val="005F652E"/>
    <w:rsid w:val="005F66C8"/>
    <w:rsid w:val="005F6851"/>
    <w:rsid w:val="005F69A2"/>
    <w:rsid w:val="005F6A51"/>
    <w:rsid w:val="005F6AC7"/>
    <w:rsid w:val="005F6D21"/>
    <w:rsid w:val="005F7D13"/>
    <w:rsid w:val="005F7E4C"/>
    <w:rsid w:val="005F7F11"/>
    <w:rsid w:val="006002F0"/>
    <w:rsid w:val="0060060C"/>
    <w:rsid w:val="00600670"/>
    <w:rsid w:val="00600735"/>
    <w:rsid w:val="00600A49"/>
    <w:rsid w:val="00600CAD"/>
    <w:rsid w:val="00601D38"/>
    <w:rsid w:val="00601EAA"/>
    <w:rsid w:val="00602883"/>
    <w:rsid w:val="0060324D"/>
    <w:rsid w:val="006033B9"/>
    <w:rsid w:val="00603841"/>
    <w:rsid w:val="006038BD"/>
    <w:rsid w:val="00603AF4"/>
    <w:rsid w:val="00603D22"/>
    <w:rsid w:val="00604704"/>
    <w:rsid w:val="00604C35"/>
    <w:rsid w:val="00604E8D"/>
    <w:rsid w:val="00604FD5"/>
    <w:rsid w:val="006052EE"/>
    <w:rsid w:val="00605C3F"/>
    <w:rsid w:val="00605F47"/>
    <w:rsid w:val="006060F8"/>
    <w:rsid w:val="00606FE1"/>
    <w:rsid w:val="0060722B"/>
    <w:rsid w:val="00607420"/>
    <w:rsid w:val="006076AC"/>
    <w:rsid w:val="00607A72"/>
    <w:rsid w:val="00607B2B"/>
    <w:rsid w:val="00610131"/>
    <w:rsid w:val="00610B30"/>
    <w:rsid w:val="006116FF"/>
    <w:rsid w:val="00611A00"/>
    <w:rsid w:val="00612C27"/>
    <w:rsid w:val="00612D8D"/>
    <w:rsid w:val="0061328E"/>
    <w:rsid w:val="00613A56"/>
    <w:rsid w:val="00613FAC"/>
    <w:rsid w:val="00614456"/>
    <w:rsid w:val="006145B9"/>
    <w:rsid w:val="0061498D"/>
    <w:rsid w:val="00614FA3"/>
    <w:rsid w:val="0061517E"/>
    <w:rsid w:val="006151AB"/>
    <w:rsid w:val="0061562B"/>
    <w:rsid w:val="00615789"/>
    <w:rsid w:val="00615E67"/>
    <w:rsid w:val="00615F2B"/>
    <w:rsid w:val="0061619F"/>
    <w:rsid w:val="0061621A"/>
    <w:rsid w:val="006168D1"/>
    <w:rsid w:val="006169E5"/>
    <w:rsid w:val="00616B2F"/>
    <w:rsid w:val="00616EA0"/>
    <w:rsid w:val="00616EAD"/>
    <w:rsid w:val="006170A8"/>
    <w:rsid w:val="006170E7"/>
    <w:rsid w:val="006174FC"/>
    <w:rsid w:val="0061795C"/>
    <w:rsid w:val="006201BD"/>
    <w:rsid w:val="0062020C"/>
    <w:rsid w:val="006208C5"/>
    <w:rsid w:val="00620BC9"/>
    <w:rsid w:val="00620D8F"/>
    <w:rsid w:val="00621113"/>
    <w:rsid w:val="0062150C"/>
    <w:rsid w:val="00621611"/>
    <w:rsid w:val="00621B26"/>
    <w:rsid w:val="00621CCA"/>
    <w:rsid w:val="00621CDD"/>
    <w:rsid w:val="00621E1F"/>
    <w:rsid w:val="00622053"/>
    <w:rsid w:val="0062208A"/>
    <w:rsid w:val="0062254B"/>
    <w:rsid w:val="0062288D"/>
    <w:rsid w:val="0062376C"/>
    <w:rsid w:val="0062377F"/>
    <w:rsid w:val="00623847"/>
    <w:rsid w:val="0062385F"/>
    <w:rsid w:val="0062410B"/>
    <w:rsid w:val="00624317"/>
    <w:rsid w:val="00624496"/>
    <w:rsid w:val="0062488D"/>
    <w:rsid w:val="006248C9"/>
    <w:rsid w:val="00624AAC"/>
    <w:rsid w:val="0062528C"/>
    <w:rsid w:val="00625406"/>
    <w:rsid w:val="00625D38"/>
    <w:rsid w:val="00625EBE"/>
    <w:rsid w:val="006261DC"/>
    <w:rsid w:val="0062658D"/>
    <w:rsid w:val="0062746C"/>
    <w:rsid w:val="006276C7"/>
    <w:rsid w:val="00627724"/>
    <w:rsid w:val="0062779E"/>
    <w:rsid w:val="00627931"/>
    <w:rsid w:val="00627B91"/>
    <w:rsid w:val="00627DAF"/>
    <w:rsid w:val="006302A3"/>
    <w:rsid w:val="006303C8"/>
    <w:rsid w:val="0063050C"/>
    <w:rsid w:val="00630AFB"/>
    <w:rsid w:val="00630B42"/>
    <w:rsid w:val="00631A9A"/>
    <w:rsid w:val="00631AF3"/>
    <w:rsid w:val="00631B05"/>
    <w:rsid w:val="0063235A"/>
    <w:rsid w:val="00632431"/>
    <w:rsid w:val="00632D56"/>
    <w:rsid w:val="006338C0"/>
    <w:rsid w:val="00633BF8"/>
    <w:rsid w:val="00633E0C"/>
    <w:rsid w:val="00633FBF"/>
    <w:rsid w:val="00633FFF"/>
    <w:rsid w:val="006347B4"/>
    <w:rsid w:val="00634B89"/>
    <w:rsid w:val="00634D06"/>
    <w:rsid w:val="0063512E"/>
    <w:rsid w:val="00635BB7"/>
    <w:rsid w:val="00636062"/>
    <w:rsid w:val="0063667D"/>
    <w:rsid w:val="006366AC"/>
    <w:rsid w:val="00637580"/>
    <w:rsid w:val="00637BB2"/>
    <w:rsid w:val="00637E02"/>
    <w:rsid w:val="00637FA8"/>
    <w:rsid w:val="00640A9B"/>
    <w:rsid w:val="00640EAD"/>
    <w:rsid w:val="00640FB9"/>
    <w:rsid w:val="0064153E"/>
    <w:rsid w:val="00641861"/>
    <w:rsid w:val="00641C58"/>
    <w:rsid w:val="00642484"/>
    <w:rsid w:val="006424CA"/>
    <w:rsid w:val="00642711"/>
    <w:rsid w:val="00642932"/>
    <w:rsid w:val="00642B92"/>
    <w:rsid w:val="006434AB"/>
    <w:rsid w:val="00644438"/>
    <w:rsid w:val="006445A9"/>
    <w:rsid w:val="0064472B"/>
    <w:rsid w:val="00644CB6"/>
    <w:rsid w:val="00644E60"/>
    <w:rsid w:val="00645211"/>
    <w:rsid w:val="00645770"/>
    <w:rsid w:val="006462AC"/>
    <w:rsid w:val="00647165"/>
    <w:rsid w:val="00647611"/>
    <w:rsid w:val="00647993"/>
    <w:rsid w:val="00647A30"/>
    <w:rsid w:val="006508D1"/>
    <w:rsid w:val="006508FA"/>
    <w:rsid w:val="00650FB2"/>
    <w:rsid w:val="00652480"/>
    <w:rsid w:val="00652706"/>
    <w:rsid w:val="00652CAA"/>
    <w:rsid w:val="00652DB7"/>
    <w:rsid w:val="00653122"/>
    <w:rsid w:val="006533AB"/>
    <w:rsid w:val="0065390E"/>
    <w:rsid w:val="00653AE9"/>
    <w:rsid w:val="00653E50"/>
    <w:rsid w:val="006545AD"/>
    <w:rsid w:val="0065464F"/>
    <w:rsid w:val="00654763"/>
    <w:rsid w:val="006549A1"/>
    <w:rsid w:val="00654A40"/>
    <w:rsid w:val="00654BCB"/>
    <w:rsid w:val="00654C21"/>
    <w:rsid w:val="006552FA"/>
    <w:rsid w:val="00655F47"/>
    <w:rsid w:val="00656266"/>
    <w:rsid w:val="006562B3"/>
    <w:rsid w:val="006563F0"/>
    <w:rsid w:val="0065683D"/>
    <w:rsid w:val="006568E8"/>
    <w:rsid w:val="00656CD1"/>
    <w:rsid w:val="00657689"/>
    <w:rsid w:val="00657DB0"/>
    <w:rsid w:val="0066064F"/>
    <w:rsid w:val="0066090F"/>
    <w:rsid w:val="00660F10"/>
    <w:rsid w:val="0066125C"/>
    <w:rsid w:val="00661764"/>
    <w:rsid w:val="00661825"/>
    <w:rsid w:val="00661EB2"/>
    <w:rsid w:val="00662188"/>
    <w:rsid w:val="006623CA"/>
    <w:rsid w:val="006624D7"/>
    <w:rsid w:val="006626F8"/>
    <w:rsid w:val="00662770"/>
    <w:rsid w:val="00662B99"/>
    <w:rsid w:val="00662EC1"/>
    <w:rsid w:val="00663073"/>
    <w:rsid w:val="006630A6"/>
    <w:rsid w:val="006630E7"/>
    <w:rsid w:val="00663115"/>
    <w:rsid w:val="00663EC5"/>
    <w:rsid w:val="00663FB5"/>
    <w:rsid w:val="00665C2B"/>
    <w:rsid w:val="00665C4E"/>
    <w:rsid w:val="00667A3D"/>
    <w:rsid w:val="00667D22"/>
    <w:rsid w:val="00667F8D"/>
    <w:rsid w:val="00670131"/>
    <w:rsid w:val="00670472"/>
    <w:rsid w:val="00670906"/>
    <w:rsid w:val="00671953"/>
    <w:rsid w:val="006719D7"/>
    <w:rsid w:val="00671A3A"/>
    <w:rsid w:val="0067238B"/>
    <w:rsid w:val="00672F80"/>
    <w:rsid w:val="00673001"/>
    <w:rsid w:val="006731BE"/>
    <w:rsid w:val="0067322E"/>
    <w:rsid w:val="0067399A"/>
    <w:rsid w:val="00674876"/>
    <w:rsid w:val="00674BBE"/>
    <w:rsid w:val="00674DA0"/>
    <w:rsid w:val="00675414"/>
    <w:rsid w:val="006758F2"/>
    <w:rsid w:val="00675D63"/>
    <w:rsid w:val="00675D69"/>
    <w:rsid w:val="00675DEB"/>
    <w:rsid w:val="00675FF7"/>
    <w:rsid w:val="00676759"/>
    <w:rsid w:val="00676A6A"/>
    <w:rsid w:val="00676D29"/>
    <w:rsid w:val="0067716A"/>
    <w:rsid w:val="006773EB"/>
    <w:rsid w:val="006776E1"/>
    <w:rsid w:val="00677C74"/>
    <w:rsid w:val="00677C76"/>
    <w:rsid w:val="00677D9C"/>
    <w:rsid w:val="006806B4"/>
    <w:rsid w:val="0068164C"/>
    <w:rsid w:val="006819A6"/>
    <w:rsid w:val="00681ADA"/>
    <w:rsid w:val="00682E3D"/>
    <w:rsid w:val="00683896"/>
    <w:rsid w:val="00683960"/>
    <w:rsid w:val="00683B80"/>
    <w:rsid w:val="00684596"/>
    <w:rsid w:val="00684AA7"/>
    <w:rsid w:val="00684D45"/>
    <w:rsid w:val="00685541"/>
    <w:rsid w:val="00685621"/>
    <w:rsid w:val="00685784"/>
    <w:rsid w:val="00685CD8"/>
    <w:rsid w:val="00685FE0"/>
    <w:rsid w:val="00686678"/>
    <w:rsid w:val="00687002"/>
    <w:rsid w:val="006873D5"/>
    <w:rsid w:val="0069033E"/>
    <w:rsid w:val="0069101C"/>
    <w:rsid w:val="00691079"/>
    <w:rsid w:val="0069134E"/>
    <w:rsid w:val="00691558"/>
    <w:rsid w:val="00691CF7"/>
    <w:rsid w:val="006922FD"/>
    <w:rsid w:val="00692879"/>
    <w:rsid w:val="00692C3E"/>
    <w:rsid w:val="006931AD"/>
    <w:rsid w:val="0069343A"/>
    <w:rsid w:val="006935C4"/>
    <w:rsid w:val="00693B16"/>
    <w:rsid w:val="00693D64"/>
    <w:rsid w:val="00694454"/>
    <w:rsid w:val="0069447A"/>
    <w:rsid w:val="006944DE"/>
    <w:rsid w:val="0069473A"/>
    <w:rsid w:val="006949EF"/>
    <w:rsid w:val="00694CF7"/>
    <w:rsid w:val="0069627B"/>
    <w:rsid w:val="006963C8"/>
    <w:rsid w:val="006968D7"/>
    <w:rsid w:val="00696B45"/>
    <w:rsid w:val="006A0667"/>
    <w:rsid w:val="006A08AE"/>
    <w:rsid w:val="006A0ABF"/>
    <w:rsid w:val="006A1A09"/>
    <w:rsid w:val="006A1AED"/>
    <w:rsid w:val="006A1F55"/>
    <w:rsid w:val="006A22EE"/>
    <w:rsid w:val="006A2D5F"/>
    <w:rsid w:val="006A2E5C"/>
    <w:rsid w:val="006A302E"/>
    <w:rsid w:val="006A375A"/>
    <w:rsid w:val="006A379A"/>
    <w:rsid w:val="006A389E"/>
    <w:rsid w:val="006A3E1A"/>
    <w:rsid w:val="006A50F9"/>
    <w:rsid w:val="006A5363"/>
    <w:rsid w:val="006A5473"/>
    <w:rsid w:val="006A5A12"/>
    <w:rsid w:val="006A5A5C"/>
    <w:rsid w:val="006A5B5A"/>
    <w:rsid w:val="006A5E85"/>
    <w:rsid w:val="006A5FE3"/>
    <w:rsid w:val="006A672F"/>
    <w:rsid w:val="006A6F4C"/>
    <w:rsid w:val="006A7E8D"/>
    <w:rsid w:val="006A7FAA"/>
    <w:rsid w:val="006B0130"/>
    <w:rsid w:val="006B0421"/>
    <w:rsid w:val="006B068B"/>
    <w:rsid w:val="006B0F58"/>
    <w:rsid w:val="006B143B"/>
    <w:rsid w:val="006B1455"/>
    <w:rsid w:val="006B191E"/>
    <w:rsid w:val="006B1D33"/>
    <w:rsid w:val="006B2484"/>
    <w:rsid w:val="006B2E42"/>
    <w:rsid w:val="006B30B5"/>
    <w:rsid w:val="006B32F9"/>
    <w:rsid w:val="006B35A6"/>
    <w:rsid w:val="006B3CD1"/>
    <w:rsid w:val="006B3FDB"/>
    <w:rsid w:val="006B4278"/>
    <w:rsid w:val="006B43F5"/>
    <w:rsid w:val="006B44D2"/>
    <w:rsid w:val="006B55E7"/>
    <w:rsid w:val="006B575C"/>
    <w:rsid w:val="006B58D3"/>
    <w:rsid w:val="006B5E77"/>
    <w:rsid w:val="006B5F37"/>
    <w:rsid w:val="006B6361"/>
    <w:rsid w:val="006B6F63"/>
    <w:rsid w:val="006B7158"/>
    <w:rsid w:val="006B719A"/>
    <w:rsid w:val="006B75FF"/>
    <w:rsid w:val="006B7C84"/>
    <w:rsid w:val="006C01D2"/>
    <w:rsid w:val="006C0324"/>
    <w:rsid w:val="006C0552"/>
    <w:rsid w:val="006C1B9C"/>
    <w:rsid w:val="006C1CA2"/>
    <w:rsid w:val="006C1CA9"/>
    <w:rsid w:val="006C1E42"/>
    <w:rsid w:val="006C225B"/>
    <w:rsid w:val="006C2451"/>
    <w:rsid w:val="006C27FA"/>
    <w:rsid w:val="006C2B84"/>
    <w:rsid w:val="006C2EA2"/>
    <w:rsid w:val="006C2F35"/>
    <w:rsid w:val="006C31CC"/>
    <w:rsid w:val="006C538B"/>
    <w:rsid w:val="006C5ACA"/>
    <w:rsid w:val="006C5AF7"/>
    <w:rsid w:val="006C6355"/>
    <w:rsid w:val="006C6AD9"/>
    <w:rsid w:val="006C6B7C"/>
    <w:rsid w:val="006C6CA8"/>
    <w:rsid w:val="006C6CFD"/>
    <w:rsid w:val="006C704A"/>
    <w:rsid w:val="006C74FD"/>
    <w:rsid w:val="006D0084"/>
    <w:rsid w:val="006D21BD"/>
    <w:rsid w:val="006D246A"/>
    <w:rsid w:val="006D2EFE"/>
    <w:rsid w:val="006D2F09"/>
    <w:rsid w:val="006D3928"/>
    <w:rsid w:val="006D3F74"/>
    <w:rsid w:val="006D409E"/>
    <w:rsid w:val="006D4BE5"/>
    <w:rsid w:val="006D50BE"/>
    <w:rsid w:val="006D5523"/>
    <w:rsid w:val="006D59EB"/>
    <w:rsid w:val="006D5BB2"/>
    <w:rsid w:val="006D67A3"/>
    <w:rsid w:val="006D67A6"/>
    <w:rsid w:val="006D68CE"/>
    <w:rsid w:val="006D69DC"/>
    <w:rsid w:val="006D6D56"/>
    <w:rsid w:val="006D6FBE"/>
    <w:rsid w:val="006D7033"/>
    <w:rsid w:val="006D732B"/>
    <w:rsid w:val="006D775B"/>
    <w:rsid w:val="006D7E41"/>
    <w:rsid w:val="006E02FB"/>
    <w:rsid w:val="006E056C"/>
    <w:rsid w:val="006E14C6"/>
    <w:rsid w:val="006E1FAD"/>
    <w:rsid w:val="006E21C5"/>
    <w:rsid w:val="006E2628"/>
    <w:rsid w:val="006E2A18"/>
    <w:rsid w:val="006E3370"/>
    <w:rsid w:val="006E34A2"/>
    <w:rsid w:val="006E4EB2"/>
    <w:rsid w:val="006E504D"/>
    <w:rsid w:val="006E53DB"/>
    <w:rsid w:val="006E5AD2"/>
    <w:rsid w:val="006E62D9"/>
    <w:rsid w:val="006E65BA"/>
    <w:rsid w:val="006E6658"/>
    <w:rsid w:val="006E699B"/>
    <w:rsid w:val="006E7015"/>
    <w:rsid w:val="006E7617"/>
    <w:rsid w:val="006E777D"/>
    <w:rsid w:val="006F0217"/>
    <w:rsid w:val="006F03C4"/>
    <w:rsid w:val="006F0748"/>
    <w:rsid w:val="006F091C"/>
    <w:rsid w:val="006F0A39"/>
    <w:rsid w:val="006F0C58"/>
    <w:rsid w:val="006F119E"/>
    <w:rsid w:val="006F1645"/>
    <w:rsid w:val="006F1BB8"/>
    <w:rsid w:val="006F23E9"/>
    <w:rsid w:val="006F269F"/>
    <w:rsid w:val="006F27E3"/>
    <w:rsid w:val="006F2B8A"/>
    <w:rsid w:val="006F30F4"/>
    <w:rsid w:val="006F3137"/>
    <w:rsid w:val="006F35D0"/>
    <w:rsid w:val="006F3FC3"/>
    <w:rsid w:val="006F42D5"/>
    <w:rsid w:val="006F44D5"/>
    <w:rsid w:val="006F44F8"/>
    <w:rsid w:val="006F45FD"/>
    <w:rsid w:val="006F470C"/>
    <w:rsid w:val="006F5116"/>
    <w:rsid w:val="006F52C4"/>
    <w:rsid w:val="006F56D2"/>
    <w:rsid w:val="006F57BA"/>
    <w:rsid w:val="006F5D78"/>
    <w:rsid w:val="006F64EE"/>
    <w:rsid w:val="006F6AF7"/>
    <w:rsid w:val="006F6C72"/>
    <w:rsid w:val="006F7B34"/>
    <w:rsid w:val="006F7D4F"/>
    <w:rsid w:val="00700190"/>
    <w:rsid w:val="00700C8E"/>
    <w:rsid w:val="00701AE4"/>
    <w:rsid w:val="00701C69"/>
    <w:rsid w:val="00701D42"/>
    <w:rsid w:val="0070256C"/>
    <w:rsid w:val="00702FEA"/>
    <w:rsid w:val="007035F4"/>
    <w:rsid w:val="007041DD"/>
    <w:rsid w:val="00704212"/>
    <w:rsid w:val="007042FA"/>
    <w:rsid w:val="0070468F"/>
    <w:rsid w:val="00704B15"/>
    <w:rsid w:val="00704BA7"/>
    <w:rsid w:val="00704F44"/>
    <w:rsid w:val="00705073"/>
    <w:rsid w:val="00705BF2"/>
    <w:rsid w:val="00706599"/>
    <w:rsid w:val="0070666C"/>
    <w:rsid w:val="00706751"/>
    <w:rsid w:val="00706761"/>
    <w:rsid w:val="00706A01"/>
    <w:rsid w:val="00706B41"/>
    <w:rsid w:val="00706BFD"/>
    <w:rsid w:val="00706C3E"/>
    <w:rsid w:val="00707308"/>
    <w:rsid w:val="007073C1"/>
    <w:rsid w:val="007075B4"/>
    <w:rsid w:val="0070768A"/>
    <w:rsid w:val="00707F59"/>
    <w:rsid w:val="00710370"/>
    <w:rsid w:val="00710646"/>
    <w:rsid w:val="007108DE"/>
    <w:rsid w:val="00710D44"/>
    <w:rsid w:val="0071106D"/>
    <w:rsid w:val="00711852"/>
    <w:rsid w:val="00711985"/>
    <w:rsid w:val="00711A9F"/>
    <w:rsid w:val="007121A6"/>
    <w:rsid w:val="0071226D"/>
    <w:rsid w:val="007124ED"/>
    <w:rsid w:val="007126F4"/>
    <w:rsid w:val="007130CC"/>
    <w:rsid w:val="007137D9"/>
    <w:rsid w:val="007139D8"/>
    <w:rsid w:val="0071402F"/>
    <w:rsid w:val="0071421F"/>
    <w:rsid w:val="0071474E"/>
    <w:rsid w:val="00714AE2"/>
    <w:rsid w:val="00715100"/>
    <w:rsid w:val="00715405"/>
    <w:rsid w:val="007155FB"/>
    <w:rsid w:val="00715E49"/>
    <w:rsid w:val="00715ECA"/>
    <w:rsid w:val="00716415"/>
    <w:rsid w:val="0071679D"/>
    <w:rsid w:val="00716D23"/>
    <w:rsid w:val="00716EB9"/>
    <w:rsid w:val="00716EEC"/>
    <w:rsid w:val="00717450"/>
    <w:rsid w:val="00717697"/>
    <w:rsid w:val="00717A5D"/>
    <w:rsid w:val="00717BC0"/>
    <w:rsid w:val="00717D49"/>
    <w:rsid w:val="00717F06"/>
    <w:rsid w:val="0072011C"/>
    <w:rsid w:val="0072041D"/>
    <w:rsid w:val="00720C54"/>
    <w:rsid w:val="00720EC2"/>
    <w:rsid w:val="00721655"/>
    <w:rsid w:val="0072192F"/>
    <w:rsid w:val="00721932"/>
    <w:rsid w:val="00721D32"/>
    <w:rsid w:val="00722135"/>
    <w:rsid w:val="00722310"/>
    <w:rsid w:val="007226D1"/>
    <w:rsid w:val="00722947"/>
    <w:rsid w:val="00722B84"/>
    <w:rsid w:val="00722D13"/>
    <w:rsid w:val="00722DA4"/>
    <w:rsid w:val="00723643"/>
    <w:rsid w:val="00723663"/>
    <w:rsid w:val="0072379C"/>
    <w:rsid w:val="00723A61"/>
    <w:rsid w:val="00723C1D"/>
    <w:rsid w:val="00723FA6"/>
    <w:rsid w:val="007242EA"/>
    <w:rsid w:val="00724687"/>
    <w:rsid w:val="00724A56"/>
    <w:rsid w:val="00725348"/>
    <w:rsid w:val="00725500"/>
    <w:rsid w:val="00725AAE"/>
    <w:rsid w:val="00725B79"/>
    <w:rsid w:val="00725BFD"/>
    <w:rsid w:val="00725CC3"/>
    <w:rsid w:val="007266C9"/>
    <w:rsid w:val="00726788"/>
    <w:rsid w:val="007272E4"/>
    <w:rsid w:val="007273E0"/>
    <w:rsid w:val="007279A2"/>
    <w:rsid w:val="007279D6"/>
    <w:rsid w:val="00727F3D"/>
    <w:rsid w:val="00730364"/>
    <w:rsid w:val="0073043D"/>
    <w:rsid w:val="00730C2C"/>
    <w:rsid w:val="0073152D"/>
    <w:rsid w:val="00731655"/>
    <w:rsid w:val="007316D2"/>
    <w:rsid w:val="00731B15"/>
    <w:rsid w:val="00731E02"/>
    <w:rsid w:val="007321BF"/>
    <w:rsid w:val="007324D3"/>
    <w:rsid w:val="00732507"/>
    <w:rsid w:val="007327F4"/>
    <w:rsid w:val="00732AAB"/>
    <w:rsid w:val="00732BF0"/>
    <w:rsid w:val="00732F27"/>
    <w:rsid w:val="00732F5C"/>
    <w:rsid w:val="007336B3"/>
    <w:rsid w:val="00733923"/>
    <w:rsid w:val="00733B79"/>
    <w:rsid w:val="00734805"/>
    <w:rsid w:val="00735316"/>
    <w:rsid w:val="00735A8A"/>
    <w:rsid w:val="00735EC2"/>
    <w:rsid w:val="00735EF1"/>
    <w:rsid w:val="007362FA"/>
    <w:rsid w:val="00736AE1"/>
    <w:rsid w:val="00736D05"/>
    <w:rsid w:val="00736F45"/>
    <w:rsid w:val="007371E7"/>
    <w:rsid w:val="007375A9"/>
    <w:rsid w:val="00737645"/>
    <w:rsid w:val="007376C0"/>
    <w:rsid w:val="00740392"/>
    <w:rsid w:val="007405F9"/>
    <w:rsid w:val="007415BD"/>
    <w:rsid w:val="00741E35"/>
    <w:rsid w:val="007436F2"/>
    <w:rsid w:val="0074398E"/>
    <w:rsid w:val="00743D00"/>
    <w:rsid w:val="00744011"/>
    <w:rsid w:val="007442BC"/>
    <w:rsid w:val="00744373"/>
    <w:rsid w:val="00744468"/>
    <w:rsid w:val="0074461C"/>
    <w:rsid w:val="00744665"/>
    <w:rsid w:val="007453A5"/>
    <w:rsid w:val="007459F9"/>
    <w:rsid w:val="00745C36"/>
    <w:rsid w:val="00746143"/>
    <w:rsid w:val="00746415"/>
    <w:rsid w:val="007467F8"/>
    <w:rsid w:val="00746AE2"/>
    <w:rsid w:val="00746EAB"/>
    <w:rsid w:val="007475A1"/>
    <w:rsid w:val="00747631"/>
    <w:rsid w:val="00747913"/>
    <w:rsid w:val="00747A68"/>
    <w:rsid w:val="00747F56"/>
    <w:rsid w:val="00750AE2"/>
    <w:rsid w:val="00750FCE"/>
    <w:rsid w:val="007515BA"/>
    <w:rsid w:val="00751DEF"/>
    <w:rsid w:val="00752474"/>
    <w:rsid w:val="007524AF"/>
    <w:rsid w:val="0075252B"/>
    <w:rsid w:val="00752E51"/>
    <w:rsid w:val="00752EBB"/>
    <w:rsid w:val="00753556"/>
    <w:rsid w:val="00753591"/>
    <w:rsid w:val="00754370"/>
    <w:rsid w:val="007543CC"/>
    <w:rsid w:val="00754492"/>
    <w:rsid w:val="007544F3"/>
    <w:rsid w:val="00754984"/>
    <w:rsid w:val="00754F5D"/>
    <w:rsid w:val="007550C3"/>
    <w:rsid w:val="00755482"/>
    <w:rsid w:val="007555D3"/>
    <w:rsid w:val="0075666A"/>
    <w:rsid w:val="00756B50"/>
    <w:rsid w:val="00756BC7"/>
    <w:rsid w:val="00756C0D"/>
    <w:rsid w:val="00756E45"/>
    <w:rsid w:val="00757479"/>
    <w:rsid w:val="007575E3"/>
    <w:rsid w:val="007576D2"/>
    <w:rsid w:val="00757A2A"/>
    <w:rsid w:val="007602C3"/>
    <w:rsid w:val="0076051B"/>
    <w:rsid w:val="00760619"/>
    <w:rsid w:val="007609F8"/>
    <w:rsid w:val="00760B22"/>
    <w:rsid w:val="0076142C"/>
    <w:rsid w:val="007614CB"/>
    <w:rsid w:val="00761987"/>
    <w:rsid w:val="00761DD0"/>
    <w:rsid w:val="007622C3"/>
    <w:rsid w:val="00762353"/>
    <w:rsid w:val="007623B3"/>
    <w:rsid w:val="0076294F"/>
    <w:rsid w:val="00763326"/>
    <w:rsid w:val="00763FB6"/>
    <w:rsid w:val="007645DC"/>
    <w:rsid w:val="00764DDD"/>
    <w:rsid w:val="00764E38"/>
    <w:rsid w:val="00764EF0"/>
    <w:rsid w:val="00765279"/>
    <w:rsid w:val="007653AF"/>
    <w:rsid w:val="007663AD"/>
    <w:rsid w:val="0076642C"/>
    <w:rsid w:val="0076701A"/>
    <w:rsid w:val="0076703A"/>
    <w:rsid w:val="00767079"/>
    <w:rsid w:val="0076721E"/>
    <w:rsid w:val="00767392"/>
    <w:rsid w:val="00767AC1"/>
    <w:rsid w:val="00767C14"/>
    <w:rsid w:val="00767DFE"/>
    <w:rsid w:val="00767FCD"/>
    <w:rsid w:val="00770129"/>
    <w:rsid w:val="00770309"/>
    <w:rsid w:val="0077074D"/>
    <w:rsid w:val="00770A5F"/>
    <w:rsid w:val="00770C99"/>
    <w:rsid w:val="00770CE6"/>
    <w:rsid w:val="00770D3F"/>
    <w:rsid w:val="00770FCE"/>
    <w:rsid w:val="007713EF"/>
    <w:rsid w:val="007714A9"/>
    <w:rsid w:val="0077172A"/>
    <w:rsid w:val="00771D58"/>
    <w:rsid w:val="00771F99"/>
    <w:rsid w:val="00772781"/>
    <w:rsid w:val="00772A2A"/>
    <w:rsid w:val="00773B36"/>
    <w:rsid w:val="00773BEB"/>
    <w:rsid w:val="00774D3B"/>
    <w:rsid w:val="0077579E"/>
    <w:rsid w:val="00775AA0"/>
    <w:rsid w:val="00775BBA"/>
    <w:rsid w:val="00776041"/>
    <w:rsid w:val="0077658B"/>
    <w:rsid w:val="0077688C"/>
    <w:rsid w:val="00777072"/>
    <w:rsid w:val="007770E3"/>
    <w:rsid w:val="007771B0"/>
    <w:rsid w:val="0077750C"/>
    <w:rsid w:val="00777875"/>
    <w:rsid w:val="00777903"/>
    <w:rsid w:val="00777C41"/>
    <w:rsid w:val="00780802"/>
    <w:rsid w:val="00780832"/>
    <w:rsid w:val="007811D8"/>
    <w:rsid w:val="00781376"/>
    <w:rsid w:val="007813C3"/>
    <w:rsid w:val="00781AB9"/>
    <w:rsid w:val="00781E92"/>
    <w:rsid w:val="007824C5"/>
    <w:rsid w:val="007828B9"/>
    <w:rsid w:val="007828FA"/>
    <w:rsid w:val="00782F21"/>
    <w:rsid w:val="007832BC"/>
    <w:rsid w:val="0078374C"/>
    <w:rsid w:val="007838CD"/>
    <w:rsid w:val="007838F3"/>
    <w:rsid w:val="00783A30"/>
    <w:rsid w:val="007845CD"/>
    <w:rsid w:val="00784964"/>
    <w:rsid w:val="0078536B"/>
    <w:rsid w:val="007856E2"/>
    <w:rsid w:val="00785D7B"/>
    <w:rsid w:val="00786272"/>
    <w:rsid w:val="0078638A"/>
    <w:rsid w:val="00786603"/>
    <w:rsid w:val="00786EA1"/>
    <w:rsid w:val="00786F38"/>
    <w:rsid w:val="00787B38"/>
    <w:rsid w:val="007902CD"/>
    <w:rsid w:val="00790379"/>
    <w:rsid w:val="00790E3E"/>
    <w:rsid w:val="00791190"/>
    <w:rsid w:val="007914BD"/>
    <w:rsid w:val="00791737"/>
    <w:rsid w:val="00791F56"/>
    <w:rsid w:val="00792424"/>
    <w:rsid w:val="00792608"/>
    <w:rsid w:val="007927EE"/>
    <w:rsid w:val="00792A09"/>
    <w:rsid w:val="00792BB9"/>
    <w:rsid w:val="0079343A"/>
    <w:rsid w:val="007936B4"/>
    <w:rsid w:val="0079385E"/>
    <w:rsid w:val="00793A35"/>
    <w:rsid w:val="00793A8C"/>
    <w:rsid w:val="00794A28"/>
    <w:rsid w:val="00794CA6"/>
    <w:rsid w:val="00794FCB"/>
    <w:rsid w:val="007966B3"/>
    <w:rsid w:val="00796CA2"/>
    <w:rsid w:val="0079741B"/>
    <w:rsid w:val="007A0A6A"/>
    <w:rsid w:val="007A0DD9"/>
    <w:rsid w:val="007A0DE5"/>
    <w:rsid w:val="007A0E81"/>
    <w:rsid w:val="007A0FB4"/>
    <w:rsid w:val="007A1A1E"/>
    <w:rsid w:val="007A1DAE"/>
    <w:rsid w:val="007A1F4A"/>
    <w:rsid w:val="007A2A73"/>
    <w:rsid w:val="007A2FA2"/>
    <w:rsid w:val="007A3572"/>
    <w:rsid w:val="007A361D"/>
    <w:rsid w:val="007A36FD"/>
    <w:rsid w:val="007A3B74"/>
    <w:rsid w:val="007A3EC4"/>
    <w:rsid w:val="007A3EF4"/>
    <w:rsid w:val="007A42B4"/>
    <w:rsid w:val="007A4493"/>
    <w:rsid w:val="007A4AA0"/>
    <w:rsid w:val="007A4DF1"/>
    <w:rsid w:val="007A547D"/>
    <w:rsid w:val="007A55CC"/>
    <w:rsid w:val="007A580C"/>
    <w:rsid w:val="007A5B7C"/>
    <w:rsid w:val="007A5B8F"/>
    <w:rsid w:val="007A5F52"/>
    <w:rsid w:val="007A6071"/>
    <w:rsid w:val="007A61EA"/>
    <w:rsid w:val="007A6363"/>
    <w:rsid w:val="007A64AA"/>
    <w:rsid w:val="007A70E5"/>
    <w:rsid w:val="007A7389"/>
    <w:rsid w:val="007A7B3F"/>
    <w:rsid w:val="007A7C56"/>
    <w:rsid w:val="007A7E6B"/>
    <w:rsid w:val="007B029E"/>
    <w:rsid w:val="007B02AE"/>
    <w:rsid w:val="007B07FE"/>
    <w:rsid w:val="007B0B46"/>
    <w:rsid w:val="007B1600"/>
    <w:rsid w:val="007B16C8"/>
    <w:rsid w:val="007B1A0E"/>
    <w:rsid w:val="007B1CE4"/>
    <w:rsid w:val="007B2A5C"/>
    <w:rsid w:val="007B353A"/>
    <w:rsid w:val="007B4173"/>
    <w:rsid w:val="007B45B2"/>
    <w:rsid w:val="007B46DC"/>
    <w:rsid w:val="007B51BD"/>
    <w:rsid w:val="007B5483"/>
    <w:rsid w:val="007B5704"/>
    <w:rsid w:val="007B57D8"/>
    <w:rsid w:val="007B5C79"/>
    <w:rsid w:val="007B5FA8"/>
    <w:rsid w:val="007B6774"/>
    <w:rsid w:val="007B6983"/>
    <w:rsid w:val="007B6CF5"/>
    <w:rsid w:val="007B7234"/>
    <w:rsid w:val="007B7724"/>
    <w:rsid w:val="007B7772"/>
    <w:rsid w:val="007B7841"/>
    <w:rsid w:val="007B78D9"/>
    <w:rsid w:val="007B7A36"/>
    <w:rsid w:val="007B7FAF"/>
    <w:rsid w:val="007C0148"/>
    <w:rsid w:val="007C048E"/>
    <w:rsid w:val="007C0B9B"/>
    <w:rsid w:val="007C0FE4"/>
    <w:rsid w:val="007C1288"/>
    <w:rsid w:val="007C1637"/>
    <w:rsid w:val="007C1BB7"/>
    <w:rsid w:val="007C1C7E"/>
    <w:rsid w:val="007C1EEB"/>
    <w:rsid w:val="007C1F09"/>
    <w:rsid w:val="007C22B8"/>
    <w:rsid w:val="007C2447"/>
    <w:rsid w:val="007C31F8"/>
    <w:rsid w:val="007C38B8"/>
    <w:rsid w:val="007C40FF"/>
    <w:rsid w:val="007C4151"/>
    <w:rsid w:val="007C47C9"/>
    <w:rsid w:val="007C47CF"/>
    <w:rsid w:val="007C508E"/>
    <w:rsid w:val="007C57CF"/>
    <w:rsid w:val="007C5AFA"/>
    <w:rsid w:val="007C5B59"/>
    <w:rsid w:val="007C605B"/>
    <w:rsid w:val="007C62AB"/>
    <w:rsid w:val="007C637B"/>
    <w:rsid w:val="007C65BD"/>
    <w:rsid w:val="007C664C"/>
    <w:rsid w:val="007C676E"/>
    <w:rsid w:val="007C6930"/>
    <w:rsid w:val="007C6EA0"/>
    <w:rsid w:val="007C7C1E"/>
    <w:rsid w:val="007C7CF2"/>
    <w:rsid w:val="007D0170"/>
    <w:rsid w:val="007D0290"/>
    <w:rsid w:val="007D11D2"/>
    <w:rsid w:val="007D1551"/>
    <w:rsid w:val="007D1B87"/>
    <w:rsid w:val="007D2A15"/>
    <w:rsid w:val="007D2E5B"/>
    <w:rsid w:val="007D329A"/>
    <w:rsid w:val="007D3979"/>
    <w:rsid w:val="007D3AA1"/>
    <w:rsid w:val="007D3B72"/>
    <w:rsid w:val="007D3C45"/>
    <w:rsid w:val="007D3E86"/>
    <w:rsid w:val="007D3F1E"/>
    <w:rsid w:val="007D5054"/>
    <w:rsid w:val="007D53F3"/>
    <w:rsid w:val="007D5402"/>
    <w:rsid w:val="007D58A6"/>
    <w:rsid w:val="007D5A53"/>
    <w:rsid w:val="007D5B3C"/>
    <w:rsid w:val="007D5B78"/>
    <w:rsid w:val="007D5E7D"/>
    <w:rsid w:val="007D5F9C"/>
    <w:rsid w:val="007D65F3"/>
    <w:rsid w:val="007D68EB"/>
    <w:rsid w:val="007D6AF5"/>
    <w:rsid w:val="007D6E1F"/>
    <w:rsid w:val="007D7537"/>
    <w:rsid w:val="007D7547"/>
    <w:rsid w:val="007D7B04"/>
    <w:rsid w:val="007E048F"/>
    <w:rsid w:val="007E04D1"/>
    <w:rsid w:val="007E05F5"/>
    <w:rsid w:val="007E0912"/>
    <w:rsid w:val="007E19B4"/>
    <w:rsid w:val="007E1B37"/>
    <w:rsid w:val="007E1F2B"/>
    <w:rsid w:val="007E1FE0"/>
    <w:rsid w:val="007E22E9"/>
    <w:rsid w:val="007E2A32"/>
    <w:rsid w:val="007E2AFD"/>
    <w:rsid w:val="007E3064"/>
    <w:rsid w:val="007E332C"/>
    <w:rsid w:val="007E3482"/>
    <w:rsid w:val="007E3899"/>
    <w:rsid w:val="007E4437"/>
    <w:rsid w:val="007E489F"/>
    <w:rsid w:val="007E4961"/>
    <w:rsid w:val="007E551C"/>
    <w:rsid w:val="007E5E91"/>
    <w:rsid w:val="007E615A"/>
    <w:rsid w:val="007E7126"/>
    <w:rsid w:val="007E716F"/>
    <w:rsid w:val="007E745E"/>
    <w:rsid w:val="007E7956"/>
    <w:rsid w:val="007E7B1E"/>
    <w:rsid w:val="007F00EB"/>
    <w:rsid w:val="007F07F3"/>
    <w:rsid w:val="007F0A22"/>
    <w:rsid w:val="007F0BCA"/>
    <w:rsid w:val="007F0D50"/>
    <w:rsid w:val="007F0FC0"/>
    <w:rsid w:val="007F1D6E"/>
    <w:rsid w:val="007F1D8F"/>
    <w:rsid w:val="007F1E4D"/>
    <w:rsid w:val="007F205A"/>
    <w:rsid w:val="007F22E1"/>
    <w:rsid w:val="007F253F"/>
    <w:rsid w:val="007F2C98"/>
    <w:rsid w:val="007F2F4D"/>
    <w:rsid w:val="007F31F7"/>
    <w:rsid w:val="007F3B8B"/>
    <w:rsid w:val="007F3C67"/>
    <w:rsid w:val="007F4005"/>
    <w:rsid w:val="007F4EC9"/>
    <w:rsid w:val="007F5622"/>
    <w:rsid w:val="007F56D9"/>
    <w:rsid w:val="007F5A95"/>
    <w:rsid w:val="007F66DB"/>
    <w:rsid w:val="007F6BBB"/>
    <w:rsid w:val="007F7D01"/>
    <w:rsid w:val="007F7E77"/>
    <w:rsid w:val="0080024A"/>
    <w:rsid w:val="00800456"/>
    <w:rsid w:val="008007A7"/>
    <w:rsid w:val="0080091D"/>
    <w:rsid w:val="00800C57"/>
    <w:rsid w:val="00801424"/>
    <w:rsid w:val="0080192E"/>
    <w:rsid w:val="00801933"/>
    <w:rsid w:val="00801CCD"/>
    <w:rsid w:val="00801EDA"/>
    <w:rsid w:val="00801EFA"/>
    <w:rsid w:val="00801F8F"/>
    <w:rsid w:val="008025A2"/>
    <w:rsid w:val="00802E39"/>
    <w:rsid w:val="00803147"/>
    <w:rsid w:val="00803227"/>
    <w:rsid w:val="008036A0"/>
    <w:rsid w:val="00804339"/>
    <w:rsid w:val="0080448D"/>
    <w:rsid w:val="00804593"/>
    <w:rsid w:val="008048C5"/>
    <w:rsid w:val="00805025"/>
    <w:rsid w:val="008051D7"/>
    <w:rsid w:val="00805C51"/>
    <w:rsid w:val="00805EB6"/>
    <w:rsid w:val="00806364"/>
    <w:rsid w:val="008065D1"/>
    <w:rsid w:val="00806A1B"/>
    <w:rsid w:val="0080711D"/>
    <w:rsid w:val="008073C4"/>
    <w:rsid w:val="00807484"/>
    <w:rsid w:val="00807515"/>
    <w:rsid w:val="00807557"/>
    <w:rsid w:val="0080768B"/>
    <w:rsid w:val="008079F5"/>
    <w:rsid w:val="0081084B"/>
    <w:rsid w:val="00810FEF"/>
    <w:rsid w:val="008113DE"/>
    <w:rsid w:val="0081171A"/>
    <w:rsid w:val="0081229C"/>
    <w:rsid w:val="00812374"/>
    <w:rsid w:val="008125C1"/>
    <w:rsid w:val="00812797"/>
    <w:rsid w:val="008129D1"/>
    <w:rsid w:val="00812AF8"/>
    <w:rsid w:val="00812C8E"/>
    <w:rsid w:val="00812D08"/>
    <w:rsid w:val="00812E58"/>
    <w:rsid w:val="00812E68"/>
    <w:rsid w:val="00813019"/>
    <w:rsid w:val="00813610"/>
    <w:rsid w:val="0081395F"/>
    <w:rsid w:val="00813ABC"/>
    <w:rsid w:val="00813B66"/>
    <w:rsid w:val="00813E92"/>
    <w:rsid w:val="0081413E"/>
    <w:rsid w:val="0081498B"/>
    <w:rsid w:val="00814996"/>
    <w:rsid w:val="008157C6"/>
    <w:rsid w:val="008158A4"/>
    <w:rsid w:val="00815E1C"/>
    <w:rsid w:val="00816C58"/>
    <w:rsid w:val="0081755E"/>
    <w:rsid w:val="008206B7"/>
    <w:rsid w:val="00821229"/>
    <w:rsid w:val="00821C6A"/>
    <w:rsid w:val="008227E4"/>
    <w:rsid w:val="00822A0A"/>
    <w:rsid w:val="00822E7C"/>
    <w:rsid w:val="00823270"/>
    <w:rsid w:val="0082369F"/>
    <w:rsid w:val="008236CD"/>
    <w:rsid w:val="00823ACD"/>
    <w:rsid w:val="0082418D"/>
    <w:rsid w:val="0082431C"/>
    <w:rsid w:val="00824441"/>
    <w:rsid w:val="0082480E"/>
    <w:rsid w:val="00824B24"/>
    <w:rsid w:val="00824E44"/>
    <w:rsid w:val="00824F58"/>
    <w:rsid w:val="00824FCC"/>
    <w:rsid w:val="0082530E"/>
    <w:rsid w:val="008257FE"/>
    <w:rsid w:val="00825DC5"/>
    <w:rsid w:val="0082622F"/>
    <w:rsid w:val="008266B9"/>
    <w:rsid w:val="0082690B"/>
    <w:rsid w:val="00826916"/>
    <w:rsid w:val="00826B01"/>
    <w:rsid w:val="00826F00"/>
    <w:rsid w:val="008272DB"/>
    <w:rsid w:val="008279E6"/>
    <w:rsid w:val="00827AD7"/>
    <w:rsid w:val="0083012F"/>
    <w:rsid w:val="008305F3"/>
    <w:rsid w:val="00830E09"/>
    <w:rsid w:val="0083106F"/>
    <w:rsid w:val="008313BE"/>
    <w:rsid w:val="0083159B"/>
    <w:rsid w:val="008317BA"/>
    <w:rsid w:val="008317D1"/>
    <w:rsid w:val="00831BD9"/>
    <w:rsid w:val="00831D08"/>
    <w:rsid w:val="0083258D"/>
    <w:rsid w:val="00833024"/>
    <w:rsid w:val="00833479"/>
    <w:rsid w:val="00834592"/>
    <w:rsid w:val="00834BA3"/>
    <w:rsid w:val="00834D17"/>
    <w:rsid w:val="00834DD9"/>
    <w:rsid w:val="008351D0"/>
    <w:rsid w:val="00835435"/>
    <w:rsid w:val="0083547A"/>
    <w:rsid w:val="0083593B"/>
    <w:rsid w:val="00836254"/>
    <w:rsid w:val="00836265"/>
    <w:rsid w:val="00836E45"/>
    <w:rsid w:val="00836E91"/>
    <w:rsid w:val="00837143"/>
    <w:rsid w:val="008372EF"/>
    <w:rsid w:val="0083759C"/>
    <w:rsid w:val="00837F0E"/>
    <w:rsid w:val="00841070"/>
    <w:rsid w:val="00841102"/>
    <w:rsid w:val="0084188B"/>
    <w:rsid w:val="00841DB7"/>
    <w:rsid w:val="00842A8F"/>
    <w:rsid w:val="00842B41"/>
    <w:rsid w:val="00843106"/>
    <w:rsid w:val="0084318C"/>
    <w:rsid w:val="00843625"/>
    <w:rsid w:val="00843AAD"/>
    <w:rsid w:val="00843F20"/>
    <w:rsid w:val="00844C3A"/>
    <w:rsid w:val="00845034"/>
    <w:rsid w:val="0084544D"/>
    <w:rsid w:val="0084552C"/>
    <w:rsid w:val="0084553C"/>
    <w:rsid w:val="00845AE8"/>
    <w:rsid w:val="00845C3B"/>
    <w:rsid w:val="00845EAD"/>
    <w:rsid w:val="00846029"/>
    <w:rsid w:val="008461F7"/>
    <w:rsid w:val="00846319"/>
    <w:rsid w:val="008466EE"/>
    <w:rsid w:val="00846A9B"/>
    <w:rsid w:val="00846AE5"/>
    <w:rsid w:val="00847524"/>
    <w:rsid w:val="008477FB"/>
    <w:rsid w:val="00847D1E"/>
    <w:rsid w:val="00850273"/>
    <w:rsid w:val="00850365"/>
    <w:rsid w:val="00850546"/>
    <w:rsid w:val="00850A75"/>
    <w:rsid w:val="008510B2"/>
    <w:rsid w:val="008518CD"/>
    <w:rsid w:val="00851AF6"/>
    <w:rsid w:val="00851BDA"/>
    <w:rsid w:val="00852B9A"/>
    <w:rsid w:val="00852D56"/>
    <w:rsid w:val="008535AD"/>
    <w:rsid w:val="00853CA3"/>
    <w:rsid w:val="00853DFD"/>
    <w:rsid w:val="00854337"/>
    <w:rsid w:val="00854B1A"/>
    <w:rsid w:val="00855430"/>
    <w:rsid w:val="00855547"/>
    <w:rsid w:val="008556E0"/>
    <w:rsid w:val="00855729"/>
    <w:rsid w:val="008557B5"/>
    <w:rsid w:val="00855AE4"/>
    <w:rsid w:val="00855F29"/>
    <w:rsid w:val="00856035"/>
    <w:rsid w:val="008560EB"/>
    <w:rsid w:val="00856187"/>
    <w:rsid w:val="00856D1F"/>
    <w:rsid w:val="008570DE"/>
    <w:rsid w:val="00857781"/>
    <w:rsid w:val="00857827"/>
    <w:rsid w:val="00857A49"/>
    <w:rsid w:val="00857BCD"/>
    <w:rsid w:val="00857D2E"/>
    <w:rsid w:val="00857E0D"/>
    <w:rsid w:val="00857ED4"/>
    <w:rsid w:val="00857F03"/>
    <w:rsid w:val="008601CA"/>
    <w:rsid w:val="00860B7E"/>
    <w:rsid w:val="00860B85"/>
    <w:rsid w:val="008610E5"/>
    <w:rsid w:val="0086153D"/>
    <w:rsid w:val="00861581"/>
    <w:rsid w:val="00861AD1"/>
    <w:rsid w:val="00861DD3"/>
    <w:rsid w:val="008625EB"/>
    <w:rsid w:val="00862656"/>
    <w:rsid w:val="00862973"/>
    <w:rsid w:val="00862ADD"/>
    <w:rsid w:val="008631E6"/>
    <w:rsid w:val="008639EF"/>
    <w:rsid w:val="00863CBC"/>
    <w:rsid w:val="00863E1D"/>
    <w:rsid w:val="00863E6A"/>
    <w:rsid w:val="00863EC0"/>
    <w:rsid w:val="00864039"/>
    <w:rsid w:val="0086429A"/>
    <w:rsid w:val="0086463A"/>
    <w:rsid w:val="00864950"/>
    <w:rsid w:val="00864B95"/>
    <w:rsid w:val="00864C3F"/>
    <w:rsid w:val="00864CB4"/>
    <w:rsid w:val="00864D71"/>
    <w:rsid w:val="00865031"/>
    <w:rsid w:val="0086511F"/>
    <w:rsid w:val="00865516"/>
    <w:rsid w:val="0086553B"/>
    <w:rsid w:val="008657A9"/>
    <w:rsid w:val="00865936"/>
    <w:rsid w:val="00865DDA"/>
    <w:rsid w:val="0086662D"/>
    <w:rsid w:val="00867465"/>
    <w:rsid w:val="0086746A"/>
    <w:rsid w:val="00867598"/>
    <w:rsid w:val="008676BD"/>
    <w:rsid w:val="00867997"/>
    <w:rsid w:val="008700D8"/>
    <w:rsid w:val="00870CC0"/>
    <w:rsid w:val="00870D16"/>
    <w:rsid w:val="0087179B"/>
    <w:rsid w:val="00871893"/>
    <w:rsid w:val="00871D94"/>
    <w:rsid w:val="00871DB0"/>
    <w:rsid w:val="00871E54"/>
    <w:rsid w:val="00871F34"/>
    <w:rsid w:val="0087292C"/>
    <w:rsid w:val="00872FCB"/>
    <w:rsid w:val="00873679"/>
    <w:rsid w:val="0087420D"/>
    <w:rsid w:val="008744CE"/>
    <w:rsid w:val="00874AB0"/>
    <w:rsid w:val="00874C29"/>
    <w:rsid w:val="00874FA7"/>
    <w:rsid w:val="008751E4"/>
    <w:rsid w:val="00875225"/>
    <w:rsid w:val="008756C3"/>
    <w:rsid w:val="008758AF"/>
    <w:rsid w:val="00875E50"/>
    <w:rsid w:val="008761CC"/>
    <w:rsid w:val="00876766"/>
    <w:rsid w:val="008768EB"/>
    <w:rsid w:val="00876B17"/>
    <w:rsid w:val="0087713D"/>
    <w:rsid w:val="00877310"/>
    <w:rsid w:val="0087775B"/>
    <w:rsid w:val="00877CA0"/>
    <w:rsid w:val="00880054"/>
    <w:rsid w:val="008806CB"/>
    <w:rsid w:val="008809B4"/>
    <w:rsid w:val="00882342"/>
    <w:rsid w:val="008823A8"/>
    <w:rsid w:val="00882458"/>
    <w:rsid w:val="0088353D"/>
    <w:rsid w:val="00883652"/>
    <w:rsid w:val="00883DC8"/>
    <w:rsid w:val="0088411E"/>
    <w:rsid w:val="008841F4"/>
    <w:rsid w:val="00884203"/>
    <w:rsid w:val="00884601"/>
    <w:rsid w:val="008846B8"/>
    <w:rsid w:val="00885494"/>
    <w:rsid w:val="008855E3"/>
    <w:rsid w:val="00885689"/>
    <w:rsid w:val="00885FA8"/>
    <w:rsid w:val="0088663D"/>
    <w:rsid w:val="008868F5"/>
    <w:rsid w:val="00886A0F"/>
    <w:rsid w:val="00886E11"/>
    <w:rsid w:val="0088722B"/>
    <w:rsid w:val="008875BD"/>
    <w:rsid w:val="008875CB"/>
    <w:rsid w:val="008876E3"/>
    <w:rsid w:val="0089013B"/>
    <w:rsid w:val="00890941"/>
    <w:rsid w:val="00890B49"/>
    <w:rsid w:val="00890C1F"/>
    <w:rsid w:val="00890E35"/>
    <w:rsid w:val="0089120E"/>
    <w:rsid w:val="00891391"/>
    <w:rsid w:val="00891590"/>
    <w:rsid w:val="00891AFF"/>
    <w:rsid w:val="00891B54"/>
    <w:rsid w:val="00891C86"/>
    <w:rsid w:val="008925F9"/>
    <w:rsid w:val="00892CEC"/>
    <w:rsid w:val="008930AE"/>
    <w:rsid w:val="00893191"/>
    <w:rsid w:val="008932FF"/>
    <w:rsid w:val="0089342B"/>
    <w:rsid w:val="00893684"/>
    <w:rsid w:val="008936FE"/>
    <w:rsid w:val="008939D4"/>
    <w:rsid w:val="00893A81"/>
    <w:rsid w:val="00893B67"/>
    <w:rsid w:val="008944E9"/>
    <w:rsid w:val="00894D06"/>
    <w:rsid w:val="00894FAB"/>
    <w:rsid w:val="00895018"/>
    <w:rsid w:val="00895055"/>
    <w:rsid w:val="00895164"/>
    <w:rsid w:val="00895623"/>
    <w:rsid w:val="00895756"/>
    <w:rsid w:val="00895931"/>
    <w:rsid w:val="00896672"/>
    <w:rsid w:val="00896BA5"/>
    <w:rsid w:val="00896E97"/>
    <w:rsid w:val="00897CF5"/>
    <w:rsid w:val="008A029B"/>
    <w:rsid w:val="008A12AD"/>
    <w:rsid w:val="008A177B"/>
    <w:rsid w:val="008A18AA"/>
    <w:rsid w:val="008A1FF6"/>
    <w:rsid w:val="008A2013"/>
    <w:rsid w:val="008A2651"/>
    <w:rsid w:val="008A2DB9"/>
    <w:rsid w:val="008A3277"/>
    <w:rsid w:val="008A3348"/>
    <w:rsid w:val="008A39DD"/>
    <w:rsid w:val="008A559C"/>
    <w:rsid w:val="008A58FC"/>
    <w:rsid w:val="008A5B16"/>
    <w:rsid w:val="008A6321"/>
    <w:rsid w:val="008A6385"/>
    <w:rsid w:val="008A6E85"/>
    <w:rsid w:val="008A6F71"/>
    <w:rsid w:val="008A6F7C"/>
    <w:rsid w:val="008A71FE"/>
    <w:rsid w:val="008A7240"/>
    <w:rsid w:val="008A7301"/>
    <w:rsid w:val="008A78C7"/>
    <w:rsid w:val="008A79E3"/>
    <w:rsid w:val="008B05C1"/>
    <w:rsid w:val="008B0FBC"/>
    <w:rsid w:val="008B1FB6"/>
    <w:rsid w:val="008B225E"/>
    <w:rsid w:val="008B24E2"/>
    <w:rsid w:val="008B271B"/>
    <w:rsid w:val="008B2C01"/>
    <w:rsid w:val="008B2C41"/>
    <w:rsid w:val="008B2D6B"/>
    <w:rsid w:val="008B2F64"/>
    <w:rsid w:val="008B2FA6"/>
    <w:rsid w:val="008B34C3"/>
    <w:rsid w:val="008B3790"/>
    <w:rsid w:val="008B3792"/>
    <w:rsid w:val="008B38DC"/>
    <w:rsid w:val="008B43D2"/>
    <w:rsid w:val="008B453C"/>
    <w:rsid w:val="008B454A"/>
    <w:rsid w:val="008B470D"/>
    <w:rsid w:val="008B48BC"/>
    <w:rsid w:val="008B5048"/>
    <w:rsid w:val="008B6110"/>
    <w:rsid w:val="008B673E"/>
    <w:rsid w:val="008B6962"/>
    <w:rsid w:val="008B6F0A"/>
    <w:rsid w:val="008B6F23"/>
    <w:rsid w:val="008B72F2"/>
    <w:rsid w:val="008B7BDA"/>
    <w:rsid w:val="008C03F5"/>
    <w:rsid w:val="008C0BFB"/>
    <w:rsid w:val="008C17B2"/>
    <w:rsid w:val="008C1B0E"/>
    <w:rsid w:val="008C2580"/>
    <w:rsid w:val="008C2BA7"/>
    <w:rsid w:val="008C2BF6"/>
    <w:rsid w:val="008C2D48"/>
    <w:rsid w:val="008C2D56"/>
    <w:rsid w:val="008C39EC"/>
    <w:rsid w:val="008C3C4E"/>
    <w:rsid w:val="008C3D1E"/>
    <w:rsid w:val="008C3DCA"/>
    <w:rsid w:val="008C4CCC"/>
    <w:rsid w:val="008C4CDB"/>
    <w:rsid w:val="008C4EAD"/>
    <w:rsid w:val="008C4FA8"/>
    <w:rsid w:val="008C58CC"/>
    <w:rsid w:val="008C592C"/>
    <w:rsid w:val="008C5B7D"/>
    <w:rsid w:val="008C5EFC"/>
    <w:rsid w:val="008C5F5B"/>
    <w:rsid w:val="008C5F9C"/>
    <w:rsid w:val="008C64CF"/>
    <w:rsid w:val="008C68FE"/>
    <w:rsid w:val="008C6943"/>
    <w:rsid w:val="008C6C1E"/>
    <w:rsid w:val="008C6DC0"/>
    <w:rsid w:val="008C6FA6"/>
    <w:rsid w:val="008C722A"/>
    <w:rsid w:val="008C725F"/>
    <w:rsid w:val="008C74FA"/>
    <w:rsid w:val="008C758D"/>
    <w:rsid w:val="008C7706"/>
    <w:rsid w:val="008C7918"/>
    <w:rsid w:val="008C7A24"/>
    <w:rsid w:val="008C7B35"/>
    <w:rsid w:val="008D03E3"/>
    <w:rsid w:val="008D043E"/>
    <w:rsid w:val="008D0A1A"/>
    <w:rsid w:val="008D0D19"/>
    <w:rsid w:val="008D11CB"/>
    <w:rsid w:val="008D1378"/>
    <w:rsid w:val="008D176B"/>
    <w:rsid w:val="008D1E3A"/>
    <w:rsid w:val="008D2034"/>
    <w:rsid w:val="008D213C"/>
    <w:rsid w:val="008D235F"/>
    <w:rsid w:val="008D2892"/>
    <w:rsid w:val="008D2A33"/>
    <w:rsid w:val="008D2B54"/>
    <w:rsid w:val="008D2B5B"/>
    <w:rsid w:val="008D2FE2"/>
    <w:rsid w:val="008D31BF"/>
    <w:rsid w:val="008D3B42"/>
    <w:rsid w:val="008D4108"/>
    <w:rsid w:val="008D4868"/>
    <w:rsid w:val="008D489C"/>
    <w:rsid w:val="008D59F0"/>
    <w:rsid w:val="008D684A"/>
    <w:rsid w:val="008D7037"/>
    <w:rsid w:val="008D725A"/>
    <w:rsid w:val="008D7273"/>
    <w:rsid w:val="008D7D4B"/>
    <w:rsid w:val="008E1177"/>
    <w:rsid w:val="008E14B2"/>
    <w:rsid w:val="008E19A4"/>
    <w:rsid w:val="008E1B3A"/>
    <w:rsid w:val="008E1E25"/>
    <w:rsid w:val="008E2100"/>
    <w:rsid w:val="008E21F0"/>
    <w:rsid w:val="008E2AE4"/>
    <w:rsid w:val="008E37DA"/>
    <w:rsid w:val="008E38C6"/>
    <w:rsid w:val="008E3AB3"/>
    <w:rsid w:val="008E4CED"/>
    <w:rsid w:val="008E5075"/>
    <w:rsid w:val="008E5343"/>
    <w:rsid w:val="008E599A"/>
    <w:rsid w:val="008E5C77"/>
    <w:rsid w:val="008E5E34"/>
    <w:rsid w:val="008E5FA4"/>
    <w:rsid w:val="008E613C"/>
    <w:rsid w:val="008E6654"/>
    <w:rsid w:val="008E6AAA"/>
    <w:rsid w:val="008E7308"/>
    <w:rsid w:val="008E7616"/>
    <w:rsid w:val="008E7CA2"/>
    <w:rsid w:val="008F00F9"/>
    <w:rsid w:val="008F024B"/>
    <w:rsid w:val="008F03FF"/>
    <w:rsid w:val="008F05CB"/>
    <w:rsid w:val="008F0BB4"/>
    <w:rsid w:val="008F10D1"/>
    <w:rsid w:val="008F14FB"/>
    <w:rsid w:val="008F16CA"/>
    <w:rsid w:val="008F1B1C"/>
    <w:rsid w:val="008F1E39"/>
    <w:rsid w:val="008F2180"/>
    <w:rsid w:val="008F2254"/>
    <w:rsid w:val="008F2465"/>
    <w:rsid w:val="008F2819"/>
    <w:rsid w:val="008F288E"/>
    <w:rsid w:val="008F2951"/>
    <w:rsid w:val="008F3656"/>
    <w:rsid w:val="008F3B2A"/>
    <w:rsid w:val="008F3C44"/>
    <w:rsid w:val="008F3D5C"/>
    <w:rsid w:val="008F447B"/>
    <w:rsid w:val="008F4768"/>
    <w:rsid w:val="008F4990"/>
    <w:rsid w:val="008F49C6"/>
    <w:rsid w:val="008F5229"/>
    <w:rsid w:val="008F5304"/>
    <w:rsid w:val="008F5B73"/>
    <w:rsid w:val="008F5E98"/>
    <w:rsid w:val="008F656A"/>
    <w:rsid w:val="008F6844"/>
    <w:rsid w:val="008F6C8D"/>
    <w:rsid w:val="008F6FF2"/>
    <w:rsid w:val="008F7699"/>
    <w:rsid w:val="008F7ED4"/>
    <w:rsid w:val="00900102"/>
    <w:rsid w:val="0090074A"/>
    <w:rsid w:val="00901989"/>
    <w:rsid w:val="00901CF0"/>
    <w:rsid w:val="00901F58"/>
    <w:rsid w:val="0090250E"/>
    <w:rsid w:val="0090253E"/>
    <w:rsid w:val="00902992"/>
    <w:rsid w:val="00902A2F"/>
    <w:rsid w:val="00902A9E"/>
    <w:rsid w:val="00902C5E"/>
    <w:rsid w:val="00902CD5"/>
    <w:rsid w:val="00902ECA"/>
    <w:rsid w:val="00903083"/>
    <w:rsid w:val="0090359D"/>
    <w:rsid w:val="00903A4F"/>
    <w:rsid w:val="009044D0"/>
    <w:rsid w:val="00904B5E"/>
    <w:rsid w:val="00904DF3"/>
    <w:rsid w:val="00904E86"/>
    <w:rsid w:val="00904F3D"/>
    <w:rsid w:val="0090536E"/>
    <w:rsid w:val="00905564"/>
    <w:rsid w:val="00905E6D"/>
    <w:rsid w:val="00906286"/>
    <w:rsid w:val="009067BC"/>
    <w:rsid w:val="009069D6"/>
    <w:rsid w:val="00906CA7"/>
    <w:rsid w:val="00906CD1"/>
    <w:rsid w:val="009108C4"/>
    <w:rsid w:val="00910AA6"/>
    <w:rsid w:val="0091111D"/>
    <w:rsid w:val="00911565"/>
    <w:rsid w:val="00911904"/>
    <w:rsid w:val="00911B1F"/>
    <w:rsid w:val="0091204D"/>
    <w:rsid w:val="009121F9"/>
    <w:rsid w:val="00912409"/>
    <w:rsid w:val="00912B11"/>
    <w:rsid w:val="00912CD1"/>
    <w:rsid w:val="0091331A"/>
    <w:rsid w:val="009135FB"/>
    <w:rsid w:val="00913830"/>
    <w:rsid w:val="009139E9"/>
    <w:rsid w:val="00913EAD"/>
    <w:rsid w:val="00913EBD"/>
    <w:rsid w:val="009140D9"/>
    <w:rsid w:val="0091457F"/>
    <w:rsid w:val="009148BD"/>
    <w:rsid w:val="00914991"/>
    <w:rsid w:val="00914E87"/>
    <w:rsid w:val="00914F95"/>
    <w:rsid w:val="009150F3"/>
    <w:rsid w:val="00915976"/>
    <w:rsid w:val="0091618F"/>
    <w:rsid w:val="00916D09"/>
    <w:rsid w:val="00917BA8"/>
    <w:rsid w:val="009204FF"/>
    <w:rsid w:val="00920832"/>
    <w:rsid w:val="00920C31"/>
    <w:rsid w:val="00920F04"/>
    <w:rsid w:val="009218B1"/>
    <w:rsid w:val="0092284C"/>
    <w:rsid w:val="00923300"/>
    <w:rsid w:val="0092395F"/>
    <w:rsid w:val="00923C34"/>
    <w:rsid w:val="0092444A"/>
    <w:rsid w:val="00924D5D"/>
    <w:rsid w:val="00924F3B"/>
    <w:rsid w:val="00926680"/>
    <w:rsid w:val="009267C9"/>
    <w:rsid w:val="00926A6F"/>
    <w:rsid w:val="00926A93"/>
    <w:rsid w:val="00926ECF"/>
    <w:rsid w:val="0092752D"/>
    <w:rsid w:val="0092767E"/>
    <w:rsid w:val="00927B64"/>
    <w:rsid w:val="0093057B"/>
    <w:rsid w:val="00930675"/>
    <w:rsid w:val="00930C2E"/>
    <w:rsid w:val="00930D5E"/>
    <w:rsid w:val="00930DCB"/>
    <w:rsid w:val="00930EC3"/>
    <w:rsid w:val="00930FC8"/>
    <w:rsid w:val="00931602"/>
    <w:rsid w:val="0093206E"/>
    <w:rsid w:val="0093267D"/>
    <w:rsid w:val="00932FF8"/>
    <w:rsid w:val="00933FF7"/>
    <w:rsid w:val="00935310"/>
    <w:rsid w:val="00935AEA"/>
    <w:rsid w:val="00935D6A"/>
    <w:rsid w:val="00935F7B"/>
    <w:rsid w:val="009361DB"/>
    <w:rsid w:val="009369CE"/>
    <w:rsid w:val="00936AAC"/>
    <w:rsid w:val="00936CA7"/>
    <w:rsid w:val="00936CAA"/>
    <w:rsid w:val="00936EC5"/>
    <w:rsid w:val="00936EF7"/>
    <w:rsid w:val="00936FAC"/>
    <w:rsid w:val="00937436"/>
    <w:rsid w:val="0093750B"/>
    <w:rsid w:val="00937726"/>
    <w:rsid w:val="009401B7"/>
    <w:rsid w:val="0094021A"/>
    <w:rsid w:val="0094036B"/>
    <w:rsid w:val="009409AB"/>
    <w:rsid w:val="00940A44"/>
    <w:rsid w:val="00940B1C"/>
    <w:rsid w:val="00940BFC"/>
    <w:rsid w:val="00941BD6"/>
    <w:rsid w:val="00942175"/>
    <w:rsid w:val="00942940"/>
    <w:rsid w:val="0094298D"/>
    <w:rsid w:val="00942FA2"/>
    <w:rsid w:val="00943047"/>
    <w:rsid w:val="00943096"/>
    <w:rsid w:val="00943621"/>
    <w:rsid w:val="009439F6"/>
    <w:rsid w:val="009440F2"/>
    <w:rsid w:val="00944247"/>
    <w:rsid w:val="00944464"/>
    <w:rsid w:val="00944594"/>
    <w:rsid w:val="00944640"/>
    <w:rsid w:val="00944B51"/>
    <w:rsid w:val="00944E41"/>
    <w:rsid w:val="00944EFD"/>
    <w:rsid w:val="00945516"/>
    <w:rsid w:val="00945632"/>
    <w:rsid w:val="00945DB7"/>
    <w:rsid w:val="00946012"/>
    <w:rsid w:val="00946639"/>
    <w:rsid w:val="00946A29"/>
    <w:rsid w:val="00946C2C"/>
    <w:rsid w:val="009470EE"/>
    <w:rsid w:val="00947656"/>
    <w:rsid w:val="00947678"/>
    <w:rsid w:val="00947C68"/>
    <w:rsid w:val="00950111"/>
    <w:rsid w:val="00950130"/>
    <w:rsid w:val="009506A6"/>
    <w:rsid w:val="009506EC"/>
    <w:rsid w:val="009510A1"/>
    <w:rsid w:val="0095130B"/>
    <w:rsid w:val="00951317"/>
    <w:rsid w:val="00951769"/>
    <w:rsid w:val="00951930"/>
    <w:rsid w:val="00951AA1"/>
    <w:rsid w:val="00951EE7"/>
    <w:rsid w:val="00952298"/>
    <w:rsid w:val="00952EC0"/>
    <w:rsid w:val="0095308E"/>
    <w:rsid w:val="0095372C"/>
    <w:rsid w:val="00953DDF"/>
    <w:rsid w:val="00953F66"/>
    <w:rsid w:val="0095554C"/>
    <w:rsid w:val="00955BDE"/>
    <w:rsid w:val="0095652C"/>
    <w:rsid w:val="0095670E"/>
    <w:rsid w:val="0095677C"/>
    <w:rsid w:val="009578CB"/>
    <w:rsid w:val="0095791E"/>
    <w:rsid w:val="00957DC9"/>
    <w:rsid w:val="00957E40"/>
    <w:rsid w:val="00957E45"/>
    <w:rsid w:val="00957FBE"/>
    <w:rsid w:val="009603FA"/>
    <w:rsid w:val="00960537"/>
    <w:rsid w:val="009606DC"/>
    <w:rsid w:val="00960988"/>
    <w:rsid w:val="00960A20"/>
    <w:rsid w:val="00960D7B"/>
    <w:rsid w:val="009610A0"/>
    <w:rsid w:val="00961258"/>
    <w:rsid w:val="00961628"/>
    <w:rsid w:val="00961E50"/>
    <w:rsid w:val="00961ED6"/>
    <w:rsid w:val="009623D8"/>
    <w:rsid w:val="0096240E"/>
    <w:rsid w:val="00962D62"/>
    <w:rsid w:val="00962FB6"/>
    <w:rsid w:val="009638D4"/>
    <w:rsid w:val="009639B0"/>
    <w:rsid w:val="00963E27"/>
    <w:rsid w:val="00963FB2"/>
    <w:rsid w:val="0096402E"/>
    <w:rsid w:val="00964851"/>
    <w:rsid w:val="00964D85"/>
    <w:rsid w:val="00964DBF"/>
    <w:rsid w:val="009667ED"/>
    <w:rsid w:val="00966934"/>
    <w:rsid w:val="00966FEA"/>
    <w:rsid w:val="00967E7C"/>
    <w:rsid w:val="00970022"/>
    <w:rsid w:val="009709F8"/>
    <w:rsid w:val="0097149E"/>
    <w:rsid w:val="00971A68"/>
    <w:rsid w:val="00971AD0"/>
    <w:rsid w:val="00971C58"/>
    <w:rsid w:val="00971CE6"/>
    <w:rsid w:val="00971EF6"/>
    <w:rsid w:val="009725FE"/>
    <w:rsid w:val="00972663"/>
    <w:rsid w:val="00972E21"/>
    <w:rsid w:val="00973892"/>
    <w:rsid w:val="00973D1C"/>
    <w:rsid w:val="00973DEF"/>
    <w:rsid w:val="00973E05"/>
    <w:rsid w:val="00974261"/>
    <w:rsid w:val="00974C02"/>
    <w:rsid w:val="00974DDF"/>
    <w:rsid w:val="0097542A"/>
    <w:rsid w:val="009757E6"/>
    <w:rsid w:val="00975C98"/>
    <w:rsid w:val="0097627F"/>
    <w:rsid w:val="0097694D"/>
    <w:rsid w:val="00977403"/>
    <w:rsid w:val="009776B0"/>
    <w:rsid w:val="00977777"/>
    <w:rsid w:val="00977873"/>
    <w:rsid w:val="00977A6A"/>
    <w:rsid w:val="00977AA7"/>
    <w:rsid w:val="009801C7"/>
    <w:rsid w:val="00981277"/>
    <w:rsid w:val="0098165A"/>
    <w:rsid w:val="009816D4"/>
    <w:rsid w:val="009825B6"/>
    <w:rsid w:val="00982920"/>
    <w:rsid w:val="009829D5"/>
    <w:rsid w:val="00983284"/>
    <w:rsid w:val="00983D86"/>
    <w:rsid w:val="00983DFA"/>
    <w:rsid w:val="00983F24"/>
    <w:rsid w:val="009843BA"/>
    <w:rsid w:val="00984654"/>
    <w:rsid w:val="00984B77"/>
    <w:rsid w:val="00984FF4"/>
    <w:rsid w:val="00985521"/>
    <w:rsid w:val="00985996"/>
    <w:rsid w:val="00985D56"/>
    <w:rsid w:val="00985FDB"/>
    <w:rsid w:val="00986209"/>
    <w:rsid w:val="00986288"/>
    <w:rsid w:val="00986EB5"/>
    <w:rsid w:val="0098707D"/>
    <w:rsid w:val="009872F2"/>
    <w:rsid w:val="009875DA"/>
    <w:rsid w:val="009877AD"/>
    <w:rsid w:val="00987EF2"/>
    <w:rsid w:val="0099035D"/>
    <w:rsid w:val="0099036F"/>
    <w:rsid w:val="0099052E"/>
    <w:rsid w:val="009905BF"/>
    <w:rsid w:val="0099071F"/>
    <w:rsid w:val="0099093C"/>
    <w:rsid w:val="009911B7"/>
    <w:rsid w:val="00991F4C"/>
    <w:rsid w:val="009920FB"/>
    <w:rsid w:val="00992114"/>
    <w:rsid w:val="00992A46"/>
    <w:rsid w:val="00992AE9"/>
    <w:rsid w:val="009932F6"/>
    <w:rsid w:val="00993E98"/>
    <w:rsid w:val="009945CD"/>
    <w:rsid w:val="00994FEE"/>
    <w:rsid w:val="009952B8"/>
    <w:rsid w:val="00995391"/>
    <w:rsid w:val="00995867"/>
    <w:rsid w:val="0099587D"/>
    <w:rsid w:val="00995D61"/>
    <w:rsid w:val="009961CF"/>
    <w:rsid w:val="00996682"/>
    <w:rsid w:val="009969B6"/>
    <w:rsid w:val="00997A01"/>
    <w:rsid w:val="00997E8C"/>
    <w:rsid w:val="009A0B35"/>
    <w:rsid w:val="009A143B"/>
    <w:rsid w:val="009A18D2"/>
    <w:rsid w:val="009A1C04"/>
    <w:rsid w:val="009A2128"/>
    <w:rsid w:val="009A24FA"/>
    <w:rsid w:val="009A26AA"/>
    <w:rsid w:val="009A3A19"/>
    <w:rsid w:val="009A3E4E"/>
    <w:rsid w:val="009A4311"/>
    <w:rsid w:val="009A4330"/>
    <w:rsid w:val="009A438B"/>
    <w:rsid w:val="009A44ED"/>
    <w:rsid w:val="009A5BE8"/>
    <w:rsid w:val="009A5D62"/>
    <w:rsid w:val="009A5D9A"/>
    <w:rsid w:val="009A5FBC"/>
    <w:rsid w:val="009A62A4"/>
    <w:rsid w:val="009A62B3"/>
    <w:rsid w:val="009A644B"/>
    <w:rsid w:val="009A65BE"/>
    <w:rsid w:val="009A6BAF"/>
    <w:rsid w:val="009A7000"/>
    <w:rsid w:val="009A74E5"/>
    <w:rsid w:val="009A7ADC"/>
    <w:rsid w:val="009A7FE5"/>
    <w:rsid w:val="009B00CB"/>
    <w:rsid w:val="009B0EB2"/>
    <w:rsid w:val="009B1448"/>
    <w:rsid w:val="009B15D5"/>
    <w:rsid w:val="009B166E"/>
    <w:rsid w:val="009B1D07"/>
    <w:rsid w:val="009B1F72"/>
    <w:rsid w:val="009B28F7"/>
    <w:rsid w:val="009B3207"/>
    <w:rsid w:val="009B3302"/>
    <w:rsid w:val="009B3A2E"/>
    <w:rsid w:val="009B3A38"/>
    <w:rsid w:val="009B3F02"/>
    <w:rsid w:val="009B4CDB"/>
    <w:rsid w:val="009B4D3E"/>
    <w:rsid w:val="009B4D72"/>
    <w:rsid w:val="009B4EBC"/>
    <w:rsid w:val="009B5EC8"/>
    <w:rsid w:val="009B6093"/>
    <w:rsid w:val="009B6450"/>
    <w:rsid w:val="009B670D"/>
    <w:rsid w:val="009B6819"/>
    <w:rsid w:val="009B71B1"/>
    <w:rsid w:val="009B79F4"/>
    <w:rsid w:val="009B7A60"/>
    <w:rsid w:val="009C0578"/>
    <w:rsid w:val="009C098F"/>
    <w:rsid w:val="009C1314"/>
    <w:rsid w:val="009C16C6"/>
    <w:rsid w:val="009C1745"/>
    <w:rsid w:val="009C1B36"/>
    <w:rsid w:val="009C1CDF"/>
    <w:rsid w:val="009C1E47"/>
    <w:rsid w:val="009C2041"/>
    <w:rsid w:val="009C2CC4"/>
    <w:rsid w:val="009C2CFC"/>
    <w:rsid w:val="009C2E9E"/>
    <w:rsid w:val="009C31A4"/>
    <w:rsid w:val="009C354A"/>
    <w:rsid w:val="009C3B89"/>
    <w:rsid w:val="009C413E"/>
    <w:rsid w:val="009C4196"/>
    <w:rsid w:val="009C42F2"/>
    <w:rsid w:val="009C440D"/>
    <w:rsid w:val="009C4538"/>
    <w:rsid w:val="009C463F"/>
    <w:rsid w:val="009C46E7"/>
    <w:rsid w:val="009C4C4B"/>
    <w:rsid w:val="009C4D7F"/>
    <w:rsid w:val="009C53E2"/>
    <w:rsid w:val="009C57EF"/>
    <w:rsid w:val="009C58FA"/>
    <w:rsid w:val="009C5A75"/>
    <w:rsid w:val="009C60C6"/>
    <w:rsid w:val="009C63AB"/>
    <w:rsid w:val="009C75EE"/>
    <w:rsid w:val="009C78AD"/>
    <w:rsid w:val="009C7B6D"/>
    <w:rsid w:val="009D0418"/>
    <w:rsid w:val="009D053C"/>
    <w:rsid w:val="009D091F"/>
    <w:rsid w:val="009D0D08"/>
    <w:rsid w:val="009D1830"/>
    <w:rsid w:val="009D1A07"/>
    <w:rsid w:val="009D1B45"/>
    <w:rsid w:val="009D246E"/>
    <w:rsid w:val="009D2487"/>
    <w:rsid w:val="009D24B0"/>
    <w:rsid w:val="009D29D3"/>
    <w:rsid w:val="009D2BE8"/>
    <w:rsid w:val="009D316D"/>
    <w:rsid w:val="009D356E"/>
    <w:rsid w:val="009D394E"/>
    <w:rsid w:val="009D3E42"/>
    <w:rsid w:val="009D3F3E"/>
    <w:rsid w:val="009D4619"/>
    <w:rsid w:val="009D46B9"/>
    <w:rsid w:val="009D4EA9"/>
    <w:rsid w:val="009D51E8"/>
    <w:rsid w:val="009D5631"/>
    <w:rsid w:val="009D5B39"/>
    <w:rsid w:val="009D60A3"/>
    <w:rsid w:val="009D6763"/>
    <w:rsid w:val="009D6CF5"/>
    <w:rsid w:val="009D7980"/>
    <w:rsid w:val="009D7B2F"/>
    <w:rsid w:val="009D7C9D"/>
    <w:rsid w:val="009E030B"/>
    <w:rsid w:val="009E0EFA"/>
    <w:rsid w:val="009E0FD0"/>
    <w:rsid w:val="009E15E5"/>
    <w:rsid w:val="009E16E1"/>
    <w:rsid w:val="009E279E"/>
    <w:rsid w:val="009E2ADA"/>
    <w:rsid w:val="009E2AFE"/>
    <w:rsid w:val="009E2B8F"/>
    <w:rsid w:val="009E2D7D"/>
    <w:rsid w:val="009E2F0C"/>
    <w:rsid w:val="009E3868"/>
    <w:rsid w:val="009E442C"/>
    <w:rsid w:val="009E5033"/>
    <w:rsid w:val="009E5427"/>
    <w:rsid w:val="009E56C1"/>
    <w:rsid w:val="009E5ECA"/>
    <w:rsid w:val="009E68D9"/>
    <w:rsid w:val="009E68F7"/>
    <w:rsid w:val="009E7270"/>
    <w:rsid w:val="009E7A56"/>
    <w:rsid w:val="009E7BE6"/>
    <w:rsid w:val="009E7F25"/>
    <w:rsid w:val="009F0049"/>
    <w:rsid w:val="009F0115"/>
    <w:rsid w:val="009F0769"/>
    <w:rsid w:val="009F11DF"/>
    <w:rsid w:val="009F17C0"/>
    <w:rsid w:val="009F1EEE"/>
    <w:rsid w:val="009F20C8"/>
    <w:rsid w:val="009F27BC"/>
    <w:rsid w:val="009F2E83"/>
    <w:rsid w:val="009F344B"/>
    <w:rsid w:val="009F3486"/>
    <w:rsid w:val="009F3A67"/>
    <w:rsid w:val="009F404B"/>
    <w:rsid w:val="009F46B8"/>
    <w:rsid w:val="009F5648"/>
    <w:rsid w:val="009F56A6"/>
    <w:rsid w:val="009F611F"/>
    <w:rsid w:val="009F69E7"/>
    <w:rsid w:val="009F6AB1"/>
    <w:rsid w:val="009F6E25"/>
    <w:rsid w:val="009F6F07"/>
    <w:rsid w:val="009F726E"/>
    <w:rsid w:val="009F7577"/>
    <w:rsid w:val="009F75F5"/>
    <w:rsid w:val="009F7D44"/>
    <w:rsid w:val="00A0038A"/>
    <w:rsid w:val="00A00473"/>
    <w:rsid w:val="00A00489"/>
    <w:rsid w:val="00A0088F"/>
    <w:rsid w:val="00A00B4A"/>
    <w:rsid w:val="00A01302"/>
    <w:rsid w:val="00A0138D"/>
    <w:rsid w:val="00A01856"/>
    <w:rsid w:val="00A01CAC"/>
    <w:rsid w:val="00A01E3A"/>
    <w:rsid w:val="00A025F1"/>
    <w:rsid w:val="00A02610"/>
    <w:rsid w:val="00A02CA5"/>
    <w:rsid w:val="00A03C1D"/>
    <w:rsid w:val="00A03D6A"/>
    <w:rsid w:val="00A0410B"/>
    <w:rsid w:val="00A042C6"/>
    <w:rsid w:val="00A04B28"/>
    <w:rsid w:val="00A05422"/>
    <w:rsid w:val="00A05CEA"/>
    <w:rsid w:val="00A062CD"/>
    <w:rsid w:val="00A06367"/>
    <w:rsid w:val="00A070F2"/>
    <w:rsid w:val="00A07534"/>
    <w:rsid w:val="00A0775F"/>
    <w:rsid w:val="00A07842"/>
    <w:rsid w:val="00A078F6"/>
    <w:rsid w:val="00A07A2C"/>
    <w:rsid w:val="00A07E96"/>
    <w:rsid w:val="00A07FB5"/>
    <w:rsid w:val="00A10514"/>
    <w:rsid w:val="00A105E6"/>
    <w:rsid w:val="00A10836"/>
    <w:rsid w:val="00A11B87"/>
    <w:rsid w:val="00A11CD1"/>
    <w:rsid w:val="00A12353"/>
    <w:rsid w:val="00A13268"/>
    <w:rsid w:val="00A1357A"/>
    <w:rsid w:val="00A13A4E"/>
    <w:rsid w:val="00A14972"/>
    <w:rsid w:val="00A14F25"/>
    <w:rsid w:val="00A152FD"/>
    <w:rsid w:val="00A156B3"/>
    <w:rsid w:val="00A156FE"/>
    <w:rsid w:val="00A15A1E"/>
    <w:rsid w:val="00A16288"/>
    <w:rsid w:val="00A16794"/>
    <w:rsid w:val="00A171CD"/>
    <w:rsid w:val="00A17335"/>
    <w:rsid w:val="00A17DF5"/>
    <w:rsid w:val="00A17E55"/>
    <w:rsid w:val="00A17EF2"/>
    <w:rsid w:val="00A2052D"/>
    <w:rsid w:val="00A20C54"/>
    <w:rsid w:val="00A20DF4"/>
    <w:rsid w:val="00A21340"/>
    <w:rsid w:val="00A21B4A"/>
    <w:rsid w:val="00A21E62"/>
    <w:rsid w:val="00A21EF3"/>
    <w:rsid w:val="00A221B2"/>
    <w:rsid w:val="00A222DD"/>
    <w:rsid w:val="00A223A7"/>
    <w:rsid w:val="00A224C1"/>
    <w:rsid w:val="00A22897"/>
    <w:rsid w:val="00A2296A"/>
    <w:rsid w:val="00A22D4A"/>
    <w:rsid w:val="00A22E8A"/>
    <w:rsid w:val="00A22E94"/>
    <w:rsid w:val="00A2314D"/>
    <w:rsid w:val="00A2331C"/>
    <w:rsid w:val="00A234BA"/>
    <w:rsid w:val="00A23735"/>
    <w:rsid w:val="00A242A0"/>
    <w:rsid w:val="00A24EC4"/>
    <w:rsid w:val="00A25B44"/>
    <w:rsid w:val="00A262C3"/>
    <w:rsid w:val="00A263AA"/>
    <w:rsid w:val="00A265BD"/>
    <w:rsid w:val="00A26693"/>
    <w:rsid w:val="00A269E2"/>
    <w:rsid w:val="00A274FB"/>
    <w:rsid w:val="00A2790B"/>
    <w:rsid w:val="00A27FAF"/>
    <w:rsid w:val="00A30607"/>
    <w:rsid w:val="00A30952"/>
    <w:rsid w:val="00A30AD4"/>
    <w:rsid w:val="00A30ADC"/>
    <w:rsid w:val="00A30B2E"/>
    <w:rsid w:val="00A30C8F"/>
    <w:rsid w:val="00A3306B"/>
    <w:rsid w:val="00A33073"/>
    <w:rsid w:val="00A33A1F"/>
    <w:rsid w:val="00A33ACF"/>
    <w:rsid w:val="00A33BCC"/>
    <w:rsid w:val="00A33C65"/>
    <w:rsid w:val="00A33EAC"/>
    <w:rsid w:val="00A33F0B"/>
    <w:rsid w:val="00A33F3A"/>
    <w:rsid w:val="00A3428B"/>
    <w:rsid w:val="00A35053"/>
    <w:rsid w:val="00A35267"/>
    <w:rsid w:val="00A352E6"/>
    <w:rsid w:val="00A352ED"/>
    <w:rsid w:val="00A35639"/>
    <w:rsid w:val="00A35785"/>
    <w:rsid w:val="00A362FB"/>
    <w:rsid w:val="00A3645D"/>
    <w:rsid w:val="00A36809"/>
    <w:rsid w:val="00A36822"/>
    <w:rsid w:val="00A36D47"/>
    <w:rsid w:val="00A36EF4"/>
    <w:rsid w:val="00A3702A"/>
    <w:rsid w:val="00A374E3"/>
    <w:rsid w:val="00A37A7E"/>
    <w:rsid w:val="00A37BD3"/>
    <w:rsid w:val="00A4032C"/>
    <w:rsid w:val="00A40497"/>
    <w:rsid w:val="00A4068F"/>
    <w:rsid w:val="00A4080B"/>
    <w:rsid w:val="00A40E84"/>
    <w:rsid w:val="00A410E4"/>
    <w:rsid w:val="00A41225"/>
    <w:rsid w:val="00A414F9"/>
    <w:rsid w:val="00A418D3"/>
    <w:rsid w:val="00A4269D"/>
    <w:rsid w:val="00A4299A"/>
    <w:rsid w:val="00A42A12"/>
    <w:rsid w:val="00A43307"/>
    <w:rsid w:val="00A433E9"/>
    <w:rsid w:val="00A438AB"/>
    <w:rsid w:val="00A43965"/>
    <w:rsid w:val="00A43CC2"/>
    <w:rsid w:val="00A43F25"/>
    <w:rsid w:val="00A443D3"/>
    <w:rsid w:val="00A44421"/>
    <w:rsid w:val="00A44670"/>
    <w:rsid w:val="00A448E2"/>
    <w:rsid w:val="00A452A9"/>
    <w:rsid w:val="00A45451"/>
    <w:rsid w:val="00A45578"/>
    <w:rsid w:val="00A45662"/>
    <w:rsid w:val="00A45B0C"/>
    <w:rsid w:val="00A45B6B"/>
    <w:rsid w:val="00A464B8"/>
    <w:rsid w:val="00A46A28"/>
    <w:rsid w:val="00A47260"/>
    <w:rsid w:val="00A47332"/>
    <w:rsid w:val="00A473EA"/>
    <w:rsid w:val="00A47BA1"/>
    <w:rsid w:val="00A50F29"/>
    <w:rsid w:val="00A51712"/>
    <w:rsid w:val="00A51BF1"/>
    <w:rsid w:val="00A52A35"/>
    <w:rsid w:val="00A52A64"/>
    <w:rsid w:val="00A52B39"/>
    <w:rsid w:val="00A52C4F"/>
    <w:rsid w:val="00A52E84"/>
    <w:rsid w:val="00A53084"/>
    <w:rsid w:val="00A53171"/>
    <w:rsid w:val="00A532E2"/>
    <w:rsid w:val="00A535A2"/>
    <w:rsid w:val="00A5362F"/>
    <w:rsid w:val="00A53998"/>
    <w:rsid w:val="00A539F6"/>
    <w:rsid w:val="00A53C3B"/>
    <w:rsid w:val="00A53EC1"/>
    <w:rsid w:val="00A544C4"/>
    <w:rsid w:val="00A547A6"/>
    <w:rsid w:val="00A54972"/>
    <w:rsid w:val="00A54DC9"/>
    <w:rsid w:val="00A55157"/>
    <w:rsid w:val="00A55E53"/>
    <w:rsid w:val="00A56416"/>
    <w:rsid w:val="00A56810"/>
    <w:rsid w:val="00A56813"/>
    <w:rsid w:val="00A56DCE"/>
    <w:rsid w:val="00A571A0"/>
    <w:rsid w:val="00A57281"/>
    <w:rsid w:val="00A57B76"/>
    <w:rsid w:val="00A6009B"/>
    <w:rsid w:val="00A60116"/>
    <w:rsid w:val="00A606A5"/>
    <w:rsid w:val="00A606B9"/>
    <w:rsid w:val="00A60BD7"/>
    <w:rsid w:val="00A60FAC"/>
    <w:rsid w:val="00A61B33"/>
    <w:rsid w:val="00A62048"/>
    <w:rsid w:val="00A6211B"/>
    <w:rsid w:val="00A629FB"/>
    <w:rsid w:val="00A642AB"/>
    <w:rsid w:val="00A64A14"/>
    <w:rsid w:val="00A64AB6"/>
    <w:rsid w:val="00A64B73"/>
    <w:rsid w:val="00A64C16"/>
    <w:rsid w:val="00A6505B"/>
    <w:rsid w:val="00A651DD"/>
    <w:rsid w:val="00A6560C"/>
    <w:rsid w:val="00A65E5A"/>
    <w:rsid w:val="00A65E5F"/>
    <w:rsid w:val="00A666D5"/>
    <w:rsid w:val="00A66BFC"/>
    <w:rsid w:val="00A679EA"/>
    <w:rsid w:val="00A67B41"/>
    <w:rsid w:val="00A67D28"/>
    <w:rsid w:val="00A7050E"/>
    <w:rsid w:val="00A7086A"/>
    <w:rsid w:val="00A70DE8"/>
    <w:rsid w:val="00A7103E"/>
    <w:rsid w:val="00A7141E"/>
    <w:rsid w:val="00A7146A"/>
    <w:rsid w:val="00A7149E"/>
    <w:rsid w:val="00A7189C"/>
    <w:rsid w:val="00A71B6F"/>
    <w:rsid w:val="00A71BBC"/>
    <w:rsid w:val="00A71CB1"/>
    <w:rsid w:val="00A727D7"/>
    <w:rsid w:val="00A72CB2"/>
    <w:rsid w:val="00A73380"/>
    <w:rsid w:val="00A7366F"/>
    <w:rsid w:val="00A73789"/>
    <w:rsid w:val="00A73D99"/>
    <w:rsid w:val="00A73F68"/>
    <w:rsid w:val="00A74521"/>
    <w:rsid w:val="00A74685"/>
    <w:rsid w:val="00A74B3E"/>
    <w:rsid w:val="00A757FE"/>
    <w:rsid w:val="00A75C95"/>
    <w:rsid w:val="00A76246"/>
    <w:rsid w:val="00A76507"/>
    <w:rsid w:val="00A76C6F"/>
    <w:rsid w:val="00A771B5"/>
    <w:rsid w:val="00A77387"/>
    <w:rsid w:val="00A80550"/>
    <w:rsid w:val="00A8067B"/>
    <w:rsid w:val="00A80DAB"/>
    <w:rsid w:val="00A816EE"/>
    <w:rsid w:val="00A81A80"/>
    <w:rsid w:val="00A81BB7"/>
    <w:rsid w:val="00A81E12"/>
    <w:rsid w:val="00A81EF4"/>
    <w:rsid w:val="00A82090"/>
    <w:rsid w:val="00A825E4"/>
    <w:rsid w:val="00A82B04"/>
    <w:rsid w:val="00A82E96"/>
    <w:rsid w:val="00A82F52"/>
    <w:rsid w:val="00A83012"/>
    <w:rsid w:val="00A836B2"/>
    <w:rsid w:val="00A83798"/>
    <w:rsid w:val="00A83B98"/>
    <w:rsid w:val="00A840C2"/>
    <w:rsid w:val="00A84E46"/>
    <w:rsid w:val="00A855AA"/>
    <w:rsid w:val="00A85657"/>
    <w:rsid w:val="00A856FD"/>
    <w:rsid w:val="00A86008"/>
    <w:rsid w:val="00A8604F"/>
    <w:rsid w:val="00A87085"/>
    <w:rsid w:val="00A87143"/>
    <w:rsid w:val="00A87DA5"/>
    <w:rsid w:val="00A90138"/>
    <w:rsid w:val="00A904E8"/>
    <w:rsid w:val="00A908AE"/>
    <w:rsid w:val="00A908EA"/>
    <w:rsid w:val="00A91046"/>
    <w:rsid w:val="00A91585"/>
    <w:rsid w:val="00A91A2F"/>
    <w:rsid w:val="00A91E8E"/>
    <w:rsid w:val="00A92822"/>
    <w:rsid w:val="00A92BAA"/>
    <w:rsid w:val="00A92D2D"/>
    <w:rsid w:val="00A9306E"/>
    <w:rsid w:val="00A93767"/>
    <w:rsid w:val="00A9380F"/>
    <w:rsid w:val="00A9395F"/>
    <w:rsid w:val="00A93E41"/>
    <w:rsid w:val="00A94D99"/>
    <w:rsid w:val="00A94FF7"/>
    <w:rsid w:val="00A950A5"/>
    <w:rsid w:val="00A952B0"/>
    <w:rsid w:val="00A96272"/>
    <w:rsid w:val="00A9639B"/>
    <w:rsid w:val="00A964CA"/>
    <w:rsid w:val="00A96A81"/>
    <w:rsid w:val="00A96BA3"/>
    <w:rsid w:val="00A970AB"/>
    <w:rsid w:val="00A971B4"/>
    <w:rsid w:val="00A97EA5"/>
    <w:rsid w:val="00AA133F"/>
    <w:rsid w:val="00AA1C4A"/>
    <w:rsid w:val="00AA1F94"/>
    <w:rsid w:val="00AA334E"/>
    <w:rsid w:val="00AA3E64"/>
    <w:rsid w:val="00AA3FE0"/>
    <w:rsid w:val="00AA4643"/>
    <w:rsid w:val="00AA58E2"/>
    <w:rsid w:val="00AA5C61"/>
    <w:rsid w:val="00AA5F6C"/>
    <w:rsid w:val="00AA69C6"/>
    <w:rsid w:val="00AA6EB3"/>
    <w:rsid w:val="00AA726B"/>
    <w:rsid w:val="00AA7A05"/>
    <w:rsid w:val="00AA7A45"/>
    <w:rsid w:val="00AA7B2D"/>
    <w:rsid w:val="00AB0F16"/>
    <w:rsid w:val="00AB1A8E"/>
    <w:rsid w:val="00AB1B03"/>
    <w:rsid w:val="00AB225D"/>
    <w:rsid w:val="00AB22DD"/>
    <w:rsid w:val="00AB26B9"/>
    <w:rsid w:val="00AB26F4"/>
    <w:rsid w:val="00AB27CD"/>
    <w:rsid w:val="00AB2C1C"/>
    <w:rsid w:val="00AB2DA4"/>
    <w:rsid w:val="00AB2F0E"/>
    <w:rsid w:val="00AB3209"/>
    <w:rsid w:val="00AB3699"/>
    <w:rsid w:val="00AB36A3"/>
    <w:rsid w:val="00AB3D11"/>
    <w:rsid w:val="00AB471D"/>
    <w:rsid w:val="00AB4D05"/>
    <w:rsid w:val="00AB4EFA"/>
    <w:rsid w:val="00AB50BD"/>
    <w:rsid w:val="00AB547A"/>
    <w:rsid w:val="00AB557E"/>
    <w:rsid w:val="00AB5648"/>
    <w:rsid w:val="00AB5D9F"/>
    <w:rsid w:val="00AB6335"/>
    <w:rsid w:val="00AB69EB"/>
    <w:rsid w:val="00AB6F4F"/>
    <w:rsid w:val="00AB71F0"/>
    <w:rsid w:val="00AB79D7"/>
    <w:rsid w:val="00AB7EFF"/>
    <w:rsid w:val="00AC002D"/>
    <w:rsid w:val="00AC0164"/>
    <w:rsid w:val="00AC0342"/>
    <w:rsid w:val="00AC103F"/>
    <w:rsid w:val="00AC136C"/>
    <w:rsid w:val="00AC1532"/>
    <w:rsid w:val="00AC1FAD"/>
    <w:rsid w:val="00AC27D6"/>
    <w:rsid w:val="00AC2985"/>
    <w:rsid w:val="00AC2EBD"/>
    <w:rsid w:val="00AC313B"/>
    <w:rsid w:val="00AC3409"/>
    <w:rsid w:val="00AC35EE"/>
    <w:rsid w:val="00AC50EF"/>
    <w:rsid w:val="00AC5529"/>
    <w:rsid w:val="00AC5917"/>
    <w:rsid w:val="00AC5BB8"/>
    <w:rsid w:val="00AC5DE3"/>
    <w:rsid w:val="00AC66CB"/>
    <w:rsid w:val="00AC689A"/>
    <w:rsid w:val="00AC7096"/>
    <w:rsid w:val="00AC725D"/>
    <w:rsid w:val="00AC7669"/>
    <w:rsid w:val="00AC7C50"/>
    <w:rsid w:val="00AD0687"/>
    <w:rsid w:val="00AD085B"/>
    <w:rsid w:val="00AD0B66"/>
    <w:rsid w:val="00AD0D82"/>
    <w:rsid w:val="00AD0D89"/>
    <w:rsid w:val="00AD1148"/>
    <w:rsid w:val="00AD1170"/>
    <w:rsid w:val="00AD1572"/>
    <w:rsid w:val="00AD178B"/>
    <w:rsid w:val="00AD1A26"/>
    <w:rsid w:val="00AD1ADA"/>
    <w:rsid w:val="00AD1B10"/>
    <w:rsid w:val="00AD24BF"/>
    <w:rsid w:val="00AD24C0"/>
    <w:rsid w:val="00AD24D3"/>
    <w:rsid w:val="00AD256A"/>
    <w:rsid w:val="00AD2E63"/>
    <w:rsid w:val="00AD325A"/>
    <w:rsid w:val="00AD363A"/>
    <w:rsid w:val="00AD3E3F"/>
    <w:rsid w:val="00AD3E73"/>
    <w:rsid w:val="00AD3F2E"/>
    <w:rsid w:val="00AD406C"/>
    <w:rsid w:val="00AD40E6"/>
    <w:rsid w:val="00AD416C"/>
    <w:rsid w:val="00AD5290"/>
    <w:rsid w:val="00AD5766"/>
    <w:rsid w:val="00AD5D6C"/>
    <w:rsid w:val="00AD5FED"/>
    <w:rsid w:val="00AD6EF3"/>
    <w:rsid w:val="00AD7009"/>
    <w:rsid w:val="00AD73FB"/>
    <w:rsid w:val="00AD79E3"/>
    <w:rsid w:val="00AD7B06"/>
    <w:rsid w:val="00AE020F"/>
    <w:rsid w:val="00AE0355"/>
    <w:rsid w:val="00AE04E3"/>
    <w:rsid w:val="00AE07B4"/>
    <w:rsid w:val="00AE085A"/>
    <w:rsid w:val="00AE1561"/>
    <w:rsid w:val="00AE1C76"/>
    <w:rsid w:val="00AE2637"/>
    <w:rsid w:val="00AE28B4"/>
    <w:rsid w:val="00AE295A"/>
    <w:rsid w:val="00AE2D9C"/>
    <w:rsid w:val="00AE2FBB"/>
    <w:rsid w:val="00AE3FD8"/>
    <w:rsid w:val="00AE4031"/>
    <w:rsid w:val="00AE42A3"/>
    <w:rsid w:val="00AE4568"/>
    <w:rsid w:val="00AE4A5F"/>
    <w:rsid w:val="00AE4F9F"/>
    <w:rsid w:val="00AE50DE"/>
    <w:rsid w:val="00AE52FD"/>
    <w:rsid w:val="00AE5450"/>
    <w:rsid w:val="00AE5DF2"/>
    <w:rsid w:val="00AE6BC0"/>
    <w:rsid w:val="00AE6E59"/>
    <w:rsid w:val="00AE6F36"/>
    <w:rsid w:val="00AE743C"/>
    <w:rsid w:val="00AE74DF"/>
    <w:rsid w:val="00AE74FE"/>
    <w:rsid w:val="00AE757B"/>
    <w:rsid w:val="00AE780B"/>
    <w:rsid w:val="00AE7A0B"/>
    <w:rsid w:val="00AE7D71"/>
    <w:rsid w:val="00AE7E7B"/>
    <w:rsid w:val="00AF140A"/>
    <w:rsid w:val="00AF23ED"/>
    <w:rsid w:val="00AF27DE"/>
    <w:rsid w:val="00AF3146"/>
    <w:rsid w:val="00AF376A"/>
    <w:rsid w:val="00AF381C"/>
    <w:rsid w:val="00AF3889"/>
    <w:rsid w:val="00AF3B06"/>
    <w:rsid w:val="00AF3C3E"/>
    <w:rsid w:val="00AF4249"/>
    <w:rsid w:val="00AF4F97"/>
    <w:rsid w:val="00AF4FFA"/>
    <w:rsid w:val="00AF6706"/>
    <w:rsid w:val="00AF6C52"/>
    <w:rsid w:val="00AF6FA6"/>
    <w:rsid w:val="00AF7170"/>
    <w:rsid w:val="00AF76B4"/>
    <w:rsid w:val="00AF76DC"/>
    <w:rsid w:val="00AF7AE2"/>
    <w:rsid w:val="00AF7B9A"/>
    <w:rsid w:val="00B00893"/>
    <w:rsid w:val="00B0089A"/>
    <w:rsid w:val="00B013B1"/>
    <w:rsid w:val="00B0176C"/>
    <w:rsid w:val="00B01BA8"/>
    <w:rsid w:val="00B01BF1"/>
    <w:rsid w:val="00B01E62"/>
    <w:rsid w:val="00B0207C"/>
    <w:rsid w:val="00B023DF"/>
    <w:rsid w:val="00B027B2"/>
    <w:rsid w:val="00B029AC"/>
    <w:rsid w:val="00B02BD1"/>
    <w:rsid w:val="00B0323E"/>
    <w:rsid w:val="00B037B4"/>
    <w:rsid w:val="00B03CB0"/>
    <w:rsid w:val="00B03F47"/>
    <w:rsid w:val="00B043CE"/>
    <w:rsid w:val="00B04EFE"/>
    <w:rsid w:val="00B050C1"/>
    <w:rsid w:val="00B0557A"/>
    <w:rsid w:val="00B05A8C"/>
    <w:rsid w:val="00B05EE1"/>
    <w:rsid w:val="00B06500"/>
    <w:rsid w:val="00B0665F"/>
    <w:rsid w:val="00B07740"/>
    <w:rsid w:val="00B1059E"/>
    <w:rsid w:val="00B11339"/>
    <w:rsid w:val="00B1172E"/>
    <w:rsid w:val="00B117FC"/>
    <w:rsid w:val="00B11B4B"/>
    <w:rsid w:val="00B12B01"/>
    <w:rsid w:val="00B12C47"/>
    <w:rsid w:val="00B12E3D"/>
    <w:rsid w:val="00B13389"/>
    <w:rsid w:val="00B14106"/>
    <w:rsid w:val="00B146A7"/>
    <w:rsid w:val="00B14F52"/>
    <w:rsid w:val="00B153E0"/>
    <w:rsid w:val="00B158B1"/>
    <w:rsid w:val="00B15C32"/>
    <w:rsid w:val="00B15D76"/>
    <w:rsid w:val="00B16259"/>
    <w:rsid w:val="00B164BC"/>
    <w:rsid w:val="00B16699"/>
    <w:rsid w:val="00B1688B"/>
    <w:rsid w:val="00B171B0"/>
    <w:rsid w:val="00B17C2F"/>
    <w:rsid w:val="00B17DE6"/>
    <w:rsid w:val="00B200D1"/>
    <w:rsid w:val="00B2036D"/>
    <w:rsid w:val="00B205AA"/>
    <w:rsid w:val="00B206DE"/>
    <w:rsid w:val="00B20A39"/>
    <w:rsid w:val="00B20D25"/>
    <w:rsid w:val="00B210E2"/>
    <w:rsid w:val="00B2285E"/>
    <w:rsid w:val="00B230F3"/>
    <w:rsid w:val="00B23120"/>
    <w:rsid w:val="00B235A6"/>
    <w:rsid w:val="00B23709"/>
    <w:rsid w:val="00B23B13"/>
    <w:rsid w:val="00B23EFA"/>
    <w:rsid w:val="00B23FC5"/>
    <w:rsid w:val="00B2411C"/>
    <w:rsid w:val="00B2419F"/>
    <w:rsid w:val="00B24466"/>
    <w:rsid w:val="00B2460A"/>
    <w:rsid w:val="00B251CC"/>
    <w:rsid w:val="00B25B53"/>
    <w:rsid w:val="00B25D12"/>
    <w:rsid w:val="00B263E3"/>
    <w:rsid w:val="00B263FA"/>
    <w:rsid w:val="00B2651D"/>
    <w:rsid w:val="00B26E0C"/>
    <w:rsid w:val="00B270E3"/>
    <w:rsid w:val="00B2719A"/>
    <w:rsid w:val="00B2726E"/>
    <w:rsid w:val="00B27303"/>
    <w:rsid w:val="00B2776F"/>
    <w:rsid w:val="00B300C5"/>
    <w:rsid w:val="00B305B1"/>
    <w:rsid w:val="00B30662"/>
    <w:rsid w:val="00B306BF"/>
    <w:rsid w:val="00B30D20"/>
    <w:rsid w:val="00B31BC8"/>
    <w:rsid w:val="00B3209D"/>
    <w:rsid w:val="00B32312"/>
    <w:rsid w:val="00B32C0D"/>
    <w:rsid w:val="00B32DF4"/>
    <w:rsid w:val="00B33309"/>
    <w:rsid w:val="00B334C4"/>
    <w:rsid w:val="00B33924"/>
    <w:rsid w:val="00B34872"/>
    <w:rsid w:val="00B34CDC"/>
    <w:rsid w:val="00B34FD8"/>
    <w:rsid w:val="00B353D7"/>
    <w:rsid w:val="00B360A7"/>
    <w:rsid w:val="00B3628E"/>
    <w:rsid w:val="00B37C77"/>
    <w:rsid w:val="00B401F4"/>
    <w:rsid w:val="00B40214"/>
    <w:rsid w:val="00B4022B"/>
    <w:rsid w:val="00B40231"/>
    <w:rsid w:val="00B4029D"/>
    <w:rsid w:val="00B4087C"/>
    <w:rsid w:val="00B41193"/>
    <w:rsid w:val="00B4133B"/>
    <w:rsid w:val="00B4159B"/>
    <w:rsid w:val="00B418B7"/>
    <w:rsid w:val="00B41AB6"/>
    <w:rsid w:val="00B4260A"/>
    <w:rsid w:val="00B42655"/>
    <w:rsid w:val="00B42B49"/>
    <w:rsid w:val="00B42FE0"/>
    <w:rsid w:val="00B431DA"/>
    <w:rsid w:val="00B439F6"/>
    <w:rsid w:val="00B43BC1"/>
    <w:rsid w:val="00B43BC9"/>
    <w:rsid w:val="00B43D1E"/>
    <w:rsid w:val="00B43F9D"/>
    <w:rsid w:val="00B446F3"/>
    <w:rsid w:val="00B448A6"/>
    <w:rsid w:val="00B4490E"/>
    <w:rsid w:val="00B44AE6"/>
    <w:rsid w:val="00B44F56"/>
    <w:rsid w:val="00B4509D"/>
    <w:rsid w:val="00B456BA"/>
    <w:rsid w:val="00B46B10"/>
    <w:rsid w:val="00B46F68"/>
    <w:rsid w:val="00B47423"/>
    <w:rsid w:val="00B47A33"/>
    <w:rsid w:val="00B47C3E"/>
    <w:rsid w:val="00B501DD"/>
    <w:rsid w:val="00B5038D"/>
    <w:rsid w:val="00B50469"/>
    <w:rsid w:val="00B5119B"/>
    <w:rsid w:val="00B5141D"/>
    <w:rsid w:val="00B51674"/>
    <w:rsid w:val="00B51D25"/>
    <w:rsid w:val="00B51FC6"/>
    <w:rsid w:val="00B52579"/>
    <w:rsid w:val="00B5267F"/>
    <w:rsid w:val="00B5269D"/>
    <w:rsid w:val="00B52795"/>
    <w:rsid w:val="00B53FD6"/>
    <w:rsid w:val="00B540B0"/>
    <w:rsid w:val="00B54E8C"/>
    <w:rsid w:val="00B5510D"/>
    <w:rsid w:val="00B55EF6"/>
    <w:rsid w:val="00B56D65"/>
    <w:rsid w:val="00B56D97"/>
    <w:rsid w:val="00B579B2"/>
    <w:rsid w:val="00B57AA2"/>
    <w:rsid w:val="00B57BDB"/>
    <w:rsid w:val="00B6003D"/>
    <w:rsid w:val="00B60277"/>
    <w:rsid w:val="00B61018"/>
    <w:rsid w:val="00B613AC"/>
    <w:rsid w:val="00B619BC"/>
    <w:rsid w:val="00B61A05"/>
    <w:rsid w:val="00B628BE"/>
    <w:rsid w:val="00B62D70"/>
    <w:rsid w:val="00B62F38"/>
    <w:rsid w:val="00B63470"/>
    <w:rsid w:val="00B63A05"/>
    <w:rsid w:val="00B63CF1"/>
    <w:rsid w:val="00B63F37"/>
    <w:rsid w:val="00B64283"/>
    <w:rsid w:val="00B6429E"/>
    <w:rsid w:val="00B6491A"/>
    <w:rsid w:val="00B64C13"/>
    <w:rsid w:val="00B6503F"/>
    <w:rsid w:val="00B65AC1"/>
    <w:rsid w:val="00B65BEE"/>
    <w:rsid w:val="00B65E49"/>
    <w:rsid w:val="00B65FFA"/>
    <w:rsid w:val="00B6654B"/>
    <w:rsid w:val="00B6706D"/>
    <w:rsid w:val="00B674C2"/>
    <w:rsid w:val="00B67885"/>
    <w:rsid w:val="00B6798E"/>
    <w:rsid w:val="00B70992"/>
    <w:rsid w:val="00B70BD5"/>
    <w:rsid w:val="00B70CC3"/>
    <w:rsid w:val="00B714CD"/>
    <w:rsid w:val="00B71BAC"/>
    <w:rsid w:val="00B71F56"/>
    <w:rsid w:val="00B72600"/>
    <w:rsid w:val="00B72A41"/>
    <w:rsid w:val="00B72C10"/>
    <w:rsid w:val="00B7389B"/>
    <w:rsid w:val="00B74DE1"/>
    <w:rsid w:val="00B7542D"/>
    <w:rsid w:val="00B75660"/>
    <w:rsid w:val="00B756D7"/>
    <w:rsid w:val="00B75801"/>
    <w:rsid w:val="00B75AEB"/>
    <w:rsid w:val="00B75CA0"/>
    <w:rsid w:val="00B76307"/>
    <w:rsid w:val="00B763D8"/>
    <w:rsid w:val="00B768DD"/>
    <w:rsid w:val="00B76B33"/>
    <w:rsid w:val="00B76E63"/>
    <w:rsid w:val="00B774C2"/>
    <w:rsid w:val="00B776E0"/>
    <w:rsid w:val="00B77C10"/>
    <w:rsid w:val="00B77EFD"/>
    <w:rsid w:val="00B8015F"/>
    <w:rsid w:val="00B8053C"/>
    <w:rsid w:val="00B8141F"/>
    <w:rsid w:val="00B815C5"/>
    <w:rsid w:val="00B820D4"/>
    <w:rsid w:val="00B8273B"/>
    <w:rsid w:val="00B82887"/>
    <w:rsid w:val="00B82C6A"/>
    <w:rsid w:val="00B831CA"/>
    <w:rsid w:val="00B833BC"/>
    <w:rsid w:val="00B83B73"/>
    <w:rsid w:val="00B843BF"/>
    <w:rsid w:val="00B84C01"/>
    <w:rsid w:val="00B85BDB"/>
    <w:rsid w:val="00B85D93"/>
    <w:rsid w:val="00B86245"/>
    <w:rsid w:val="00B8635A"/>
    <w:rsid w:val="00B868A4"/>
    <w:rsid w:val="00B86B51"/>
    <w:rsid w:val="00B8722F"/>
    <w:rsid w:val="00B8723B"/>
    <w:rsid w:val="00B875B8"/>
    <w:rsid w:val="00B879A0"/>
    <w:rsid w:val="00B87A63"/>
    <w:rsid w:val="00B87ABE"/>
    <w:rsid w:val="00B87DB6"/>
    <w:rsid w:val="00B87EC4"/>
    <w:rsid w:val="00B9049E"/>
    <w:rsid w:val="00B910E1"/>
    <w:rsid w:val="00B9129B"/>
    <w:rsid w:val="00B913DD"/>
    <w:rsid w:val="00B91A26"/>
    <w:rsid w:val="00B91F60"/>
    <w:rsid w:val="00B927BD"/>
    <w:rsid w:val="00B92922"/>
    <w:rsid w:val="00B92BE5"/>
    <w:rsid w:val="00B92EC2"/>
    <w:rsid w:val="00B92FE9"/>
    <w:rsid w:val="00B931CC"/>
    <w:rsid w:val="00B934B7"/>
    <w:rsid w:val="00B93920"/>
    <w:rsid w:val="00B93AC1"/>
    <w:rsid w:val="00B946F4"/>
    <w:rsid w:val="00B946FF"/>
    <w:rsid w:val="00B94B90"/>
    <w:rsid w:val="00B94C8A"/>
    <w:rsid w:val="00B94F00"/>
    <w:rsid w:val="00B953F6"/>
    <w:rsid w:val="00B95CB5"/>
    <w:rsid w:val="00B95DA5"/>
    <w:rsid w:val="00B95FDA"/>
    <w:rsid w:val="00B96375"/>
    <w:rsid w:val="00B96891"/>
    <w:rsid w:val="00B96C31"/>
    <w:rsid w:val="00B9734E"/>
    <w:rsid w:val="00B97683"/>
    <w:rsid w:val="00BA0923"/>
    <w:rsid w:val="00BA0A22"/>
    <w:rsid w:val="00BA0E31"/>
    <w:rsid w:val="00BA0EFB"/>
    <w:rsid w:val="00BA108D"/>
    <w:rsid w:val="00BA1722"/>
    <w:rsid w:val="00BA1835"/>
    <w:rsid w:val="00BA190F"/>
    <w:rsid w:val="00BA1BCA"/>
    <w:rsid w:val="00BA25A4"/>
    <w:rsid w:val="00BA30A1"/>
    <w:rsid w:val="00BA360F"/>
    <w:rsid w:val="00BA3EA7"/>
    <w:rsid w:val="00BA3F8B"/>
    <w:rsid w:val="00BA4AC0"/>
    <w:rsid w:val="00BA52E2"/>
    <w:rsid w:val="00BA5C10"/>
    <w:rsid w:val="00BA5E8A"/>
    <w:rsid w:val="00BA5FF0"/>
    <w:rsid w:val="00BA6101"/>
    <w:rsid w:val="00BA61F2"/>
    <w:rsid w:val="00BA6292"/>
    <w:rsid w:val="00BA6383"/>
    <w:rsid w:val="00BA64E6"/>
    <w:rsid w:val="00BA7036"/>
    <w:rsid w:val="00BA74DF"/>
    <w:rsid w:val="00BA769F"/>
    <w:rsid w:val="00BA78D5"/>
    <w:rsid w:val="00BA78F6"/>
    <w:rsid w:val="00BA7EE5"/>
    <w:rsid w:val="00BB04B4"/>
    <w:rsid w:val="00BB095F"/>
    <w:rsid w:val="00BB09A5"/>
    <w:rsid w:val="00BB10BC"/>
    <w:rsid w:val="00BB13D1"/>
    <w:rsid w:val="00BB1BB1"/>
    <w:rsid w:val="00BB1C9B"/>
    <w:rsid w:val="00BB24DB"/>
    <w:rsid w:val="00BB29AB"/>
    <w:rsid w:val="00BB2C41"/>
    <w:rsid w:val="00BB3218"/>
    <w:rsid w:val="00BB3AD1"/>
    <w:rsid w:val="00BB45BB"/>
    <w:rsid w:val="00BB4FE1"/>
    <w:rsid w:val="00BB51D8"/>
    <w:rsid w:val="00BB576C"/>
    <w:rsid w:val="00BB5A6E"/>
    <w:rsid w:val="00BB61E8"/>
    <w:rsid w:val="00BB6DB1"/>
    <w:rsid w:val="00BB6F9D"/>
    <w:rsid w:val="00BB7606"/>
    <w:rsid w:val="00BB778D"/>
    <w:rsid w:val="00BB7877"/>
    <w:rsid w:val="00BB7DA1"/>
    <w:rsid w:val="00BC0140"/>
    <w:rsid w:val="00BC03AB"/>
    <w:rsid w:val="00BC0B5B"/>
    <w:rsid w:val="00BC0C94"/>
    <w:rsid w:val="00BC0E59"/>
    <w:rsid w:val="00BC0F71"/>
    <w:rsid w:val="00BC10BA"/>
    <w:rsid w:val="00BC14A5"/>
    <w:rsid w:val="00BC18FC"/>
    <w:rsid w:val="00BC19DF"/>
    <w:rsid w:val="00BC1DA1"/>
    <w:rsid w:val="00BC1DA7"/>
    <w:rsid w:val="00BC2621"/>
    <w:rsid w:val="00BC2F5E"/>
    <w:rsid w:val="00BC3374"/>
    <w:rsid w:val="00BC3793"/>
    <w:rsid w:val="00BC3864"/>
    <w:rsid w:val="00BC397E"/>
    <w:rsid w:val="00BC3D40"/>
    <w:rsid w:val="00BC3D7A"/>
    <w:rsid w:val="00BC3E72"/>
    <w:rsid w:val="00BC4086"/>
    <w:rsid w:val="00BC43E8"/>
    <w:rsid w:val="00BC44A3"/>
    <w:rsid w:val="00BC51CD"/>
    <w:rsid w:val="00BC58A5"/>
    <w:rsid w:val="00BC5CCD"/>
    <w:rsid w:val="00BC5F4C"/>
    <w:rsid w:val="00BC673F"/>
    <w:rsid w:val="00BC69C7"/>
    <w:rsid w:val="00BC6A26"/>
    <w:rsid w:val="00BC742E"/>
    <w:rsid w:val="00BC748C"/>
    <w:rsid w:val="00BC7707"/>
    <w:rsid w:val="00BC7ED7"/>
    <w:rsid w:val="00BC7F65"/>
    <w:rsid w:val="00BC7FD0"/>
    <w:rsid w:val="00BD04C4"/>
    <w:rsid w:val="00BD06F6"/>
    <w:rsid w:val="00BD0704"/>
    <w:rsid w:val="00BD11A7"/>
    <w:rsid w:val="00BD124A"/>
    <w:rsid w:val="00BD14FF"/>
    <w:rsid w:val="00BD16C0"/>
    <w:rsid w:val="00BD1A1A"/>
    <w:rsid w:val="00BD1C0B"/>
    <w:rsid w:val="00BD1D86"/>
    <w:rsid w:val="00BD217B"/>
    <w:rsid w:val="00BD2ECF"/>
    <w:rsid w:val="00BD337D"/>
    <w:rsid w:val="00BD3575"/>
    <w:rsid w:val="00BD3582"/>
    <w:rsid w:val="00BD3E08"/>
    <w:rsid w:val="00BD3F99"/>
    <w:rsid w:val="00BD3FBD"/>
    <w:rsid w:val="00BD57D6"/>
    <w:rsid w:val="00BD5BFE"/>
    <w:rsid w:val="00BD5FDA"/>
    <w:rsid w:val="00BD6122"/>
    <w:rsid w:val="00BD614C"/>
    <w:rsid w:val="00BD644C"/>
    <w:rsid w:val="00BD6740"/>
    <w:rsid w:val="00BD6908"/>
    <w:rsid w:val="00BD6ADD"/>
    <w:rsid w:val="00BD6D34"/>
    <w:rsid w:val="00BD7138"/>
    <w:rsid w:val="00BD731C"/>
    <w:rsid w:val="00BD7619"/>
    <w:rsid w:val="00BE0773"/>
    <w:rsid w:val="00BE13C5"/>
    <w:rsid w:val="00BE1497"/>
    <w:rsid w:val="00BE1C42"/>
    <w:rsid w:val="00BE1D26"/>
    <w:rsid w:val="00BE204C"/>
    <w:rsid w:val="00BE2235"/>
    <w:rsid w:val="00BE2710"/>
    <w:rsid w:val="00BE2E69"/>
    <w:rsid w:val="00BE3493"/>
    <w:rsid w:val="00BE35C2"/>
    <w:rsid w:val="00BE3B4C"/>
    <w:rsid w:val="00BE3C80"/>
    <w:rsid w:val="00BE411F"/>
    <w:rsid w:val="00BE4401"/>
    <w:rsid w:val="00BE46DE"/>
    <w:rsid w:val="00BE4A56"/>
    <w:rsid w:val="00BE4EC3"/>
    <w:rsid w:val="00BE53B7"/>
    <w:rsid w:val="00BE5570"/>
    <w:rsid w:val="00BE5AA5"/>
    <w:rsid w:val="00BE5B9B"/>
    <w:rsid w:val="00BE5CD6"/>
    <w:rsid w:val="00BE5ED2"/>
    <w:rsid w:val="00BE5F11"/>
    <w:rsid w:val="00BE62CD"/>
    <w:rsid w:val="00BE638F"/>
    <w:rsid w:val="00BE6586"/>
    <w:rsid w:val="00BE69CB"/>
    <w:rsid w:val="00BE72BD"/>
    <w:rsid w:val="00BE75E3"/>
    <w:rsid w:val="00BE7CF0"/>
    <w:rsid w:val="00BE7FBC"/>
    <w:rsid w:val="00BE7FDF"/>
    <w:rsid w:val="00BF03F8"/>
    <w:rsid w:val="00BF0B5F"/>
    <w:rsid w:val="00BF0BD8"/>
    <w:rsid w:val="00BF122D"/>
    <w:rsid w:val="00BF1895"/>
    <w:rsid w:val="00BF18DC"/>
    <w:rsid w:val="00BF1922"/>
    <w:rsid w:val="00BF197A"/>
    <w:rsid w:val="00BF1B16"/>
    <w:rsid w:val="00BF2830"/>
    <w:rsid w:val="00BF2E9B"/>
    <w:rsid w:val="00BF2F94"/>
    <w:rsid w:val="00BF37AA"/>
    <w:rsid w:val="00BF38A8"/>
    <w:rsid w:val="00BF3A9B"/>
    <w:rsid w:val="00BF3CD1"/>
    <w:rsid w:val="00BF40E6"/>
    <w:rsid w:val="00BF4209"/>
    <w:rsid w:val="00BF4722"/>
    <w:rsid w:val="00BF53FA"/>
    <w:rsid w:val="00BF60ED"/>
    <w:rsid w:val="00BF6499"/>
    <w:rsid w:val="00BF6A1C"/>
    <w:rsid w:val="00BF787D"/>
    <w:rsid w:val="00BF7A11"/>
    <w:rsid w:val="00C0077A"/>
    <w:rsid w:val="00C00BF8"/>
    <w:rsid w:val="00C00D0B"/>
    <w:rsid w:val="00C00E1F"/>
    <w:rsid w:val="00C010CB"/>
    <w:rsid w:val="00C01146"/>
    <w:rsid w:val="00C0115A"/>
    <w:rsid w:val="00C02A3A"/>
    <w:rsid w:val="00C02FC9"/>
    <w:rsid w:val="00C03201"/>
    <w:rsid w:val="00C039BA"/>
    <w:rsid w:val="00C03E20"/>
    <w:rsid w:val="00C03E87"/>
    <w:rsid w:val="00C046D5"/>
    <w:rsid w:val="00C04924"/>
    <w:rsid w:val="00C04BA7"/>
    <w:rsid w:val="00C04D76"/>
    <w:rsid w:val="00C04ED0"/>
    <w:rsid w:val="00C04F79"/>
    <w:rsid w:val="00C05457"/>
    <w:rsid w:val="00C055DF"/>
    <w:rsid w:val="00C05B69"/>
    <w:rsid w:val="00C05BE4"/>
    <w:rsid w:val="00C05CD2"/>
    <w:rsid w:val="00C05F4C"/>
    <w:rsid w:val="00C06BA5"/>
    <w:rsid w:val="00C06E43"/>
    <w:rsid w:val="00C07303"/>
    <w:rsid w:val="00C0774D"/>
    <w:rsid w:val="00C078F0"/>
    <w:rsid w:val="00C07CFA"/>
    <w:rsid w:val="00C1057B"/>
    <w:rsid w:val="00C105A3"/>
    <w:rsid w:val="00C106FF"/>
    <w:rsid w:val="00C10733"/>
    <w:rsid w:val="00C11237"/>
    <w:rsid w:val="00C120C8"/>
    <w:rsid w:val="00C12709"/>
    <w:rsid w:val="00C12C0E"/>
    <w:rsid w:val="00C13DF1"/>
    <w:rsid w:val="00C14427"/>
    <w:rsid w:val="00C145A9"/>
    <w:rsid w:val="00C14990"/>
    <w:rsid w:val="00C14E06"/>
    <w:rsid w:val="00C151AB"/>
    <w:rsid w:val="00C15E92"/>
    <w:rsid w:val="00C16103"/>
    <w:rsid w:val="00C16174"/>
    <w:rsid w:val="00C1617E"/>
    <w:rsid w:val="00C162EA"/>
    <w:rsid w:val="00C169F2"/>
    <w:rsid w:val="00C16F20"/>
    <w:rsid w:val="00C1754B"/>
    <w:rsid w:val="00C176A1"/>
    <w:rsid w:val="00C17768"/>
    <w:rsid w:val="00C17F8B"/>
    <w:rsid w:val="00C20432"/>
    <w:rsid w:val="00C2067A"/>
    <w:rsid w:val="00C207FC"/>
    <w:rsid w:val="00C2090E"/>
    <w:rsid w:val="00C20A2A"/>
    <w:rsid w:val="00C20C66"/>
    <w:rsid w:val="00C22685"/>
    <w:rsid w:val="00C2293E"/>
    <w:rsid w:val="00C22BAC"/>
    <w:rsid w:val="00C22E85"/>
    <w:rsid w:val="00C22FD4"/>
    <w:rsid w:val="00C2302E"/>
    <w:rsid w:val="00C233F7"/>
    <w:rsid w:val="00C238F5"/>
    <w:rsid w:val="00C23A87"/>
    <w:rsid w:val="00C23A97"/>
    <w:rsid w:val="00C23AA9"/>
    <w:rsid w:val="00C243EB"/>
    <w:rsid w:val="00C245B1"/>
    <w:rsid w:val="00C2468E"/>
    <w:rsid w:val="00C24B1A"/>
    <w:rsid w:val="00C24C39"/>
    <w:rsid w:val="00C24F30"/>
    <w:rsid w:val="00C25186"/>
    <w:rsid w:val="00C25A73"/>
    <w:rsid w:val="00C25CE6"/>
    <w:rsid w:val="00C25D93"/>
    <w:rsid w:val="00C2663F"/>
    <w:rsid w:val="00C26E1A"/>
    <w:rsid w:val="00C27A48"/>
    <w:rsid w:val="00C27C64"/>
    <w:rsid w:val="00C27E7D"/>
    <w:rsid w:val="00C305A1"/>
    <w:rsid w:val="00C305F2"/>
    <w:rsid w:val="00C309B7"/>
    <w:rsid w:val="00C30BCE"/>
    <w:rsid w:val="00C31120"/>
    <w:rsid w:val="00C31777"/>
    <w:rsid w:val="00C31FCA"/>
    <w:rsid w:val="00C32DF8"/>
    <w:rsid w:val="00C330C7"/>
    <w:rsid w:val="00C3327A"/>
    <w:rsid w:val="00C33413"/>
    <w:rsid w:val="00C33B99"/>
    <w:rsid w:val="00C33D22"/>
    <w:rsid w:val="00C341D2"/>
    <w:rsid w:val="00C34351"/>
    <w:rsid w:val="00C34B7E"/>
    <w:rsid w:val="00C34F65"/>
    <w:rsid w:val="00C35594"/>
    <w:rsid w:val="00C356AA"/>
    <w:rsid w:val="00C35DCF"/>
    <w:rsid w:val="00C360F9"/>
    <w:rsid w:val="00C363DD"/>
    <w:rsid w:val="00C36981"/>
    <w:rsid w:val="00C372BD"/>
    <w:rsid w:val="00C37770"/>
    <w:rsid w:val="00C377B4"/>
    <w:rsid w:val="00C379D5"/>
    <w:rsid w:val="00C40105"/>
    <w:rsid w:val="00C40178"/>
    <w:rsid w:val="00C404A9"/>
    <w:rsid w:val="00C4088D"/>
    <w:rsid w:val="00C40C7C"/>
    <w:rsid w:val="00C40E57"/>
    <w:rsid w:val="00C411C5"/>
    <w:rsid w:val="00C4131A"/>
    <w:rsid w:val="00C4164F"/>
    <w:rsid w:val="00C416B9"/>
    <w:rsid w:val="00C416CE"/>
    <w:rsid w:val="00C421F7"/>
    <w:rsid w:val="00C4229E"/>
    <w:rsid w:val="00C42459"/>
    <w:rsid w:val="00C427BF"/>
    <w:rsid w:val="00C42C9F"/>
    <w:rsid w:val="00C4322C"/>
    <w:rsid w:val="00C43520"/>
    <w:rsid w:val="00C437A4"/>
    <w:rsid w:val="00C44011"/>
    <w:rsid w:val="00C443FF"/>
    <w:rsid w:val="00C446F3"/>
    <w:rsid w:val="00C449FD"/>
    <w:rsid w:val="00C44B31"/>
    <w:rsid w:val="00C45A77"/>
    <w:rsid w:val="00C4690E"/>
    <w:rsid w:val="00C46A3E"/>
    <w:rsid w:val="00C46EBC"/>
    <w:rsid w:val="00C4705D"/>
    <w:rsid w:val="00C47240"/>
    <w:rsid w:val="00C47309"/>
    <w:rsid w:val="00C47F8D"/>
    <w:rsid w:val="00C47FB5"/>
    <w:rsid w:val="00C5004F"/>
    <w:rsid w:val="00C50681"/>
    <w:rsid w:val="00C506E4"/>
    <w:rsid w:val="00C50871"/>
    <w:rsid w:val="00C5089E"/>
    <w:rsid w:val="00C508FA"/>
    <w:rsid w:val="00C5096D"/>
    <w:rsid w:val="00C50EA6"/>
    <w:rsid w:val="00C513FE"/>
    <w:rsid w:val="00C515DF"/>
    <w:rsid w:val="00C5209C"/>
    <w:rsid w:val="00C524D9"/>
    <w:rsid w:val="00C525F5"/>
    <w:rsid w:val="00C52961"/>
    <w:rsid w:val="00C531C3"/>
    <w:rsid w:val="00C534BB"/>
    <w:rsid w:val="00C536CC"/>
    <w:rsid w:val="00C54243"/>
    <w:rsid w:val="00C548C9"/>
    <w:rsid w:val="00C54CF5"/>
    <w:rsid w:val="00C55BA7"/>
    <w:rsid w:val="00C55DD2"/>
    <w:rsid w:val="00C55E46"/>
    <w:rsid w:val="00C55FBE"/>
    <w:rsid w:val="00C56618"/>
    <w:rsid w:val="00C5669B"/>
    <w:rsid w:val="00C56B0C"/>
    <w:rsid w:val="00C56B96"/>
    <w:rsid w:val="00C5710E"/>
    <w:rsid w:val="00C57417"/>
    <w:rsid w:val="00C57520"/>
    <w:rsid w:val="00C577A7"/>
    <w:rsid w:val="00C5795A"/>
    <w:rsid w:val="00C57FA9"/>
    <w:rsid w:val="00C60606"/>
    <w:rsid w:val="00C607CF"/>
    <w:rsid w:val="00C612EE"/>
    <w:rsid w:val="00C62574"/>
    <w:rsid w:val="00C62A86"/>
    <w:rsid w:val="00C637C5"/>
    <w:rsid w:val="00C63A28"/>
    <w:rsid w:val="00C63F6B"/>
    <w:rsid w:val="00C640B8"/>
    <w:rsid w:val="00C64423"/>
    <w:rsid w:val="00C64593"/>
    <w:rsid w:val="00C645D1"/>
    <w:rsid w:val="00C647F0"/>
    <w:rsid w:val="00C65155"/>
    <w:rsid w:val="00C6527F"/>
    <w:rsid w:val="00C652CF"/>
    <w:rsid w:val="00C65491"/>
    <w:rsid w:val="00C65BBD"/>
    <w:rsid w:val="00C6613F"/>
    <w:rsid w:val="00C66A84"/>
    <w:rsid w:val="00C66B0F"/>
    <w:rsid w:val="00C7012E"/>
    <w:rsid w:val="00C701C8"/>
    <w:rsid w:val="00C708E9"/>
    <w:rsid w:val="00C70C27"/>
    <w:rsid w:val="00C70E43"/>
    <w:rsid w:val="00C70E4A"/>
    <w:rsid w:val="00C7137E"/>
    <w:rsid w:val="00C7159C"/>
    <w:rsid w:val="00C71632"/>
    <w:rsid w:val="00C716A5"/>
    <w:rsid w:val="00C722AA"/>
    <w:rsid w:val="00C7235D"/>
    <w:rsid w:val="00C72BBC"/>
    <w:rsid w:val="00C72F5E"/>
    <w:rsid w:val="00C72FE4"/>
    <w:rsid w:val="00C730EC"/>
    <w:rsid w:val="00C73152"/>
    <w:rsid w:val="00C733CE"/>
    <w:rsid w:val="00C73732"/>
    <w:rsid w:val="00C73D99"/>
    <w:rsid w:val="00C74444"/>
    <w:rsid w:val="00C7462A"/>
    <w:rsid w:val="00C74A44"/>
    <w:rsid w:val="00C74C54"/>
    <w:rsid w:val="00C75632"/>
    <w:rsid w:val="00C75947"/>
    <w:rsid w:val="00C75CBB"/>
    <w:rsid w:val="00C7639A"/>
    <w:rsid w:val="00C76AFD"/>
    <w:rsid w:val="00C76D05"/>
    <w:rsid w:val="00C76FD1"/>
    <w:rsid w:val="00C779C7"/>
    <w:rsid w:val="00C779E1"/>
    <w:rsid w:val="00C77C59"/>
    <w:rsid w:val="00C80337"/>
    <w:rsid w:val="00C806E6"/>
    <w:rsid w:val="00C80A5E"/>
    <w:rsid w:val="00C80D79"/>
    <w:rsid w:val="00C8170D"/>
    <w:rsid w:val="00C81EA4"/>
    <w:rsid w:val="00C82D06"/>
    <w:rsid w:val="00C830E5"/>
    <w:rsid w:val="00C8363D"/>
    <w:rsid w:val="00C8442E"/>
    <w:rsid w:val="00C84A98"/>
    <w:rsid w:val="00C84C7A"/>
    <w:rsid w:val="00C8501A"/>
    <w:rsid w:val="00C85322"/>
    <w:rsid w:val="00C85519"/>
    <w:rsid w:val="00C8554C"/>
    <w:rsid w:val="00C855D7"/>
    <w:rsid w:val="00C858AD"/>
    <w:rsid w:val="00C85C62"/>
    <w:rsid w:val="00C85F2B"/>
    <w:rsid w:val="00C8601D"/>
    <w:rsid w:val="00C86BC4"/>
    <w:rsid w:val="00C86BD9"/>
    <w:rsid w:val="00C8734B"/>
    <w:rsid w:val="00C87AB1"/>
    <w:rsid w:val="00C87C17"/>
    <w:rsid w:val="00C90247"/>
    <w:rsid w:val="00C903F1"/>
    <w:rsid w:val="00C9084C"/>
    <w:rsid w:val="00C9096E"/>
    <w:rsid w:val="00C90BEC"/>
    <w:rsid w:val="00C91498"/>
    <w:rsid w:val="00C915C1"/>
    <w:rsid w:val="00C91D87"/>
    <w:rsid w:val="00C92767"/>
    <w:rsid w:val="00C92955"/>
    <w:rsid w:val="00C92D0B"/>
    <w:rsid w:val="00C92FDB"/>
    <w:rsid w:val="00C93015"/>
    <w:rsid w:val="00C93236"/>
    <w:rsid w:val="00C93583"/>
    <w:rsid w:val="00C9366A"/>
    <w:rsid w:val="00C93775"/>
    <w:rsid w:val="00C94352"/>
    <w:rsid w:val="00C94D7A"/>
    <w:rsid w:val="00C95A07"/>
    <w:rsid w:val="00C95D4C"/>
    <w:rsid w:val="00C96363"/>
    <w:rsid w:val="00C96451"/>
    <w:rsid w:val="00C9660B"/>
    <w:rsid w:val="00C96A36"/>
    <w:rsid w:val="00C96C75"/>
    <w:rsid w:val="00C977E3"/>
    <w:rsid w:val="00C97AAD"/>
    <w:rsid w:val="00C97B44"/>
    <w:rsid w:val="00C97C96"/>
    <w:rsid w:val="00C97D70"/>
    <w:rsid w:val="00C97E5B"/>
    <w:rsid w:val="00CA05A8"/>
    <w:rsid w:val="00CA0A36"/>
    <w:rsid w:val="00CA0CFF"/>
    <w:rsid w:val="00CA1185"/>
    <w:rsid w:val="00CA1B98"/>
    <w:rsid w:val="00CA21F8"/>
    <w:rsid w:val="00CA23E2"/>
    <w:rsid w:val="00CA271A"/>
    <w:rsid w:val="00CA28E9"/>
    <w:rsid w:val="00CA2F57"/>
    <w:rsid w:val="00CA302A"/>
    <w:rsid w:val="00CA3BCC"/>
    <w:rsid w:val="00CA4190"/>
    <w:rsid w:val="00CA41C3"/>
    <w:rsid w:val="00CA4803"/>
    <w:rsid w:val="00CA5614"/>
    <w:rsid w:val="00CA57A2"/>
    <w:rsid w:val="00CA5D2B"/>
    <w:rsid w:val="00CA62CA"/>
    <w:rsid w:val="00CA6355"/>
    <w:rsid w:val="00CA692F"/>
    <w:rsid w:val="00CA6CC5"/>
    <w:rsid w:val="00CA6D76"/>
    <w:rsid w:val="00CA6F54"/>
    <w:rsid w:val="00CA70FD"/>
    <w:rsid w:val="00CA7CC5"/>
    <w:rsid w:val="00CA7D7B"/>
    <w:rsid w:val="00CA7DA8"/>
    <w:rsid w:val="00CB06BB"/>
    <w:rsid w:val="00CB0F82"/>
    <w:rsid w:val="00CB0FA7"/>
    <w:rsid w:val="00CB162D"/>
    <w:rsid w:val="00CB170C"/>
    <w:rsid w:val="00CB17EC"/>
    <w:rsid w:val="00CB1846"/>
    <w:rsid w:val="00CB1E4E"/>
    <w:rsid w:val="00CB200B"/>
    <w:rsid w:val="00CB239C"/>
    <w:rsid w:val="00CB27EE"/>
    <w:rsid w:val="00CB2894"/>
    <w:rsid w:val="00CB2953"/>
    <w:rsid w:val="00CB3008"/>
    <w:rsid w:val="00CB33CD"/>
    <w:rsid w:val="00CB3823"/>
    <w:rsid w:val="00CB399F"/>
    <w:rsid w:val="00CB3BD5"/>
    <w:rsid w:val="00CB45DA"/>
    <w:rsid w:val="00CB4FD2"/>
    <w:rsid w:val="00CB5679"/>
    <w:rsid w:val="00CB5694"/>
    <w:rsid w:val="00CB5A89"/>
    <w:rsid w:val="00CB625F"/>
    <w:rsid w:val="00CB6458"/>
    <w:rsid w:val="00CB64B5"/>
    <w:rsid w:val="00CB6593"/>
    <w:rsid w:val="00CB6708"/>
    <w:rsid w:val="00CB6CF4"/>
    <w:rsid w:val="00CB6DB5"/>
    <w:rsid w:val="00CB706D"/>
    <w:rsid w:val="00CB742D"/>
    <w:rsid w:val="00CB7BC6"/>
    <w:rsid w:val="00CB7E92"/>
    <w:rsid w:val="00CC00D9"/>
    <w:rsid w:val="00CC06D6"/>
    <w:rsid w:val="00CC0B48"/>
    <w:rsid w:val="00CC11A7"/>
    <w:rsid w:val="00CC1803"/>
    <w:rsid w:val="00CC1C4C"/>
    <w:rsid w:val="00CC200D"/>
    <w:rsid w:val="00CC201E"/>
    <w:rsid w:val="00CC2107"/>
    <w:rsid w:val="00CC2802"/>
    <w:rsid w:val="00CC2C4E"/>
    <w:rsid w:val="00CC2C5F"/>
    <w:rsid w:val="00CC2C83"/>
    <w:rsid w:val="00CC31B2"/>
    <w:rsid w:val="00CC3677"/>
    <w:rsid w:val="00CC39A3"/>
    <w:rsid w:val="00CC3C24"/>
    <w:rsid w:val="00CC3E85"/>
    <w:rsid w:val="00CC3F79"/>
    <w:rsid w:val="00CC51A4"/>
    <w:rsid w:val="00CC580F"/>
    <w:rsid w:val="00CC5D5C"/>
    <w:rsid w:val="00CC6663"/>
    <w:rsid w:val="00CC6974"/>
    <w:rsid w:val="00CC6AC9"/>
    <w:rsid w:val="00CC6C6F"/>
    <w:rsid w:val="00CC6F45"/>
    <w:rsid w:val="00CC706F"/>
    <w:rsid w:val="00CD0158"/>
    <w:rsid w:val="00CD1046"/>
    <w:rsid w:val="00CD111D"/>
    <w:rsid w:val="00CD18AF"/>
    <w:rsid w:val="00CD3067"/>
    <w:rsid w:val="00CD335D"/>
    <w:rsid w:val="00CD37EE"/>
    <w:rsid w:val="00CD3ADD"/>
    <w:rsid w:val="00CD3CB1"/>
    <w:rsid w:val="00CD4528"/>
    <w:rsid w:val="00CD4A42"/>
    <w:rsid w:val="00CD4C99"/>
    <w:rsid w:val="00CD4DEC"/>
    <w:rsid w:val="00CD4DFB"/>
    <w:rsid w:val="00CD5966"/>
    <w:rsid w:val="00CD638B"/>
    <w:rsid w:val="00CD642D"/>
    <w:rsid w:val="00CD6854"/>
    <w:rsid w:val="00CD69D4"/>
    <w:rsid w:val="00CD6B99"/>
    <w:rsid w:val="00CD70C0"/>
    <w:rsid w:val="00CD713A"/>
    <w:rsid w:val="00CD759A"/>
    <w:rsid w:val="00CD7C42"/>
    <w:rsid w:val="00CD7E95"/>
    <w:rsid w:val="00CD7F43"/>
    <w:rsid w:val="00CE0025"/>
    <w:rsid w:val="00CE078A"/>
    <w:rsid w:val="00CE0FF5"/>
    <w:rsid w:val="00CE1310"/>
    <w:rsid w:val="00CE1714"/>
    <w:rsid w:val="00CE1F83"/>
    <w:rsid w:val="00CE216D"/>
    <w:rsid w:val="00CE23A5"/>
    <w:rsid w:val="00CE2587"/>
    <w:rsid w:val="00CE25D2"/>
    <w:rsid w:val="00CE284B"/>
    <w:rsid w:val="00CE2974"/>
    <w:rsid w:val="00CE2F37"/>
    <w:rsid w:val="00CE368F"/>
    <w:rsid w:val="00CE3EA5"/>
    <w:rsid w:val="00CE436C"/>
    <w:rsid w:val="00CE4411"/>
    <w:rsid w:val="00CE4421"/>
    <w:rsid w:val="00CE4891"/>
    <w:rsid w:val="00CE5029"/>
    <w:rsid w:val="00CE52E1"/>
    <w:rsid w:val="00CE53FC"/>
    <w:rsid w:val="00CE584E"/>
    <w:rsid w:val="00CE5C25"/>
    <w:rsid w:val="00CE61DF"/>
    <w:rsid w:val="00CE6DD2"/>
    <w:rsid w:val="00CE6E3F"/>
    <w:rsid w:val="00CE7197"/>
    <w:rsid w:val="00CE75E1"/>
    <w:rsid w:val="00CE7DC6"/>
    <w:rsid w:val="00CF01BD"/>
    <w:rsid w:val="00CF0318"/>
    <w:rsid w:val="00CF0339"/>
    <w:rsid w:val="00CF06E9"/>
    <w:rsid w:val="00CF0A33"/>
    <w:rsid w:val="00CF0AA4"/>
    <w:rsid w:val="00CF17BF"/>
    <w:rsid w:val="00CF1931"/>
    <w:rsid w:val="00CF19BA"/>
    <w:rsid w:val="00CF1A7B"/>
    <w:rsid w:val="00CF21E1"/>
    <w:rsid w:val="00CF2880"/>
    <w:rsid w:val="00CF2BCE"/>
    <w:rsid w:val="00CF319A"/>
    <w:rsid w:val="00CF35F9"/>
    <w:rsid w:val="00CF3FE9"/>
    <w:rsid w:val="00CF4C5A"/>
    <w:rsid w:val="00CF4ED1"/>
    <w:rsid w:val="00CF6A75"/>
    <w:rsid w:val="00CF6DAE"/>
    <w:rsid w:val="00CF7167"/>
    <w:rsid w:val="00CF766E"/>
    <w:rsid w:val="00CF76FA"/>
    <w:rsid w:val="00CF7D08"/>
    <w:rsid w:val="00CF7F85"/>
    <w:rsid w:val="00D007E4"/>
    <w:rsid w:val="00D00DFE"/>
    <w:rsid w:val="00D018D7"/>
    <w:rsid w:val="00D01C06"/>
    <w:rsid w:val="00D01EE6"/>
    <w:rsid w:val="00D0227F"/>
    <w:rsid w:val="00D026EC"/>
    <w:rsid w:val="00D0272D"/>
    <w:rsid w:val="00D029D7"/>
    <w:rsid w:val="00D02DB4"/>
    <w:rsid w:val="00D02E5B"/>
    <w:rsid w:val="00D03029"/>
    <w:rsid w:val="00D03613"/>
    <w:rsid w:val="00D039B7"/>
    <w:rsid w:val="00D04791"/>
    <w:rsid w:val="00D04819"/>
    <w:rsid w:val="00D04DC5"/>
    <w:rsid w:val="00D056D3"/>
    <w:rsid w:val="00D05853"/>
    <w:rsid w:val="00D05D48"/>
    <w:rsid w:val="00D061BA"/>
    <w:rsid w:val="00D06340"/>
    <w:rsid w:val="00D06691"/>
    <w:rsid w:val="00D06AFA"/>
    <w:rsid w:val="00D06B21"/>
    <w:rsid w:val="00D06CA0"/>
    <w:rsid w:val="00D0713B"/>
    <w:rsid w:val="00D077C3"/>
    <w:rsid w:val="00D079B3"/>
    <w:rsid w:val="00D07ADF"/>
    <w:rsid w:val="00D07DB5"/>
    <w:rsid w:val="00D07FF5"/>
    <w:rsid w:val="00D1088D"/>
    <w:rsid w:val="00D10953"/>
    <w:rsid w:val="00D112D1"/>
    <w:rsid w:val="00D1183B"/>
    <w:rsid w:val="00D11FF2"/>
    <w:rsid w:val="00D120C0"/>
    <w:rsid w:val="00D12474"/>
    <w:rsid w:val="00D1247F"/>
    <w:rsid w:val="00D12B94"/>
    <w:rsid w:val="00D131B6"/>
    <w:rsid w:val="00D1366D"/>
    <w:rsid w:val="00D145CE"/>
    <w:rsid w:val="00D146B2"/>
    <w:rsid w:val="00D148E4"/>
    <w:rsid w:val="00D14D82"/>
    <w:rsid w:val="00D14F68"/>
    <w:rsid w:val="00D15121"/>
    <w:rsid w:val="00D15BDB"/>
    <w:rsid w:val="00D161A2"/>
    <w:rsid w:val="00D165CB"/>
    <w:rsid w:val="00D16646"/>
    <w:rsid w:val="00D16694"/>
    <w:rsid w:val="00D166AD"/>
    <w:rsid w:val="00D16AF3"/>
    <w:rsid w:val="00D16B47"/>
    <w:rsid w:val="00D1729D"/>
    <w:rsid w:val="00D17318"/>
    <w:rsid w:val="00D178D6"/>
    <w:rsid w:val="00D17952"/>
    <w:rsid w:val="00D17A4D"/>
    <w:rsid w:val="00D17F6B"/>
    <w:rsid w:val="00D201A6"/>
    <w:rsid w:val="00D20482"/>
    <w:rsid w:val="00D209B6"/>
    <w:rsid w:val="00D209C7"/>
    <w:rsid w:val="00D20D83"/>
    <w:rsid w:val="00D21A55"/>
    <w:rsid w:val="00D21C4C"/>
    <w:rsid w:val="00D220D7"/>
    <w:rsid w:val="00D22CE8"/>
    <w:rsid w:val="00D22E12"/>
    <w:rsid w:val="00D22E40"/>
    <w:rsid w:val="00D23A0C"/>
    <w:rsid w:val="00D2495E"/>
    <w:rsid w:val="00D2508E"/>
    <w:rsid w:val="00D252CF"/>
    <w:rsid w:val="00D2531B"/>
    <w:rsid w:val="00D2535D"/>
    <w:rsid w:val="00D25C68"/>
    <w:rsid w:val="00D25D6A"/>
    <w:rsid w:val="00D2648A"/>
    <w:rsid w:val="00D268BD"/>
    <w:rsid w:val="00D26A7E"/>
    <w:rsid w:val="00D26F9C"/>
    <w:rsid w:val="00D27629"/>
    <w:rsid w:val="00D27C1C"/>
    <w:rsid w:val="00D27E7D"/>
    <w:rsid w:val="00D27ED4"/>
    <w:rsid w:val="00D305D7"/>
    <w:rsid w:val="00D30CE5"/>
    <w:rsid w:val="00D310C3"/>
    <w:rsid w:val="00D311EA"/>
    <w:rsid w:val="00D31815"/>
    <w:rsid w:val="00D31B21"/>
    <w:rsid w:val="00D31FB7"/>
    <w:rsid w:val="00D3245C"/>
    <w:rsid w:val="00D32AE9"/>
    <w:rsid w:val="00D33390"/>
    <w:rsid w:val="00D3344D"/>
    <w:rsid w:val="00D33762"/>
    <w:rsid w:val="00D33BEC"/>
    <w:rsid w:val="00D33D24"/>
    <w:rsid w:val="00D3496C"/>
    <w:rsid w:val="00D34F9C"/>
    <w:rsid w:val="00D34FEF"/>
    <w:rsid w:val="00D35081"/>
    <w:rsid w:val="00D350CA"/>
    <w:rsid w:val="00D35540"/>
    <w:rsid w:val="00D35D23"/>
    <w:rsid w:val="00D36844"/>
    <w:rsid w:val="00D36A18"/>
    <w:rsid w:val="00D37BD7"/>
    <w:rsid w:val="00D37E25"/>
    <w:rsid w:val="00D37F93"/>
    <w:rsid w:val="00D4061B"/>
    <w:rsid w:val="00D40822"/>
    <w:rsid w:val="00D40B18"/>
    <w:rsid w:val="00D40C7F"/>
    <w:rsid w:val="00D40DB3"/>
    <w:rsid w:val="00D40F7D"/>
    <w:rsid w:val="00D418E5"/>
    <w:rsid w:val="00D41951"/>
    <w:rsid w:val="00D421C5"/>
    <w:rsid w:val="00D4334F"/>
    <w:rsid w:val="00D43793"/>
    <w:rsid w:val="00D43B46"/>
    <w:rsid w:val="00D45380"/>
    <w:rsid w:val="00D460C8"/>
    <w:rsid w:val="00D461F3"/>
    <w:rsid w:val="00D471FD"/>
    <w:rsid w:val="00D50678"/>
    <w:rsid w:val="00D509D4"/>
    <w:rsid w:val="00D50B53"/>
    <w:rsid w:val="00D50D0E"/>
    <w:rsid w:val="00D5115E"/>
    <w:rsid w:val="00D51495"/>
    <w:rsid w:val="00D514EE"/>
    <w:rsid w:val="00D518BE"/>
    <w:rsid w:val="00D518DA"/>
    <w:rsid w:val="00D51C2A"/>
    <w:rsid w:val="00D51EA7"/>
    <w:rsid w:val="00D5222E"/>
    <w:rsid w:val="00D52309"/>
    <w:rsid w:val="00D52A15"/>
    <w:rsid w:val="00D52B31"/>
    <w:rsid w:val="00D52C7A"/>
    <w:rsid w:val="00D5332D"/>
    <w:rsid w:val="00D537B9"/>
    <w:rsid w:val="00D53A6C"/>
    <w:rsid w:val="00D53AC1"/>
    <w:rsid w:val="00D53C0B"/>
    <w:rsid w:val="00D541E7"/>
    <w:rsid w:val="00D543B9"/>
    <w:rsid w:val="00D54931"/>
    <w:rsid w:val="00D549D3"/>
    <w:rsid w:val="00D54E30"/>
    <w:rsid w:val="00D551D8"/>
    <w:rsid w:val="00D55480"/>
    <w:rsid w:val="00D55655"/>
    <w:rsid w:val="00D55B78"/>
    <w:rsid w:val="00D55D27"/>
    <w:rsid w:val="00D56616"/>
    <w:rsid w:val="00D56731"/>
    <w:rsid w:val="00D568C5"/>
    <w:rsid w:val="00D568D7"/>
    <w:rsid w:val="00D569BB"/>
    <w:rsid w:val="00D56B62"/>
    <w:rsid w:val="00D573B4"/>
    <w:rsid w:val="00D6000A"/>
    <w:rsid w:val="00D612AB"/>
    <w:rsid w:val="00D617AC"/>
    <w:rsid w:val="00D61BB9"/>
    <w:rsid w:val="00D61D10"/>
    <w:rsid w:val="00D621F1"/>
    <w:rsid w:val="00D622F3"/>
    <w:rsid w:val="00D624F3"/>
    <w:rsid w:val="00D6250C"/>
    <w:rsid w:val="00D62890"/>
    <w:rsid w:val="00D62B16"/>
    <w:rsid w:val="00D63313"/>
    <w:rsid w:val="00D641CC"/>
    <w:rsid w:val="00D64586"/>
    <w:rsid w:val="00D64905"/>
    <w:rsid w:val="00D6505C"/>
    <w:rsid w:val="00D6554C"/>
    <w:rsid w:val="00D65D0E"/>
    <w:rsid w:val="00D65F5E"/>
    <w:rsid w:val="00D66332"/>
    <w:rsid w:val="00D66342"/>
    <w:rsid w:val="00D66558"/>
    <w:rsid w:val="00D665B0"/>
    <w:rsid w:val="00D670AC"/>
    <w:rsid w:val="00D67133"/>
    <w:rsid w:val="00D6729A"/>
    <w:rsid w:val="00D674FC"/>
    <w:rsid w:val="00D67654"/>
    <w:rsid w:val="00D677DE"/>
    <w:rsid w:val="00D67E86"/>
    <w:rsid w:val="00D70124"/>
    <w:rsid w:val="00D717CE"/>
    <w:rsid w:val="00D7218A"/>
    <w:rsid w:val="00D72704"/>
    <w:rsid w:val="00D7287A"/>
    <w:rsid w:val="00D72F02"/>
    <w:rsid w:val="00D7315D"/>
    <w:rsid w:val="00D73583"/>
    <w:rsid w:val="00D7384C"/>
    <w:rsid w:val="00D738D6"/>
    <w:rsid w:val="00D73A15"/>
    <w:rsid w:val="00D73FF1"/>
    <w:rsid w:val="00D744C6"/>
    <w:rsid w:val="00D74D6D"/>
    <w:rsid w:val="00D74DC9"/>
    <w:rsid w:val="00D74EFE"/>
    <w:rsid w:val="00D75194"/>
    <w:rsid w:val="00D7554B"/>
    <w:rsid w:val="00D757B5"/>
    <w:rsid w:val="00D75865"/>
    <w:rsid w:val="00D75C76"/>
    <w:rsid w:val="00D76058"/>
    <w:rsid w:val="00D760EF"/>
    <w:rsid w:val="00D7668D"/>
    <w:rsid w:val="00D768CD"/>
    <w:rsid w:val="00D76D19"/>
    <w:rsid w:val="00D76DE9"/>
    <w:rsid w:val="00D771D6"/>
    <w:rsid w:val="00D7748D"/>
    <w:rsid w:val="00D77683"/>
    <w:rsid w:val="00D80517"/>
    <w:rsid w:val="00D80839"/>
    <w:rsid w:val="00D809E5"/>
    <w:rsid w:val="00D80B66"/>
    <w:rsid w:val="00D80BA1"/>
    <w:rsid w:val="00D80D29"/>
    <w:rsid w:val="00D80D7F"/>
    <w:rsid w:val="00D80FC9"/>
    <w:rsid w:val="00D8139B"/>
    <w:rsid w:val="00D8179D"/>
    <w:rsid w:val="00D819C5"/>
    <w:rsid w:val="00D81B2C"/>
    <w:rsid w:val="00D81E64"/>
    <w:rsid w:val="00D82083"/>
    <w:rsid w:val="00D821CE"/>
    <w:rsid w:val="00D82212"/>
    <w:rsid w:val="00D83319"/>
    <w:rsid w:val="00D8349F"/>
    <w:rsid w:val="00D8367A"/>
    <w:rsid w:val="00D83ACD"/>
    <w:rsid w:val="00D83BF7"/>
    <w:rsid w:val="00D845F4"/>
    <w:rsid w:val="00D84CC5"/>
    <w:rsid w:val="00D85405"/>
    <w:rsid w:val="00D85799"/>
    <w:rsid w:val="00D85811"/>
    <w:rsid w:val="00D85B82"/>
    <w:rsid w:val="00D868E9"/>
    <w:rsid w:val="00D869D3"/>
    <w:rsid w:val="00D86A5C"/>
    <w:rsid w:val="00D873C2"/>
    <w:rsid w:val="00D87677"/>
    <w:rsid w:val="00D879E0"/>
    <w:rsid w:val="00D87D1A"/>
    <w:rsid w:val="00D9020F"/>
    <w:rsid w:val="00D903DF"/>
    <w:rsid w:val="00D90469"/>
    <w:rsid w:val="00D90907"/>
    <w:rsid w:val="00D90ADF"/>
    <w:rsid w:val="00D90E01"/>
    <w:rsid w:val="00D91C22"/>
    <w:rsid w:val="00D920BA"/>
    <w:rsid w:val="00D92138"/>
    <w:rsid w:val="00D922A8"/>
    <w:rsid w:val="00D92684"/>
    <w:rsid w:val="00D926E6"/>
    <w:rsid w:val="00D927EB"/>
    <w:rsid w:val="00D9320F"/>
    <w:rsid w:val="00D9340F"/>
    <w:rsid w:val="00D93837"/>
    <w:rsid w:val="00D93AFE"/>
    <w:rsid w:val="00D93B31"/>
    <w:rsid w:val="00D943FA"/>
    <w:rsid w:val="00D94476"/>
    <w:rsid w:val="00D94A21"/>
    <w:rsid w:val="00D95020"/>
    <w:rsid w:val="00D953AA"/>
    <w:rsid w:val="00D954A6"/>
    <w:rsid w:val="00D9561E"/>
    <w:rsid w:val="00D96B9C"/>
    <w:rsid w:val="00D970CA"/>
    <w:rsid w:val="00D97694"/>
    <w:rsid w:val="00D97A76"/>
    <w:rsid w:val="00D97BF7"/>
    <w:rsid w:val="00D97C9E"/>
    <w:rsid w:val="00D97CAA"/>
    <w:rsid w:val="00DA0465"/>
    <w:rsid w:val="00DA0BDD"/>
    <w:rsid w:val="00DA11CC"/>
    <w:rsid w:val="00DA12D3"/>
    <w:rsid w:val="00DA16C1"/>
    <w:rsid w:val="00DA1C8D"/>
    <w:rsid w:val="00DA27D6"/>
    <w:rsid w:val="00DA29C1"/>
    <w:rsid w:val="00DA3347"/>
    <w:rsid w:val="00DA3539"/>
    <w:rsid w:val="00DA3854"/>
    <w:rsid w:val="00DA39DD"/>
    <w:rsid w:val="00DA3A1B"/>
    <w:rsid w:val="00DA3AEA"/>
    <w:rsid w:val="00DA3BEA"/>
    <w:rsid w:val="00DA3C3B"/>
    <w:rsid w:val="00DA3E17"/>
    <w:rsid w:val="00DA44AC"/>
    <w:rsid w:val="00DA461B"/>
    <w:rsid w:val="00DA4A6F"/>
    <w:rsid w:val="00DA50D5"/>
    <w:rsid w:val="00DA54A0"/>
    <w:rsid w:val="00DA5A81"/>
    <w:rsid w:val="00DA5A98"/>
    <w:rsid w:val="00DA63F8"/>
    <w:rsid w:val="00DA6566"/>
    <w:rsid w:val="00DA674C"/>
    <w:rsid w:val="00DA6F96"/>
    <w:rsid w:val="00DB16D3"/>
    <w:rsid w:val="00DB17FC"/>
    <w:rsid w:val="00DB2331"/>
    <w:rsid w:val="00DB24DE"/>
    <w:rsid w:val="00DB27BC"/>
    <w:rsid w:val="00DB2C87"/>
    <w:rsid w:val="00DB32DB"/>
    <w:rsid w:val="00DB3A07"/>
    <w:rsid w:val="00DB406C"/>
    <w:rsid w:val="00DB40F7"/>
    <w:rsid w:val="00DB41B1"/>
    <w:rsid w:val="00DB4305"/>
    <w:rsid w:val="00DB43F1"/>
    <w:rsid w:val="00DB46A7"/>
    <w:rsid w:val="00DB4983"/>
    <w:rsid w:val="00DB541B"/>
    <w:rsid w:val="00DB56DF"/>
    <w:rsid w:val="00DB5928"/>
    <w:rsid w:val="00DB6585"/>
    <w:rsid w:val="00DB6827"/>
    <w:rsid w:val="00DB6D7F"/>
    <w:rsid w:val="00DB7565"/>
    <w:rsid w:val="00DB7B0E"/>
    <w:rsid w:val="00DB7C1A"/>
    <w:rsid w:val="00DC00DC"/>
    <w:rsid w:val="00DC032D"/>
    <w:rsid w:val="00DC0EE9"/>
    <w:rsid w:val="00DC1E48"/>
    <w:rsid w:val="00DC2002"/>
    <w:rsid w:val="00DC205F"/>
    <w:rsid w:val="00DC265D"/>
    <w:rsid w:val="00DC27AF"/>
    <w:rsid w:val="00DC284A"/>
    <w:rsid w:val="00DC286A"/>
    <w:rsid w:val="00DC2BE5"/>
    <w:rsid w:val="00DC33A4"/>
    <w:rsid w:val="00DC3A14"/>
    <w:rsid w:val="00DC409A"/>
    <w:rsid w:val="00DC42EF"/>
    <w:rsid w:val="00DC540F"/>
    <w:rsid w:val="00DC5AE6"/>
    <w:rsid w:val="00DC6292"/>
    <w:rsid w:val="00DC70BE"/>
    <w:rsid w:val="00DC71E8"/>
    <w:rsid w:val="00DC734C"/>
    <w:rsid w:val="00DC7F29"/>
    <w:rsid w:val="00DD029F"/>
    <w:rsid w:val="00DD02F5"/>
    <w:rsid w:val="00DD1AA5"/>
    <w:rsid w:val="00DD1E37"/>
    <w:rsid w:val="00DD21D1"/>
    <w:rsid w:val="00DD27F2"/>
    <w:rsid w:val="00DD2BF9"/>
    <w:rsid w:val="00DD2C57"/>
    <w:rsid w:val="00DD3899"/>
    <w:rsid w:val="00DD3B9D"/>
    <w:rsid w:val="00DD4670"/>
    <w:rsid w:val="00DD520D"/>
    <w:rsid w:val="00DD5FAF"/>
    <w:rsid w:val="00DD5FD4"/>
    <w:rsid w:val="00DD6562"/>
    <w:rsid w:val="00DD71B9"/>
    <w:rsid w:val="00DD7267"/>
    <w:rsid w:val="00DD75CC"/>
    <w:rsid w:val="00DD7EEC"/>
    <w:rsid w:val="00DE0E90"/>
    <w:rsid w:val="00DE1664"/>
    <w:rsid w:val="00DE18ED"/>
    <w:rsid w:val="00DE1C21"/>
    <w:rsid w:val="00DE1E35"/>
    <w:rsid w:val="00DE1E54"/>
    <w:rsid w:val="00DE2128"/>
    <w:rsid w:val="00DE27F3"/>
    <w:rsid w:val="00DE312B"/>
    <w:rsid w:val="00DE371C"/>
    <w:rsid w:val="00DE3850"/>
    <w:rsid w:val="00DE521E"/>
    <w:rsid w:val="00DE5456"/>
    <w:rsid w:val="00DE55BC"/>
    <w:rsid w:val="00DE6582"/>
    <w:rsid w:val="00DE68F8"/>
    <w:rsid w:val="00DE70A5"/>
    <w:rsid w:val="00DE7837"/>
    <w:rsid w:val="00DF00D1"/>
    <w:rsid w:val="00DF0498"/>
    <w:rsid w:val="00DF05C8"/>
    <w:rsid w:val="00DF06AE"/>
    <w:rsid w:val="00DF0A01"/>
    <w:rsid w:val="00DF142C"/>
    <w:rsid w:val="00DF172C"/>
    <w:rsid w:val="00DF1934"/>
    <w:rsid w:val="00DF2BD5"/>
    <w:rsid w:val="00DF3A2E"/>
    <w:rsid w:val="00DF3EB8"/>
    <w:rsid w:val="00DF42CF"/>
    <w:rsid w:val="00DF438A"/>
    <w:rsid w:val="00DF478D"/>
    <w:rsid w:val="00DF47A7"/>
    <w:rsid w:val="00DF4833"/>
    <w:rsid w:val="00DF4840"/>
    <w:rsid w:val="00DF5659"/>
    <w:rsid w:val="00DF5BFF"/>
    <w:rsid w:val="00DF5DCF"/>
    <w:rsid w:val="00DF5F3C"/>
    <w:rsid w:val="00DF6432"/>
    <w:rsid w:val="00DF6980"/>
    <w:rsid w:val="00DF7765"/>
    <w:rsid w:val="00DF78B6"/>
    <w:rsid w:val="00E00029"/>
    <w:rsid w:val="00E002CC"/>
    <w:rsid w:val="00E00645"/>
    <w:rsid w:val="00E00DEE"/>
    <w:rsid w:val="00E00F99"/>
    <w:rsid w:val="00E013E1"/>
    <w:rsid w:val="00E014C8"/>
    <w:rsid w:val="00E01BCE"/>
    <w:rsid w:val="00E020DC"/>
    <w:rsid w:val="00E022CA"/>
    <w:rsid w:val="00E023A5"/>
    <w:rsid w:val="00E0272B"/>
    <w:rsid w:val="00E02847"/>
    <w:rsid w:val="00E030E3"/>
    <w:rsid w:val="00E037E8"/>
    <w:rsid w:val="00E037FF"/>
    <w:rsid w:val="00E03A3F"/>
    <w:rsid w:val="00E03F2B"/>
    <w:rsid w:val="00E040BC"/>
    <w:rsid w:val="00E046DD"/>
    <w:rsid w:val="00E04727"/>
    <w:rsid w:val="00E04756"/>
    <w:rsid w:val="00E04953"/>
    <w:rsid w:val="00E054B3"/>
    <w:rsid w:val="00E05E8F"/>
    <w:rsid w:val="00E05EAF"/>
    <w:rsid w:val="00E05EDC"/>
    <w:rsid w:val="00E05F17"/>
    <w:rsid w:val="00E0602A"/>
    <w:rsid w:val="00E0605B"/>
    <w:rsid w:val="00E06C14"/>
    <w:rsid w:val="00E0718E"/>
    <w:rsid w:val="00E07724"/>
    <w:rsid w:val="00E07AAD"/>
    <w:rsid w:val="00E07B74"/>
    <w:rsid w:val="00E102ED"/>
    <w:rsid w:val="00E1082F"/>
    <w:rsid w:val="00E10B68"/>
    <w:rsid w:val="00E10E0C"/>
    <w:rsid w:val="00E1101F"/>
    <w:rsid w:val="00E1174C"/>
    <w:rsid w:val="00E118E0"/>
    <w:rsid w:val="00E11E95"/>
    <w:rsid w:val="00E121F3"/>
    <w:rsid w:val="00E12447"/>
    <w:rsid w:val="00E12874"/>
    <w:rsid w:val="00E12972"/>
    <w:rsid w:val="00E141FF"/>
    <w:rsid w:val="00E1473F"/>
    <w:rsid w:val="00E14793"/>
    <w:rsid w:val="00E14D18"/>
    <w:rsid w:val="00E14ED1"/>
    <w:rsid w:val="00E15B45"/>
    <w:rsid w:val="00E15F66"/>
    <w:rsid w:val="00E161D2"/>
    <w:rsid w:val="00E16205"/>
    <w:rsid w:val="00E1679A"/>
    <w:rsid w:val="00E16B09"/>
    <w:rsid w:val="00E16BD1"/>
    <w:rsid w:val="00E1790D"/>
    <w:rsid w:val="00E17E96"/>
    <w:rsid w:val="00E17FF5"/>
    <w:rsid w:val="00E20644"/>
    <w:rsid w:val="00E209AA"/>
    <w:rsid w:val="00E20A07"/>
    <w:rsid w:val="00E20AC2"/>
    <w:rsid w:val="00E20E18"/>
    <w:rsid w:val="00E20EA4"/>
    <w:rsid w:val="00E21168"/>
    <w:rsid w:val="00E2171D"/>
    <w:rsid w:val="00E2175F"/>
    <w:rsid w:val="00E21CAB"/>
    <w:rsid w:val="00E21DBF"/>
    <w:rsid w:val="00E221AF"/>
    <w:rsid w:val="00E22B8F"/>
    <w:rsid w:val="00E23D95"/>
    <w:rsid w:val="00E245ED"/>
    <w:rsid w:val="00E24647"/>
    <w:rsid w:val="00E24803"/>
    <w:rsid w:val="00E2525D"/>
    <w:rsid w:val="00E25440"/>
    <w:rsid w:val="00E25621"/>
    <w:rsid w:val="00E25978"/>
    <w:rsid w:val="00E25A39"/>
    <w:rsid w:val="00E25A66"/>
    <w:rsid w:val="00E25AE4"/>
    <w:rsid w:val="00E268B7"/>
    <w:rsid w:val="00E26E1B"/>
    <w:rsid w:val="00E27A13"/>
    <w:rsid w:val="00E30386"/>
    <w:rsid w:val="00E303BB"/>
    <w:rsid w:val="00E30C90"/>
    <w:rsid w:val="00E30FEB"/>
    <w:rsid w:val="00E31018"/>
    <w:rsid w:val="00E3158F"/>
    <w:rsid w:val="00E319A4"/>
    <w:rsid w:val="00E31D37"/>
    <w:rsid w:val="00E31F3F"/>
    <w:rsid w:val="00E320B3"/>
    <w:rsid w:val="00E3214F"/>
    <w:rsid w:val="00E322CF"/>
    <w:rsid w:val="00E32BA1"/>
    <w:rsid w:val="00E32D1C"/>
    <w:rsid w:val="00E32FC1"/>
    <w:rsid w:val="00E3334C"/>
    <w:rsid w:val="00E34FA1"/>
    <w:rsid w:val="00E35400"/>
    <w:rsid w:val="00E35904"/>
    <w:rsid w:val="00E3633B"/>
    <w:rsid w:val="00E369EB"/>
    <w:rsid w:val="00E3742D"/>
    <w:rsid w:val="00E37445"/>
    <w:rsid w:val="00E37984"/>
    <w:rsid w:val="00E403F4"/>
    <w:rsid w:val="00E40665"/>
    <w:rsid w:val="00E412F5"/>
    <w:rsid w:val="00E41F1D"/>
    <w:rsid w:val="00E42717"/>
    <w:rsid w:val="00E43080"/>
    <w:rsid w:val="00E431ED"/>
    <w:rsid w:val="00E4334D"/>
    <w:rsid w:val="00E438D3"/>
    <w:rsid w:val="00E43C08"/>
    <w:rsid w:val="00E43F90"/>
    <w:rsid w:val="00E4415D"/>
    <w:rsid w:val="00E44B88"/>
    <w:rsid w:val="00E45E07"/>
    <w:rsid w:val="00E46A11"/>
    <w:rsid w:val="00E46B16"/>
    <w:rsid w:val="00E473F2"/>
    <w:rsid w:val="00E474DE"/>
    <w:rsid w:val="00E475B5"/>
    <w:rsid w:val="00E47F45"/>
    <w:rsid w:val="00E502B9"/>
    <w:rsid w:val="00E503F5"/>
    <w:rsid w:val="00E509F2"/>
    <w:rsid w:val="00E50E2C"/>
    <w:rsid w:val="00E5126E"/>
    <w:rsid w:val="00E5163C"/>
    <w:rsid w:val="00E51BDB"/>
    <w:rsid w:val="00E51C64"/>
    <w:rsid w:val="00E52368"/>
    <w:rsid w:val="00E52D4A"/>
    <w:rsid w:val="00E53482"/>
    <w:rsid w:val="00E546D1"/>
    <w:rsid w:val="00E546ED"/>
    <w:rsid w:val="00E5484E"/>
    <w:rsid w:val="00E548AC"/>
    <w:rsid w:val="00E54C34"/>
    <w:rsid w:val="00E54F98"/>
    <w:rsid w:val="00E5520D"/>
    <w:rsid w:val="00E5571A"/>
    <w:rsid w:val="00E557B6"/>
    <w:rsid w:val="00E55CC9"/>
    <w:rsid w:val="00E5641D"/>
    <w:rsid w:val="00E56B8E"/>
    <w:rsid w:val="00E56DF1"/>
    <w:rsid w:val="00E57B28"/>
    <w:rsid w:val="00E57D10"/>
    <w:rsid w:val="00E57DD7"/>
    <w:rsid w:val="00E60407"/>
    <w:rsid w:val="00E60C85"/>
    <w:rsid w:val="00E6160D"/>
    <w:rsid w:val="00E6182E"/>
    <w:rsid w:val="00E61873"/>
    <w:rsid w:val="00E619AD"/>
    <w:rsid w:val="00E62130"/>
    <w:rsid w:val="00E626E3"/>
    <w:rsid w:val="00E627F5"/>
    <w:rsid w:val="00E639B8"/>
    <w:rsid w:val="00E643D8"/>
    <w:rsid w:val="00E6470E"/>
    <w:rsid w:val="00E64F08"/>
    <w:rsid w:val="00E65999"/>
    <w:rsid w:val="00E65DAF"/>
    <w:rsid w:val="00E662CB"/>
    <w:rsid w:val="00E666E9"/>
    <w:rsid w:val="00E668C4"/>
    <w:rsid w:val="00E66BDB"/>
    <w:rsid w:val="00E677D0"/>
    <w:rsid w:val="00E677D2"/>
    <w:rsid w:val="00E70C8C"/>
    <w:rsid w:val="00E70D71"/>
    <w:rsid w:val="00E70E3D"/>
    <w:rsid w:val="00E71080"/>
    <w:rsid w:val="00E7132D"/>
    <w:rsid w:val="00E71365"/>
    <w:rsid w:val="00E7189E"/>
    <w:rsid w:val="00E71BA7"/>
    <w:rsid w:val="00E71DDC"/>
    <w:rsid w:val="00E723A5"/>
    <w:rsid w:val="00E7251D"/>
    <w:rsid w:val="00E7258A"/>
    <w:rsid w:val="00E72766"/>
    <w:rsid w:val="00E7281F"/>
    <w:rsid w:val="00E72A9F"/>
    <w:rsid w:val="00E73268"/>
    <w:rsid w:val="00E73A7E"/>
    <w:rsid w:val="00E73B8C"/>
    <w:rsid w:val="00E74090"/>
    <w:rsid w:val="00E7412E"/>
    <w:rsid w:val="00E746FF"/>
    <w:rsid w:val="00E74D1B"/>
    <w:rsid w:val="00E750D5"/>
    <w:rsid w:val="00E751A0"/>
    <w:rsid w:val="00E75497"/>
    <w:rsid w:val="00E7589F"/>
    <w:rsid w:val="00E758AA"/>
    <w:rsid w:val="00E75BA8"/>
    <w:rsid w:val="00E75FC1"/>
    <w:rsid w:val="00E761A2"/>
    <w:rsid w:val="00E7639E"/>
    <w:rsid w:val="00E76847"/>
    <w:rsid w:val="00E7717B"/>
    <w:rsid w:val="00E771FD"/>
    <w:rsid w:val="00E775FD"/>
    <w:rsid w:val="00E778B9"/>
    <w:rsid w:val="00E77DA0"/>
    <w:rsid w:val="00E77FCE"/>
    <w:rsid w:val="00E77FD9"/>
    <w:rsid w:val="00E8027B"/>
    <w:rsid w:val="00E8032A"/>
    <w:rsid w:val="00E80E16"/>
    <w:rsid w:val="00E81CA1"/>
    <w:rsid w:val="00E825A5"/>
    <w:rsid w:val="00E82B6F"/>
    <w:rsid w:val="00E83568"/>
    <w:rsid w:val="00E83777"/>
    <w:rsid w:val="00E83C38"/>
    <w:rsid w:val="00E83D43"/>
    <w:rsid w:val="00E847B4"/>
    <w:rsid w:val="00E84BCB"/>
    <w:rsid w:val="00E850E9"/>
    <w:rsid w:val="00E86243"/>
    <w:rsid w:val="00E8632E"/>
    <w:rsid w:val="00E86AE9"/>
    <w:rsid w:val="00E86B43"/>
    <w:rsid w:val="00E87525"/>
    <w:rsid w:val="00E9009E"/>
    <w:rsid w:val="00E916A4"/>
    <w:rsid w:val="00E9174D"/>
    <w:rsid w:val="00E9176D"/>
    <w:rsid w:val="00E92572"/>
    <w:rsid w:val="00E92BD4"/>
    <w:rsid w:val="00E9343E"/>
    <w:rsid w:val="00E93B0A"/>
    <w:rsid w:val="00E93FDB"/>
    <w:rsid w:val="00E94538"/>
    <w:rsid w:val="00E950AB"/>
    <w:rsid w:val="00E953A1"/>
    <w:rsid w:val="00E95401"/>
    <w:rsid w:val="00E956C3"/>
    <w:rsid w:val="00E9605C"/>
    <w:rsid w:val="00E96109"/>
    <w:rsid w:val="00E966D9"/>
    <w:rsid w:val="00E96E3E"/>
    <w:rsid w:val="00E96FF0"/>
    <w:rsid w:val="00E97523"/>
    <w:rsid w:val="00E9760C"/>
    <w:rsid w:val="00E97E74"/>
    <w:rsid w:val="00EA0510"/>
    <w:rsid w:val="00EA0548"/>
    <w:rsid w:val="00EA08D0"/>
    <w:rsid w:val="00EA11AF"/>
    <w:rsid w:val="00EA14C0"/>
    <w:rsid w:val="00EA22A1"/>
    <w:rsid w:val="00EA2716"/>
    <w:rsid w:val="00EA27AD"/>
    <w:rsid w:val="00EA28BE"/>
    <w:rsid w:val="00EA2D3A"/>
    <w:rsid w:val="00EA3081"/>
    <w:rsid w:val="00EA31E2"/>
    <w:rsid w:val="00EA320D"/>
    <w:rsid w:val="00EA375A"/>
    <w:rsid w:val="00EA3791"/>
    <w:rsid w:val="00EA37B4"/>
    <w:rsid w:val="00EA389A"/>
    <w:rsid w:val="00EA3EFF"/>
    <w:rsid w:val="00EA43FB"/>
    <w:rsid w:val="00EA45B9"/>
    <w:rsid w:val="00EA4E22"/>
    <w:rsid w:val="00EA50B8"/>
    <w:rsid w:val="00EA50BB"/>
    <w:rsid w:val="00EA5358"/>
    <w:rsid w:val="00EA53BA"/>
    <w:rsid w:val="00EA5568"/>
    <w:rsid w:val="00EA5A07"/>
    <w:rsid w:val="00EA60A2"/>
    <w:rsid w:val="00EA615A"/>
    <w:rsid w:val="00EA61CB"/>
    <w:rsid w:val="00EA636C"/>
    <w:rsid w:val="00EA6874"/>
    <w:rsid w:val="00EA68C0"/>
    <w:rsid w:val="00EA6BFC"/>
    <w:rsid w:val="00EA6C91"/>
    <w:rsid w:val="00EA6FB6"/>
    <w:rsid w:val="00EA74E9"/>
    <w:rsid w:val="00EA7FE8"/>
    <w:rsid w:val="00EB0B66"/>
    <w:rsid w:val="00EB1EE5"/>
    <w:rsid w:val="00EB2181"/>
    <w:rsid w:val="00EB2560"/>
    <w:rsid w:val="00EB2C37"/>
    <w:rsid w:val="00EB2D90"/>
    <w:rsid w:val="00EB3147"/>
    <w:rsid w:val="00EB3219"/>
    <w:rsid w:val="00EB3A1C"/>
    <w:rsid w:val="00EB3EA1"/>
    <w:rsid w:val="00EB414E"/>
    <w:rsid w:val="00EB518A"/>
    <w:rsid w:val="00EB54A8"/>
    <w:rsid w:val="00EB5703"/>
    <w:rsid w:val="00EB5E0D"/>
    <w:rsid w:val="00EB6119"/>
    <w:rsid w:val="00EB619C"/>
    <w:rsid w:val="00EB6247"/>
    <w:rsid w:val="00EB6445"/>
    <w:rsid w:val="00EB644F"/>
    <w:rsid w:val="00EB6848"/>
    <w:rsid w:val="00EB6A86"/>
    <w:rsid w:val="00EB6B5E"/>
    <w:rsid w:val="00EB7649"/>
    <w:rsid w:val="00EB7FB2"/>
    <w:rsid w:val="00EC0341"/>
    <w:rsid w:val="00EC03A4"/>
    <w:rsid w:val="00EC0923"/>
    <w:rsid w:val="00EC134E"/>
    <w:rsid w:val="00EC14A5"/>
    <w:rsid w:val="00EC16C8"/>
    <w:rsid w:val="00EC3666"/>
    <w:rsid w:val="00EC405E"/>
    <w:rsid w:val="00EC4063"/>
    <w:rsid w:val="00EC42D4"/>
    <w:rsid w:val="00EC451A"/>
    <w:rsid w:val="00EC51D2"/>
    <w:rsid w:val="00EC557E"/>
    <w:rsid w:val="00EC5621"/>
    <w:rsid w:val="00EC6813"/>
    <w:rsid w:val="00EC6D33"/>
    <w:rsid w:val="00EC6DD4"/>
    <w:rsid w:val="00EC70A0"/>
    <w:rsid w:val="00EC7145"/>
    <w:rsid w:val="00EC7606"/>
    <w:rsid w:val="00ED113A"/>
    <w:rsid w:val="00ED244D"/>
    <w:rsid w:val="00ED2827"/>
    <w:rsid w:val="00ED2D17"/>
    <w:rsid w:val="00ED2D9E"/>
    <w:rsid w:val="00ED2ED1"/>
    <w:rsid w:val="00ED4CEC"/>
    <w:rsid w:val="00ED4EAB"/>
    <w:rsid w:val="00ED52F9"/>
    <w:rsid w:val="00ED55A9"/>
    <w:rsid w:val="00ED5790"/>
    <w:rsid w:val="00ED58AC"/>
    <w:rsid w:val="00ED60D6"/>
    <w:rsid w:val="00ED63E9"/>
    <w:rsid w:val="00ED661B"/>
    <w:rsid w:val="00ED6652"/>
    <w:rsid w:val="00ED67AF"/>
    <w:rsid w:val="00ED6D89"/>
    <w:rsid w:val="00ED7292"/>
    <w:rsid w:val="00ED768E"/>
    <w:rsid w:val="00ED7700"/>
    <w:rsid w:val="00EE0457"/>
    <w:rsid w:val="00EE0F6C"/>
    <w:rsid w:val="00EE111D"/>
    <w:rsid w:val="00EE1529"/>
    <w:rsid w:val="00EE15C5"/>
    <w:rsid w:val="00EE1762"/>
    <w:rsid w:val="00EE26E0"/>
    <w:rsid w:val="00EE2972"/>
    <w:rsid w:val="00EE2EDE"/>
    <w:rsid w:val="00EE32D4"/>
    <w:rsid w:val="00EE368F"/>
    <w:rsid w:val="00EE3891"/>
    <w:rsid w:val="00EE3AB8"/>
    <w:rsid w:val="00EE3E05"/>
    <w:rsid w:val="00EE4064"/>
    <w:rsid w:val="00EE438C"/>
    <w:rsid w:val="00EE4A0A"/>
    <w:rsid w:val="00EE4C8A"/>
    <w:rsid w:val="00EE4D66"/>
    <w:rsid w:val="00EE59D3"/>
    <w:rsid w:val="00EE5A56"/>
    <w:rsid w:val="00EE5F12"/>
    <w:rsid w:val="00EE6203"/>
    <w:rsid w:val="00EF0666"/>
    <w:rsid w:val="00EF0B6B"/>
    <w:rsid w:val="00EF0E56"/>
    <w:rsid w:val="00EF0FAA"/>
    <w:rsid w:val="00EF13AB"/>
    <w:rsid w:val="00EF1729"/>
    <w:rsid w:val="00EF1959"/>
    <w:rsid w:val="00EF1B59"/>
    <w:rsid w:val="00EF1FED"/>
    <w:rsid w:val="00EF2269"/>
    <w:rsid w:val="00EF2891"/>
    <w:rsid w:val="00EF2DFB"/>
    <w:rsid w:val="00EF3714"/>
    <w:rsid w:val="00EF48DC"/>
    <w:rsid w:val="00EF48FF"/>
    <w:rsid w:val="00EF4EDD"/>
    <w:rsid w:val="00EF53E4"/>
    <w:rsid w:val="00EF5452"/>
    <w:rsid w:val="00EF5564"/>
    <w:rsid w:val="00EF5990"/>
    <w:rsid w:val="00EF5B3F"/>
    <w:rsid w:val="00EF6098"/>
    <w:rsid w:val="00EF644F"/>
    <w:rsid w:val="00EF69EF"/>
    <w:rsid w:val="00EF74DE"/>
    <w:rsid w:val="00EF758E"/>
    <w:rsid w:val="00EF7B19"/>
    <w:rsid w:val="00EF7E63"/>
    <w:rsid w:val="00EF7F32"/>
    <w:rsid w:val="00EF7FDF"/>
    <w:rsid w:val="00F0019F"/>
    <w:rsid w:val="00F00254"/>
    <w:rsid w:val="00F00438"/>
    <w:rsid w:val="00F0045B"/>
    <w:rsid w:val="00F007AB"/>
    <w:rsid w:val="00F00897"/>
    <w:rsid w:val="00F00A2C"/>
    <w:rsid w:val="00F00AC6"/>
    <w:rsid w:val="00F00E5F"/>
    <w:rsid w:val="00F0137C"/>
    <w:rsid w:val="00F013EB"/>
    <w:rsid w:val="00F01448"/>
    <w:rsid w:val="00F01900"/>
    <w:rsid w:val="00F02700"/>
    <w:rsid w:val="00F0283C"/>
    <w:rsid w:val="00F02910"/>
    <w:rsid w:val="00F030E2"/>
    <w:rsid w:val="00F03143"/>
    <w:rsid w:val="00F034E7"/>
    <w:rsid w:val="00F04150"/>
    <w:rsid w:val="00F0496A"/>
    <w:rsid w:val="00F04977"/>
    <w:rsid w:val="00F04D15"/>
    <w:rsid w:val="00F04DF4"/>
    <w:rsid w:val="00F050B3"/>
    <w:rsid w:val="00F050DA"/>
    <w:rsid w:val="00F05234"/>
    <w:rsid w:val="00F05281"/>
    <w:rsid w:val="00F05843"/>
    <w:rsid w:val="00F06106"/>
    <w:rsid w:val="00F0611F"/>
    <w:rsid w:val="00F079DA"/>
    <w:rsid w:val="00F10253"/>
    <w:rsid w:val="00F10B23"/>
    <w:rsid w:val="00F10D8F"/>
    <w:rsid w:val="00F11089"/>
    <w:rsid w:val="00F11870"/>
    <w:rsid w:val="00F11E11"/>
    <w:rsid w:val="00F1268F"/>
    <w:rsid w:val="00F12E35"/>
    <w:rsid w:val="00F13611"/>
    <w:rsid w:val="00F136F0"/>
    <w:rsid w:val="00F13C76"/>
    <w:rsid w:val="00F1489F"/>
    <w:rsid w:val="00F148C2"/>
    <w:rsid w:val="00F14A9D"/>
    <w:rsid w:val="00F14C67"/>
    <w:rsid w:val="00F153FA"/>
    <w:rsid w:val="00F15968"/>
    <w:rsid w:val="00F15A2F"/>
    <w:rsid w:val="00F161F9"/>
    <w:rsid w:val="00F162BE"/>
    <w:rsid w:val="00F16587"/>
    <w:rsid w:val="00F1689F"/>
    <w:rsid w:val="00F169F8"/>
    <w:rsid w:val="00F16F36"/>
    <w:rsid w:val="00F17A7F"/>
    <w:rsid w:val="00F17EC6"/>
    <w:rsid w:val="00F20047"/>
    <w:rsid w:val="00F20228"/>
    <w:rsid w:val="00F20367"/>
    <w:rsid w:val="00F2047E"/>
    <w:rsid w:val="00F20DBC"/>
    <w:rsid w:val="00F2112D"/>
    <w:rsid w:val="00F21206"/>
    <w:rsid w:val="00F21888"/>
    <w:rsid w:val="00F21BEA"/>
    <w:rsid w:val="00F21ECA"/>
    <w:rsid w:val="00F2219B"/>
    <w:rsid w:val="00F2241A"/>
    <w:rsid w:val="00F22594"/>
    <w:rsid w:val="00F2392E"/>
    <w:rsid w:val="00F23D28"/>
    <w:rsid w:val="00F23EB7"/>
    <w:rsid w:val="00F2402F"/>
    <w:rsid w:val="00F24A01"/>
    <w:rsid w:val="00F25145"/>
    <w:rsid w:val="00F25261"/>
    <w:rsid w:val="00F25C45"/>
    <w:rsid w:val="00F25FE1"/>
    <w:rsid w:val="00F262A4"/>
    <w:rsid w:val="00F2636E"/>
    <w:rsid w:val="00F2691C"/>
    <w:rsid w:val="00F26A33"/>
    <w:rsid w:val="00F26D72"/>
    <w:rsid w:val="00F26F96"/>
    <w:rsid w:val="00F271A7"/>
    <w:rsid w:val="00F304D1"/>
    <w:rsid w:val="00F30639"/>
    <w:rsid w:val="00F30D2F"/>
    <w:rsid w:val="00F3112A"/>
    <w:rsid w:val="00F31734"/>
    <w:rsid w:val="00F31958"/>
    <w:rsid w:val="00F31BCB"/>
    <w:rsid w:val="00F32164"/>
    <w:rsid w:val="00F32495"/>
    <w:rsid w:val="00F32AE2"/>
    <w:rsid w:val="00F331D7"/>
    <w:rsid w:val="00F33292"/>
    <w:rsid w:val="00F33D8C"/>
    <w:rsid w:val="00F341B1"/>
    <w:rsid w:val="00F342BA"/>
    <w:rsid w:val="00F34D9B"/>
    <w:rsid w:val="00F3541A"/>
    <w:rsid w:val="00F35606"/>
    <w:rsid w:val="00F3560B"/>
    <w:rsid w:val="00F35654"/>
    <w:rsid w:val="00F36100"/>
    <w:rsid w:val="00F36162"/>
    <w:rsid w:val="00F36762"/>
    <w:rsid w:val="00F36901"/>
    <w:rsid w:val="00F36965"/>
    <w:rsid w:val="00F36A87"/>
    <w:rsid w:val="00F36AFB"/>
    <w:rsid w:val="00F36E1E"/>
    <w:rsid w:val="00F37109"/>
    <w:rsid w:val="00F372A8"/>
    <w:rsid w:val="00F37E43"/>
    <w:rsid w:val="00F4000F"/>
    <w:rsid w:val="00F40B1B"/>
    <w:rsid w:val="00F40F9D"/>
    <w:rsid w:val="00F41268"/>
    <w:rsid w:val="00F41387"/>
    <w:rsid w:val="00F41713"/>
    <w:rsid w:val="00F41BEB"/>
    <w:rsid w:val="00F41F84"/>
    <w:rsid w:val="00F42482"/>
    <w:rsid w:val="00F42EA3"/>
    <w:rsid w:val="00F42F35"/>
    <w:rsid w:val="00F433FA"/>
    <w:rsid w:val="00F4359D"/>
    <w:rsid w:val="00F43663"/>
    <w:rsid w:val="00F43759"/>
    <w:rsid w:val="00F43C31"/>
    <w:rsid w:val="00F4424A"/>
    <w:rsid w:val="00F44FDA"/>
    <w:rsid w:val="00F458F2"/>
    <w:rsid w:val="00F45A5D"/>
    <w:rsid w:val="00F45F58"/>
    <w:rsid w:val="00F46391"/>
    <w:rsid w:val="00F46EE5"/>
    <w:rsid w:val="00F46FF1"/>
    <w:rsid w:val="00F471C8"/>
    <w:rsid w:val="00F478D9"/>
    <w:rsid w:val="00F47B8E"/>
    <w:rsid w:val="00F47C1B"/>
    <w:rsid w:val="00F50001"/>
    <w:rsid w:val="00F50568"/>
    <w:rsid w:val="00F50941"/>
    <w:rsid w:val="00F50B46"/>
    <w:rsid w:val="00F5114F"/>
    <w:rsid w:val="00F51494"/>
    <w:rsid w:val="00F51E4B"/>
    <w:rsid w:val="00F524C7"/>
    <w:rsid w:val="00F52684"/>
    <w:rsid w:val="00F52861"/>
    <w:rsid w:val="00F52870"/>
    <w:rsid w:val="00F52DDC"/>
    <w:rsid w:val="00F52F25"/>
    <w:rsid w:val="00F53CC4"/>
    <w:rsid w:val="00F53D2B"/>
    <w:rsid w:val="00F5467B"/>
    <w:rsid w:val="00F54D13"/>
    <w:rsid w:val="00F559AF"/>
    <w:rsid w:val="00F5640C"/>
    <w:rsid w:val="00F56704"/>
    <w:rsid w:val="00F56B25"/>
    <w:rsid w:val="00F57100"/>
    <w:rsid w:val="00F57C2F"/>
    <w:rsid w:val="00F57C6B"/>
    <w:rsid w:val="00F57D74"/>
    <w:rsid w:val="00F57F4D"/>
    <w:rsid w:val="00F6004E"/>
    <w:rsid w:val="00F6055C"/>
    <w:rsid w:val="00F60820"/>
    <w:rsid w:val="00F6088A"/>
    <w:rsid w:val="00F608FD"/>
    <w:rsid w:val="00F609A1"/>
    <w:rsid w:val="00F61575"/>
    <w:rsid w:val="00F61BEC"/>
    <w:rsid w:val="00F62129"/>
    <w:rsid w:val="00F625C8"/>
    <w:rsid w:val="00F6297E"/>
    <w:rsid w:val="00F62BFC"/>
    <w:rsid w:val="00F62C5B"/>
    <w:rsid w:val="00F62ED9"/>
    <w:rsid w:val="00F62F33"/>
    <w:rsid w:val="00F634E8"/>
    <w:rsid w:val="00F637D1"/>
    <w:rsid w:val="00F6385B"/>
    <w:rsid w:val="00F63C0E"/>
    <w:rsid w:val="00F63CC6"/>
    <w:rsid w:val="00F63E02"/>
    <w:rsid w:val="00F63EF6"/>
    <w:rsid w:val="00F64190"/>
    <w:rsid w:val="00F6437B"/>
    <w:rsid w:val="00F6440E"/>
    <w:rsid w:val="00F647C8"/>
    <w:rsid w:val="00F64AB4"/>
    <w:rsid w:val="00F64F9E"/>
    <w:rsid w:val="00F65A9D"/>
    <w:rsid w:val="00F65EFE"/>
    <w:rsid w:val="00F66358"/>
    <w:rsid w:val="00F66A5E"/>
    <w:rsid w:val="00F66B86"/>
    <w:rsid w:val="00F670C0"/>
    <w:rsid w:val="00F67894"/>
    <w:rsid w:val="00F67A3E"/>
    <w:rsid w:val="00F67CBE"/>
    <w:rsid w:val="00F67DFF"/>
    <w:rsid w:val="00F67F6D"/>
    <w:rsid w:val="00F7002D"/>
    <w:rsid w:val="00F701A8"/>
    <w:rsid w:val="00F70626"/>
    <w:rsid w:val="00F70FAF"/>
    <w:rsid w:val="00F71288"/>
    <w:rsid w:val="00F71385"/>
    <w:rsid w:val="00F71428"/>
    <w:rsid w:val="00F71528"/>
    <w:rsid w:val="00F71F7F"/>
    <w:rsid w:val="00F72384"/>
    <w:rsid w:val="00F726E8"/>
    <w:rsid w:val="00F72D0B"/>
    <w:rsid w:val="00F73304"/>
    <w:rsid w:val="00F73346"/>
    <w:rsid w:val="00F73D1B"/>
    <w:rsid w:val="00F73E17"/>
    <w:rsid w:val="00F74EBF"/>
    <w:rsid w:val="00F74F9E"/>
    <w:rsid w:val="00F750B8"/>
    <w:rsid w:val="00F757EC"/>
    <w:rsid w:val="00F75BF3"/>
    <w:rsid w:val="00F76ACF"/>
    <w:rsid w:val="00F76AD8"/>
    <w:rsid w:val="00F76B39"/>
    <w:rsid w:val="00F76EFD"/>
    <w:rsid w:val="00F773BE"/>
    <w:rsid w:val="00F77A00"/>
    <w:rsid w:val="00F77AA8"/>
    <w:rsid w:val="00F77DBE"/>
    <w:rsid w:val="00F77DEF"/>
    <w:rsid w:val="00F8027B"/>
    <w:rsid w:val="00F807FD"/>
    <w:rsid w:val="00F81629"/>
    <w:rsid w:val="00F81651"/>
    <w:rsid w:val="00F81F21"/>
    <w:rsid w:val="00F8236E"/>
    <w:rsid w:val="00F8263D"/>
    <w:rsid w:val="00F827E0"/>
    <w:rsid w:val="00F831F3"/>
    <w:rsid w:val="00F835B8"/>
    <w:rsid w:val="00F83BED"/>
    <w:rsid w:val="00F84059"/>
    <w:rsid w:val="00F84613"/>
    <w:rsid w:val="00F85B1D"/>
    <w:rsid w:val="00F85BA1"/>
    <w:rsid w:val="00F85CAE"/>
    <w:rsid w:val="00F86367"/>
    <w:rsid w:val="00F86FA5"/>
    <w:rsid w:val="00F87595"/>
    <w:rsid w:val="00F877AF"/>
    <w:rsid w:val="00F87AB5"/>
    <w:rsid w:val="00F9047C"/>
    <w:rsid w:val="00F90AF5"/>
    <w:rsid w:val="00F90E84"/>
    <w:rsid w:val="00F9124B"/>
    <w:rsid w:val="00F91330"/>
    <w:rsid w:val="00F9164D"/>
    <w:rsid w:val="00F91A09"/>
    <w:rsid w:val="00F91DE9"/>
    <w:rsid w:val="00F92161"/>
    <w:rsid w:val="00F92556"/>
    <w:rsid w:val="00F92BA2"/>
    <w:rsid w:val="00F93134"/>
    <w:rsid w:val="00F9342D"/>
    <w:rsid w:val="00F9375B"/>
    <w:rsid w:val="00F93850"/>
    <w:rsid w:val="00F9450C"/>
    <w:rsid w:val="00F945C8"/>
    <w:rsid w:val="00F94929"/>
    <w:rsid w:val="00F949E0"/>
    <w:rsid w:val="00F951B9"/>
    <w:rsid w:val="00F959AB"/>
    <w:rsid w:val="00F966A0"/>
    <w:rsid w:val="00F96F4E"/>
    <w:rsid w:val="00F97526"/>
    <w:rsid w:val="00F97C3B"/>
    <w:rsid w:val="00F97D13"/>
    <w:rsid w:val="00F97F75"/>
    <w:rsid w:val="00FA0329"/>
    <w:rsid w:val="00FA0724"/>
    <w:rsid w:val="00FA08AC"/>
    <w:rsid w:val="00FA08DE"/>
    <w:rsid w:val="00FA0993"/>
    <w:rsid w:val="00FA0DD3"/>
    <w:rsid w:val="00FA137C"/>
    <w:rsid w:val="00FA13E7"/>
    <w:rsid w:val="00FA1535"/>
    <w:rsid w:val="00FA1894"/>
    <w:rsid w:val="00FA190D"/>
    <w:rsid w:val="00FA1E91"/>
    <w:rsid w:val="00FA1ECA"/>
    <w:rsid w:val="00FA22B8"/>
    <w:rsid w:val="00FA3AD0"/>
    <w:rsid w:val="00FA43AD"/>
    <w:rsid w:val="00FA482F"/>
    <w:rsid w:val="00FA4A69"/>
    <w:rsid w:val="00FA4BBA"/>
    <w:rsid w:val="00FA4E0B"/>
    <w:rsid w:val="00FA4F4F"/>
    <w:rsid w:val="00FA5203"/>
    <w:rsid w:val="00FA557A"/>
    <w:rsid w:val="00FA581E"/>
    <w:rsid w:val="00FA5AFE"/>
    <w:rsid w:val="00FA5C12"/>
    <w:rsid w:val="00FA64BA"/>
    <w:rsid w:val="00FA6E4B"/>
    <w:rsid w:val="00FA6E67"/>
    <w:rsid w:val="00FA70E4"/>
    <w:rsid w:val="00FA7268"/>
    <w:rsid w:val="00FA73DE"/>
    <w:rsid w:val="00FA73E8"/>
    <w:rsid w:val="00FA79C4"/>
    <w:rsid w:val="00FA7E6C"/>
    <w:rsid w:val="00FB015B"/>
    <w:rsid w:val="00FB0898"/>
    <w:rsid w:val="00FB0D8B"/>
    <w:rsid w:val="00FB0D9A"/>
    <w:rsid w:val="00FB0DFE"/>
    <w:rsid w:val="00FB1901"/>
    <w:rsid w:val="00FB1BD4"/>
    <w:rsid w:val="00FB1CF6"/>
    <w:rsid w:val="00FB210E"/>
    <w:rsid w:val="00FB240A"/>
    <w:rsid w:val="00FB243C"/>
    <w:rsid w:val="00FB2479"/>
    <w:rsid w:val="00FB274B"/>
    <w:rsid w:val="00FB2A16"/>
    <w:rsid w:val="00FB32F3"/>
    <w:rsid w:val="00FB35E4"/>
    <w:rsid w:val="00FB3C6D"/>
    <w:rsid w:val="00FB3EFF"/>
    <w:rsid w:val="00FB4627"/>
    <w:rsid w:val="00FB4875"/>
    <w:rsid w:val="00FB535F"/>
    <w:rsid w:val="00FB550A"/>
    <w:rsid w:val="00FB590E"/>
    <w:rsid w:val="00FB6A4B"/>
    <w:rsid w:val="00FB6BB9"/>
    <w:rsid w:val="00FB74A8"/>
    <w:rsid w:val="00FB78F8"/>
    <w:rsid w:val="00FB7C44"/>
    <w:rsid w:val="00FC0466"/>
    <w:rsid w:val="00FC05BF"/>
    <w:rsid w:val="00FC0718"/>
    <w:rsid w:val="00FC0D6D"/>
    <w:rsid w:val="00FC0EF9"/>
    <w:rsid w:val="00FC12E2"/>
    <w:rsid w:val="00FC1453"/>
    <w:rsid w:val="00FC1A8A"/>
    <w:rsid w:val="00FC1B22"/>
    <w:rsid w:val="00FC22B6"/>
    <w:rsid w:val="00FC26FD"/>
    <w:rsid w:val="00FC27E1"/>
    <w:rsid w:val="00FC29A9"/>
    <w:rsid w:val="00FC2ABF"/>
    <w:rsid w:val="00FC2CB7"/>
    <w:rsid w:val="00FC2D26"/>
    <w:rsid w:val="00FC2D84"/>
    <w:rsid w:val="00FC3722"/>
    <w:rsid w:val="00FC38D2"/>
    <w:rsid w:val="00FC4161"/>
    <w:rsid w:val="00FC438F"/>
    <w:rsid w:val="00FC4391"/>
    <w:rsid w:val="00FC44E3"/>
    <w:rsid w:val="00FC4CB0"/>
    <w:rsid w:val="00FC4DCE"/>
    <w:rsid w:val="00FC4E8C"/>
    <w:rsid w:val="00FC517A"/>
    <w:rsid w:val="00FC58B6"/>
    <w:rsid w:val="00FC5E05"/>
    <w:rsid w:val="00FC5F51"/>
    <w:rsid w:val="00FC62C0"/>
    <w:rsid w:val="00FC6528"/>
    <w:rsid w:val="00FC6B3A"/>
    <w:rsid w:val="00FC6F08"/>
    <w:rsid w:val="00FC7288"/>
    <w:rsid w:val="00FD0996"/>
    <w:rsid w:val="00FD0B92"/>
    <w:rsid w:val="00FD17B4"/>
    <w:rsid w:val="00FD192D"/>
    <w:rsid w:val="00FD1D66"/>
    <w:rsid w:val="00FD1E6A"/>
    <w:rsid w:val="00FD1F00"/>
    <w:rsid w:val="00FD2380"/>
    <w:rsid w:val="00FD24F6"/>
    <w:rsid w:val="00FD2844"/>
    <w:rsid w:val="00FD2CE8"/>
    <w:rsid w:val="00FD2ED9"/>
    <w:rsid w:val="00FD31EA"/>
    <w:rsid w:val="00FD321D"/>
    <w:rsid w:val="00FD35B7"/>
    <w:rsid w:val="00FD3DA3"/>
    <w:rsid w:val="00FD4663"/>
    <w:rsid w:val="00FD4B04"/>
    <w:rsid w:val="00FD4ED9"/>
    <w:rsid w:val="00FD56C1"/>
    <w:rsid w:val="00FD57EC"/>
    <w:rsid w:val="00FD5C94"/>
    <w:rsid w:val="00FD6193"/>
    <w:rsid w:val="00FD61E1"/>
    <w:rsid w:val="00FD61F0"/>
    <w:rsid w:val="00FD63F7"/>
    <w:rsid w:val="00FD67CC"/>
    <w:rsid w:val="00FD6A61"/>
    <w:rsid w:val="00FD6BF2"/>
    <w:rsid w:val="00FD71B7"/>
    <w:rsid w:val="00FD71F3"/>
    <w:rsid w:val="00FD721B"/>
    <w:rsid w:val="00FD746B"/>
    <w:rsid w:val="00FD778D"/>
    <w:rsid w:val="00FD7D60"/>
    <w:rsid w:val="00FE0771"/>
    <w:rsid w:val="00FE0877"/>
    <w:rsid w:val="00FE1262"/>
    <w:rsid w:val="00FE1457"/>
    <w:rsid w:val="00FE16B4"/>
    <w:rsid w:val="00FE24F1"/>
    <w:rsid w:val="00FE33AD"/>
    <w:rsid w:val="00FE3FCF"/>
    <w:rsid w:val="00FE4002"/>
    <w:rsid w:val="00FE4189"/>
    <w:rsid w:val="00FE43CD"/>
    <w:rsid w:val="00FE463C"/>
    <w:rsid w:val="00FE46C4"/>
    <w:rsid w:val="00FE4730"/>
    <w:rsid w:val="00FE4A91"/>
    <w:rsid w:val="00FE4B17"/>
    <w:rsid w:val="00FE592B"/>
    <w:rsid w:val="00FE675F"/>
    <w:rsid w:val="00FE6F89"/>
    <w:rsid w:val="00FE7036"/>
    <w:rsid w:val="00FE7096"/>
    <w:rsid w:val="00FE771E"/>
    <w:rsid w:val="00FE7A5F"/>
    <w:rsid w:val="00FE7C8E"/>
    <w:rsid w:val="00FF00BA"/>
    <w:rsid w:val="00FF0322"/>
    <w:rsid w:val="00FF06BA"/>
    <w:rsid w:val="00FF0759"/>
    <w:rsid w:val="00FF07CF"/>
    <w:rsid w:val="00FF0B7F"/>
    <w:rsid w:val="00FF0D33"/>
    <w:rsid w:val="00FF0FF7"/>
    <w:rsid w:val="00FF1019"/>
    <w:rsid w:val="00FF11CF"/>
    <w:rsid w:val="00FF1C29"/>
    <w:rsid w:val="00FF2261"/>
    <w:rsid w:val="00FF2C2B"/>
    <w:rsid w:val="00FF3519"/>
    <w:rsid w:val="00FF385F"/>
    <w:rsid w:val="00FF394F"/>
    <w:rsid w:val="00FF3B17"/>
    <w:rsid w:val="00FF43F2"/>
    <w:rsid w:val="00FF445D"/>
    <w:rsid w:val="00FF45C1"/>
    <w:rsid w:val="00FF4618"/>
    <w:rsid w:val="00FF4A15"/>
    <w:rsid w:val="00FF4D8F"/>
    <w:rsid w:val="00FF51B4"/>
    <w:rsid w:val="00FF529B"/>
    <w:rsid w:val="00FF552B"/>
    <w:rsid w:val="00FF5759"/>
    <w:rsid w:val="00FF6704"/>
    <w:rsid w:val="00FF6B68"/>
    <w:rsid w:val="0100B8BC"/>
    <w:rsid w:val="0114C1F3"/>
    <w:rsid w:val="0158E571"/>
    <w:rsid w:val="01ADFFF1"/>
    <w:rsid w:val="01B4F602"/>
    <w:rsid w:val="01CDE40E"/>
    <w:rsid w:val="01D5146C"/>
    <w:rsid w:val="01EA10EF"/>
    <w:rsid w:val="01FA7B07"/>
    <w:rsid w:val="02551484"/>
    <w:rsid w:val="02632E3B"/>
    <w:rsid w:val="02F3CD1B"/>
    <w:rsid w:val="038CEE9A"/>
    <w:rsid w:val="039559F8"/>
    <w:rsid w:val="03FA791B"/>
    <w:rsid w:val="04076EDA"/>
    <w:rsid w:val="0425618B"/>
    <w:rsid w:val="042DAFC8"/>
    <w:rsid w:val="04B72461"/>
    <w:rsid w:val="050F6383"/>
    <w:rsid w:val="0550E46A"/>
    <w:rsid w:val="05758C3D"/>
    <w:rsid w:val="059DD8FF"/>
    <w:rsid w:val="05AD40B3"/>
    <w:rsid w:val="06E5E6A3"/>
    <w:rsid w:val="06E9EDD6"/>
    <w:rsid w:val="06EE9675"/>
    <w:rsid w:val="075A6B3A"/>
    <w:rsid w:val="076A8254"/>
    <w:rsid w:val="078E5C95"/>
    <w:rsid w:val="07BE4BF7"/>
    <w:rsid w:val="081C2FFA"/>
    <w:rsid w:val="08A5EAA9"/>
    <w:rsid w:val="08AA3972"/>
    <w:rsid w:val="08C4BEE8"/>
    <w:rsid w:val="08CE9717"/>
    <w:rsid w:val="08F144FD"/>
    <w:rsid w:val="096229FA"/>
    <w:rsid w:val="09B87200"/>
    <w:rsid w:val="09BB1868"/>
    <w:rsid w:val="09C28E9F"/>
    <w:rsid w:val="09C691B3"/>
    <w:rsid w:val="09DC7847"/>
    <w:rsid w:val="0A702B68"/>
    <w:rsid w:val="0A9DDC77"/>
    <w:rsid w:val="0ACAF2EB"/>
    <w:rsid w:val="0AD6B2C8"/>
    <w:rsid w:val="0AE9A8E2"/>
    <w:rsid w:val="0AFF5E42"/>
    <w:rsid w:val="0B113C88"/>
    <w:rsid w:val="0B1913C3"/>
    <w:rsid w:val="0BCA1EA7"/>
    <w:rsid w:val="0C1A5C72"/>
    <w:rsid w:val="0C385CA7"/>
    <w:rsid w:val="0D1891AE"/>
    <w:rsid w:val="0D217789"/>
    <w:rsid w:val="0D6A3B76"/>
    <w:rsid w:val="0D7918F6"/>
    <w:rsid w:val="0DCDE098"/>
    <w:rsid w:val="0DDB2DC1"/>
    <w:rsid w:val="0DF9D529"/>
    <w:rsid w:val="0E0CCF0B"/>
    <w:rsid w:val="0E0D89FF"/>
    <w:rsid w:val="0E276D9A"/>
    <w:rsid w:val="0E41FA23"/>
    <w:rsid w:val="0E6A7349"/>
    <w:rsid w:val="0F2BD884"/>
    <w:rsid w:val="0FF43E64"/>
    <w:rsid w:val="101D74BB"/>
    <w:rsid w:val="104C1852"/>
    <w:rsid w:val="105E7095"/>
    <w:rsid w:val="1186ED37"/>
    <w:rsid w:val="118E3559"/>
    <w:rsid w:val="119E2F48"/>
    <w:rsid w:val="1215D138"/>
    <w:rsid w:val="121C47A7"/>
    <w:rsid w:val="12A383C8"/>
    <w:rsid w:val="12A9C957"/>
    <w:rsid w:val="12C93D1B"/>
    <w:rsid w:val="12EBA42A"/>
    <w:rsid w:val="12F3E360"/>
    <w:rsid w:val="130FCD3D"/>
    <w:rsid w:val="13725BA2"/>
    <w:rsid w:val="13E50AF4"/>
    <w:rsid w:val="13ECCADC"/>
    <w:rsid w:val="1401163A"/>
    <w:rsid w:val="1408BA1E"/>
    <w:rsid w:val="140A1271"/>
    <w:rsid w:val="1417C84E"/>
    <w:rsid w:val="14725C7E"/>
    <w:rsid w:val="148DA8D3"/>
    <w:rsid w:val="1499C607"/>
    <w:rsid w:val="149E6C1B"/>
    <w:rsid w:val="14D2F311"/>
    <w:rsid w:val="150FCCB9"/>
    <w:rsid w:val="152CDE0C"/>
    <w:rsid w:val="154992E0"/>
    <w:rsid w:val="15B6382E"/>
    <w:rsid w:val="163AB192"/>
    <w:rsid w:val="1680FC91"/>
    <w:rsid w:val="168CD695"/>
    <w:rsid w:val="16B0DB37"/>
    <w:rsid w:val="1782F900"/>
    <w:rsid w:val="17A3A2C5"/>
    <w:rsid w:val="180D8BF4"/>
    <w:rsid w:val="181D6AC1"/>
    <w:rsid w:val="18DC0447"/>
    <w:rsid w:val="18F9C155"/>
    <w:rsid w:val="190873E3"/>
    <w:rsid w:val="19AD09F3"/>
    <w:rsid w:val="19BB2B69"/>
    <w:rsid w:val="19BF5577"/>
    <w:rsid w:val="1A2A337A"/>
    <w:rsid w:val="1AC4BB8E"/>
    <w:rsid w:val="1AD366E0"/>
    <w:rsid w:val="1B129403"/>
    <w:rsid w:val="1B7BF937"/>
    <w:rsid w:val="1BB0F6CE"/>
    <w:rsid w:val="1BCAC108"/>
    <w:rsid w:val="1BF2704A"/>
    <w:rsid w:val="1BFEC87B"/>
    <w:rsid w:val="1C179D58"/>
    <w:rsid w:val="1C224F55"/>
    <w:rsid w:val="1C2A4489"/>
    <w:rsid w:val="1C516FB8"/>
    <w:rsid w:val="1C903875"/>
    <w:rsid w:val="1CFA41DF"/>
    <w:rsid w:val="1D5EA99B"/>
    <w:rsid w:val="1DDBF4C0"/>
    <w:rsid w:val="1E716213"/>
    <w:rsid w:val="1EA44790"/>
    <w:rsid w:val="1F09C3DC"/>
    <w:rsid w:val="1F1B0523"/>
    <w:rsid w:val="1F56FC2C"/>
    <w:rsid w:val="1F744230"/>
    <w:rsid w:val="1F770B94"/>
    <w:rsid w:val="1FFF813B"/>
    <w:rsid w:val="20E5E8B2"/>
    <w:rsid w:val="2102CA01"/>
    <w:rsid w:val="219D6125"/>
    <w:rsid w:val="21AA5A58"/>
    <w:rsid w:val="21ACD352"/>
    <w:rsid w:val="21C10E64"/>
    <w:rsid w:val="22439C9B"/>
    <w:rsid w:val="226326FD"/>
    <w:rsid w:val="228B4761"/>
    <w:rsid w:val="2297F2A3"/>
    <w:rsid w:val="232A9428"/>
    <w:rsid w:val="234136A2"/>
    <w:rsid w:val="23AAF3BA"/>
    <w:rsid w:val="240EF681"/>
    <w:rsid w:val="24427846"/>
    <w:rsid w:val="245B26E3"/>
    <w:rsid w:val="24C20E6B"/>
    <w:rsid w:val="24D7737D"/>
    <w:rsid w:val="24F11926"/>
    <w:rsid w:val="2525A318"/>
    <w:rsid w:val="2529E76A"/>
    <w:rsid w:val="259C6AC8"/>
    <w:rsid w:val="262FA1A6"/>
    <w:rsid w:val="26389E00"/>
    <w:rsid w:val="26926880"/>
    <w:rsid w:val="26AAA472"/>
    <w:rsid w:val="26C66B36"/>
    <w:rsid w:val="26E8E733"/>
    <w:rsid w:val="27C71D71"/>
    <w:rsid w:val="27CC58C6"/>
    <w:rsid w:val="27E933F5"/>
    <w:rsid w:val="27FF9F18"/>
    <w:rsid w:val="28458B3F"/>
    <w:rsid w:val="2897348B"/>
    <w:rsid w:val="28FDBC6D"/>
    <w:rsid w:val="29637ED8"/>
    <w:rsid w:val="29BC50E4"/>
    <w:rsid w:val="2A22526C"/>
    <w:rsid w:val="2A353151"/>
    <w:rsid w:val="2AC8AE5A"/>
    <w:rsid w:val="2ADC90AD"/>
    <w:rsid w:val="2B2D5B9B"/>
    <w:rsid w:val="2BB9874B"/>
    <w:rsid w:val="2BC77D6B"/>
    <w:rsid w:val="2C5207AF"/>
    <w:rsid w:val="2C7110AF"/>
    <w:rsid w:val="2C9D9AA4"/>
    <w:rsid w:val="2CA3E14F"/>
    <w:rsid w:val="2CB279C5"/>
    <w:rsid w:val="2D2E3253"/>
    <w:rsid w:val="2D571A11"/>
    <w:rsid w:val="2D6332DD"/>
    <w:rsid w:val="2D8526D5"/>
    <w:rsid w:val="2DEDAB17"/>
    <w:rsid w:val="2E9AF5E9"/>
    <w:rsid w:val="2EC1E6D9"/>
    <w:rsid w:val="2ECAAD9E"/>
    <w:rsid w:val="2F8A624B"/>
    <w:rsid w:val="30809E30"/>
    <w:rsid w:val="3086A15F"/>
    <w:rsid w:val="311B87A4"/>
    <w:rsid w:val="318C9138"/>
    <w:rsid w:val="31C09C1D"/>
    <w:rsid w:val="328EA767"/>
    <w:rsid w:val="32D9C475"/>
    <w:rsid w:val="32F43750"/>
    <w:rsid w:val="32F5DE57"/>
    <w:rsid w:val="3307A8D8"/>
    <w:rsid w:val="33E18C01"/>
    <w:rsid w:val="3403557F"/>
    <w:rsid w:val="341AD1D5"/>
    <w:rsid w:val="341E3FE7"/>
    <w:rsid w:val="3465379E"/>
    <w:rsid w:val="34713F67"/>
    <w:rsid w:val="34C10D96"/>
    <w:rsid w:val="34C347E9"/>
    <w:rsid w:val="34FED7F2"/>
    <w:rsid w:val="350F0B17"/>
    <w:rsid w:val="355092C4"/>
    <w:rsid w:val="35E71392"/>
    <w:rsid w:val="35EF39EE"/>
    <w:rsid w:val="362E27A6"/>
    <w:rsid w:val="36A30453"/>
    <w:rsid w:val="36AAA9E7"/>
    <w:rsid w:val="36BF2D68"/>
    <w:rsid w:val="36FA7FC7"/>
    <w:rsid w:val="374EFE90"/>
    <w:rsid w:val="37958ACE"/>
    <w:rsid w:val="380AAF19"/>
    <w:rsid w:val="383D384B"/>
    <w:rsid w:val="3855A6DE"/>
    <w:rsid w:val="38DB986B"/>
    <w:rsid w:val="392637AB"/>
    <w:rsid w:val="393E4AA5"/>
    <w:rsid w:val="393E9188"/>
    <w:rsid w:val="3964679F"/>
    <w:rsid w:val="3997343E"/>
    <w:rsid w:val="39D3AADA"/>
    <w:rsid w:val="3A0363F1"/>
    <w:rsid w:val="3A0B2091"/>
    <w:rsid w:val="3A25F3CF"/>
    <w:rsid w:val="3A3E3DDF"/>
    <w:rsid w:val="3A7C108A"/>
    <w:rsid w:val="3AB3BC2E"/>
    <w:rsid w:val="3AE1F039"/>
    <w:rsid w:val="3AF7F88F"/>
    <w:rsid w:val="3B20347A"/>
    <w:rsid w:val="3B2BB51D"/>
    <w:rsid w:val="3B7BAC0D"/>
    <w:rsid w:val="3BA07CFA"/>
    <w:rsid w:val="3C95C94A"/>
    <w:rsid w:val="3CB8A341"/>
    <w:rsid w:val="3CC6587E"/>
    <w:rsid w:val="3CFC6BB0"/>
    <w:rsid w:val="3D18552E"/>
    <w:rsid w:val="3D39038E"/>
    <w:rsid w:val="3D5EFA88"/>
    <w:rsid w:val="3E4C6976"/>
    <w:rsid w:val="3E5DB822"/>
    <w:rsid w:val="3E65FF29"/>
    <w:rsid w:val="3EB5D602"/>
    <w:rsid w:val="3ED51188"/>
    <w:rsid w:val="3EE671AE"/>
    <w:rsid w:val="3F00213B"/>
    <w:rsid w:val="3F761568"/>
    <w:rsid w:val="3FA53F48"/>
    <w:rsid w:val="3FDBCD4A"/>
    <w:rsid w:val="40000663"/>
    <w:rsid w:val="40824F84"/>
    <w:rsid w:val="408E758D"/>
    <w:rsid w:val="40CACD97"/>
    <w:rsid w:val="4102EB0B"/>
    <w:rsid w:val="414D6489"/>
    <w:rsid w:val="41B8B4D5"/>
    <w:rsid w:val="422D2916"/>
    <w:rsid w:val="42C7F037"/>
    <w:rsid w:val="4316A3FB"/>
    <w:rsid w:val="431746DE"/>
    <w:rsid w:val="4317A67F"/>
    <w:rsid w:val="432A773B"/>
    <w:rsid w:val="4377E2BD"/>
    <w:rsid w:val="43DF32A3"/>
    <w:rsid w:val="440DF30D"/>
    <w:rsid w:val="442075A4"/>
    <w:rsid w:val="44743CF7"/>
    <w:rsid w:val="44838D52"/>
    <w:rsid w:val="4512DE5E"/>
    <w:rsid w:val="45682921"/>
    <w:rsid w:val="457C1A9E"/>
    <w:rsid w:val="4590A0BA"/>
    <w:rsid w:val="45915389"/>
    <w:rsid w:val="45ECFED4"/>
    <w:rsid w:val="46C67A6F"/>
    <w:rsid w:val="4772BF95"/>
    <w:rsid w:val="48D5A5D2"/>
    <w:rsid w:val="48E4D051"/>
    <w:rsid w:val="48EE77F7"/>
    <w:rsid w:val="48F97284"/>
    <w:rsid w:val="4920E6C4"/>
    <w:rsid w:val="49431F92"/>
    <w:rsid w:val="49774AC9"/>
    <w:rsid w:val="49783F8B"/>
    <w:rsid w:val="4A1FD290"/>
    <w:rsid w:val="4AA74B3A"/>
    <w:rsid w:val="4AD358C9"/>
    <w:rsid w:val="4AD72851"/>
    <w:rsid w:val="4AFFA97D"/>
    <w:rsid w:val="4B3EA65C"/>
    <w:rsid w:val="4B8C2E19"/>
    <w:rsid w:val="4BAC2560"/>
    <w:rsid w:val="4BDFE4E5"/>
    <w:rsid w:val="4BE3AA56"/>
    <w:rsid w:val="4C044993"/>
    <w:rsid w:val="4C10AFB6"/>
    <w:rsid w:val="4C7E55A8"/>
    <w:rsid w:val="4C7F920F"/>
    <w:rsid w:val="4C840726"/>
    <w:rsid w:val="4D250D7D"/>
    <w:rsid w:val="4D36E9A7"/>
    <w:rsid w:val="4D3B9CF5"/>
    <w:rsid w:val="4E5D5078"/>
    <w:rsid w:val="4E7D2DA6"/>
    <w:rsid w:val="4E8B2A61"/>
    <w:rsid w:val="4EAACEC4"/>
    <w:rsid w:val="4EC59765"/>
    <w:rsid w:val="4F024029"/>
    <w:rsid w:val="4F063CF5"/>
    <w:rsid w:val="4F3C07A0"/>
    <w:rsid w:val="4F47E429"/>
    <w:rsid w:val="4F8FD876"/>
    <w:rsid w:val="4FABD439"/>
    <w:rsid w:val="4FB2A09B"/>
    <w:rsid w:val="4FE680AE"/>
    <w:rsid w:val="502EB0B2"/>
    <w:rsid w:val="50323734"/>
    <w:rsid w:val="5073A580"/>
    <w:rsid w:val="508AC2D0"/>
    <w:rsid w:val="51288562"/>
    <w:rsid w:val="5149F61F"/>
    <w:rsid w:val="517B69C1"/>
    <w:rsid w:val="51BD737E"/>
    <w:rsid w:val="51E7DB95"/>
    <w:rsid w:val="523EE673"/>
    <w:rsid w:val="527FACAF"/>
    <w:rsid w:val="52DD776C"/>
    <w:rsid w:val="535E968C"/>
    <w:rsid w:val="53AEE278"/>
    <w:rsid w:val="53F153BD"/>
    <w:rsid w:val="53FEF766"/>
    <w:rsid w:val="543FD19B"/>
    <w:rsid w:val="544576A5"/>
    <w:rsid w:val="5459AD3E"/>
    <w:rsid w:val="54673239"/>
    <w:rsid w:val="54E286A8"/>
    <w:rsid w:val="54E7F740"/>
    <w:rsid w:val="54FA022F"/>
    <w:rsid w:val="5519568E"/>
    <w:rsid w:val="551A4F54"/>
    <w:rsid w:val="552A3023"/>
    <w:rsid w:val="553C134C"/>
    <w:rsid w:val="55824A9F"/>
    <w:rsid w:val="55870EE0"/>
    <w:rsid w:val="55CBD3E6"/>
    <w:rsid w:val="55D9207E"/>
    <w:rsid w:val="55EC8DB3"/>
    <w:rsid w:val="55EED9BE"/>
    <w:rsid w:val="56F9261F"/>
    <w:rsid w:val="57011284"/>
    <w:rsid w:val="573E47B9"/>
    <w:rsid w:val="5748F815"/>
    <w:rsid w:val="575F20CB"/>
    <w:rsid w:val="57B89DC6"/>
    <w:rsid w:val="57FEC5A0"/>
    <w:rsid w:val="5818F41D"/>
    <w:rsid w:val="58369B91"/>
    <w:rsid w:val="585164C9"/>
    <w:rsid w:val="588EAB7C"/>
    <w:rsid w:val="58DFE1B3"/>
    <w:rsid w:val="58E9444E"/>
    <w:rsid w:val="590A36DF"/>
    <w:rsid w:val="594573FD"/>
    <w:rsid w:val="5952D04E"/>
    <w:rsid w:val="5993CD2C"/>
    <w:rsid w:val="5A5588B6"/>
    <w:rsid w:val="5AA6D29C"/>
    <w:rsid w:val="5AAF68D6"/>
    <w:rsid w:val="5AB26E4F"/>
    <w:rsid w:val="5B892BC4"/>
    <w:rsid w:val="5B95D082"/>
    <w:rsid w:val="5C6D3862"/>
    <w:rsid w:val="5C6FCCD8"/>
    <w:rsid w:val="5CC0DCBE"/>
    <w:rsid w:val="5CDD9407"/>
    <w:rsid w:val="5D0E49EE"/>
    <w:rsid w:val="5D3E8422"/>
    <w:rsid w:val="5D98D286"/>
    <w:rsid w:val="5DAE20B5"/>
    <w:rsid w:val="5DC70D4F"/>
    <w:rsid w:val="5E645A12"/>
    <w:rsid w:val="5E8B5618"/>
    <w:rsid w:val="5F1A77E9"/>
    <w:rsid w:val="5F2A16A8"/>
    <w:rsid w:val="5F9B8D24"/>
    <w:rsid w:val="5FDB434D"/>
    <w:rsid w:val="602D5BDA"/>
    <w:rsid w:val="60434D03"/>
    <w:rsid w:val="6072C2CD"/>
    <w:rsid w:val="60747B2E"/>
    <w:rsid w:val="60B9F8D3"/>
    <w:rsid w:val="60EC00DE"/>
    <w:rsid w:val="60F49C6C"/>
    <w:rsid w:val="60F7542C"/>
    <w:rsid w:val="6116B350"/>
    <w:rsid w:val="613F77F7"/>
    <w:rsid w:val="614C1B17"/>
    <w:rsid w:val="61A9763C"/>
    <w:rsid w:val="6204DA35"/>
    <w:rsid w:val="621A24B9"/>
    <w:rsid w:val="621BD95C"/>
    <w:rsid w:val="62464DC0"/>
    <w:rsid w:val="62658081"/>
    <w:rsid w:val="626C433F"/>
    <w:rsid w:val="62B13756"/>
    <w:rsid w:val="62B1E85E"/>
    <w:rsid w:val="62ED2205"/>
    <w:rsid w:val="6334766B"/>
    <w:rsid w:val="6461F054"/>
    <w:rsid w:val="64C016D6"/>
    <w:rsid w:val="64D97C3D"/>
    <w:rsid w:val="6511E6EF"/>
    <w:rsid w:val="661FC4A7"/>
    <w:rsid w:val="665AA81C"/>
    <w:rsid w:val="66AFC1FB"/>
    <w:rsid w:val="66EB0416"/>
    <w:rsid w:val="671642A8"/>
    <w:rsid w:val="671824FD"/>
    <w:rsid w:val="673A6AFF"/>
    <w:rsid w:val="67652728"/>
    <w:rsid w:val="67BE8A75"/>
    <w:rsid w:val="680B71D7"/>
    <w:rsid w:val="682F6E20"/>
    <w:rsid w:val="685CF102"/>
    <w:rsid w:val="68A2FD1F"/>
    <w:rsid w:val="68B35DD7"/>
    <w:rsid w:val="68E42ECA"/>
    <w:rsid w:val="6907B42E"/>
    <w:rsid w:val="6915E9AE"/>
    <w:rsid w:val="6940CD23"/>
    <w:rsid w:val="69426F6A"/>
    <w:rsid w:val="69572CFC"/>
    <w:rsid w:val="695F0EEF"/>
    <w:rsid w:val="697A29C2"/>
    <w:rsid w:val="69B26105"/>
    <w:rsid w:val="69B96F08"/>
    <w:rsid w:val="69CC34CE"/>
    <w:rsid w:val="69F57E58"/>
    <w:rsid w:val="6A0B1BB3"/>
    <w:rsid w:val="6A2B61BC"/>
    <w:rsid w:val="6A4B06FE"/>
    <w:rsid w:val="6A5671A1"/>
    <w:rsid w:val="6A661A27"/>
    <w:rsid w:val="6B02E994"/>
    <w:rsid w:val="6B64DCFA"/>
    <w:rsid w:val="6B93DDC4"/>
    <w:rsid w:val="6BA77B1B"/>
    <w:rsid w:val="6BBD62BB"/>
    <w:rsid w:val="6BC714BF"/>
    <w:rsid w:val="6BF584A0"/>
    <w:rsid w:val="6CABA366"/>
    <w:rsid w:val="6CC9BAFF"/>
    <w:rsid w:val="6D27A7B4"/>
    <w:rsid w:val="6DB401D7"/>
    <w:rsid w:val="6DD065F2"/>
    <w:rsid w:val="6DFEF252"/>
    <w:rsid w:val="6E2AB527"/>
    <w:rsid w:val="6E3DC0B8"/>
    <w:rsid w:val="6E6DEA15"/>
    <w:rsid w:val="6EA6389C"/>
    <w:rsid w:val="6EDC835E"/>
    <w:rsid w:val="6F995FA3"/>
    <w:rsid w:val="7002E015"/>
    <w:rsid w:val="701F8671"/>
    <w:rsid w:val="70AFDF03"/>
    <w:rsid w:val="70B1C233"/>
    <w:rsid w:val="713C6A38"/>
    <w:rsid w:val="713F0E30"/>
    <w:rsid w:val="71491684"/>
    <w:rsid w:val="71AF21C4"/>
    <w:rsid w:val="71B941DB"/>
    <w:rsid w:val="724968E2"/>
    <w:rsid w:val="725AA488"/>
    <w:rsid w:val="72713057"/>
    <w:rsid w:val="7348E18A"/>
    <w:rsid w:val="73659B53"/>
    <w:rsid w:val="73684F20"/>
    <w:rsid w:val="73802654"/>
    <w:rsid w:val="73955418"/>
    <w:rsid w:val="73975D23"/>
    <w:rsid w:val="74047521"/>
    <w:rsid w:val="7410025A"/>
    <w:rsid w:val="741C3756"/>
    <w:rsid w:val="742272AD"/>
    <w:rsid w:val="74814836"/>
    <w:rsid w:val="750D4E03"/>
    <w:rsid w:val="756459BE"/>
    <w:rsid w:val="75E7FA86"/>
    <w:rsid w:val="75F1E5CD"/>
    <w:rsid w:val="763BD7FF"/>
    <w:rsid w:val="76604FA6"/>
    <w:rsid w:val="766F031A"/>
    <w:rsid w:val="7691548F"/>
    <w:rsid w:val="76B0DFD1"/>
    <w:rsid w:val="76E3416A"/>
    <w:rsid w:val="774B1502"/>
    <w:rsid w:val="779CB7CE"/>
    <w:rsid w:val="780D9A38"/>
    <w:rsid w:val="781051C8"/>
    <w:rsid w:val="78424F62"/>
    <w:rsid w:val="787788A6"/>
    <w:rsid w:val="7891256A"/>
    <w:rsid w:val="78976601"/>
    <w:rsid w:val="78AC1AFB"/>
    <w:rsid w:val="78B085C6"/>
    <w:rsid w:val="78CEE94F"/>
    <w:rsid w:val="78E520A0"/>
    <w:rsid w:val="79B2CE9E"/>
    <w:rsid w:val="79BEC343"/>
    <w:rsid w:val="7A0E610A"/>
    <w:rsid w:val="7A190388"/>
    <w:rsid w:val="7A1FF3F4"/>
    <w:rsid w:val="7A53DA59"/>
    <w:rsid w:val="7A818C59"/>
    <w:rsid w:val="7AA59170"/>
    <w:rsid w:val="7AB5E987"/>
    <w:rsid w:val="7B4E509B"/>
    <w:rsid w:val="7C0ABEA8"/>
    <w:rsid w:val="7C37D15B"/>
    <w:rsid w:val="7CA893BB"/>
    <w:rsid w:val="7CCFAA26"/>
    <w:rsid w:val="7D68EED1"/>
    <w:rsid w:val="7D99B562"/>
    <w:rsid w:val="7DBEC129"/>
    <w:rsid w:val="7E574D0F"/>
    <w:rsid w:val="7EDFDE24"/>
    <w:rsid w:val="7EF559B3"/>
    <w:rsid w:val="7F26E02E"/>
    <w:rsid w:val="7F7CF4C0"/>
    <w:rsid w:val="7FA9A32E"/>
    <w:rsid w:val="7FCBA6B6"/>
    <w:rsid w:val="7FD96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6E5CA"/>
  <w15:docId w15:val="{3243694A-F6E0-4D8B-9E59-DE2266FB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3D"/>
    <w:pPr>
      <w:autoSpaceDE w:val="0"/>
      <w:autoSpaceDN w:val="0"/>
      <w:adjustRightInd w:val="0"/>
      <w:spacing w:after="0" w:line="240" w:lineRule="auto"/>
    </w:pPr>
    <w:rPr>
      <w:rFonts w:ascii="Arial" w:eastAsia="Calibri" w:hAnsi="Arial" w:cs="Arial"/>
    </w:rPr>
  </w:style>
  <w:style w:type="paragraph" w:styleId="Heading1">
    <w:name w:val="heading 1"/>
    <w:basedOn w:val="Normal"/>
    <w:next w:val="Normal"/>
    <w:link w:val="Heading1Char"/>
    <w:uiPriority w:val="9"/>
    <w:qFormat/>
    <w:rsid w:val="00CC51A4"/>
    <w:pPr>
      <w:keepNext/>
      <w:keepLines/>
      <w:numPr>
        <w:numId w:val="1"/>
      </w:numPr>
      <w:spacing w:before="240"/>
      <w:outlineLvl w:val="0"/>
    </w:pPr>
    <w:rPr>
      <w:rFonts w:eastAsiaTheme="majorEastAsia" w:cstheme="majorHAnsi"/>
      <w:b/>
      <w:bCs/>
      <w:color w:val="00B0F0"/>
      <w:sz w:val="32"/>
      <w:szCs w:val="32"/>
    </w:rPr>
  </w:style>
  <w:style w:type="paragraph" w:styleId="Heading2">
    <w:name w:val="heading 2"/>
    <w:basedOn w:val="Normal"/>
    <w:next w:val="Normal"/>
    <w:link w:val="Heading2Char"/>
    <w:autoRedefine/>
    <w:uiPriority w:val="9"/>
    <w:unhideWhenUsed/>
    <w:qFormat/>
    <w:rsid w:val="00F634E8"/>
    <w:pPr>
      <w:keepNext/>
      <w:keepLines/>
      <w:numPr>
        <w:ilvl w:val="1"/>
        <w:numId w:val="1"/>
      </w:numPr>
      <w:ind w:left="576"/>
      <w:outlineLvl w:val="1"/>
    </w:pPr>
    <w:rPr>
      <w:rFonts w:eastAsiaTheme="majorEastAsia" w:cstheme="minorHAnsi"/>
      <w:b/>
      <w:color w:val="00B0F0"/>
      <w:sz w:val="26"/>
      <w:szCs w:val="26"/>
    </w:rPr>
  </w:style>
  <w:style w:type="paragraph" w:styleId="Heading3">
    <w:name w:val="heading 3"/>
    <w:basedOn w:val="Normal"/>
    <w:next w:val="Normal"/>
    <w:link w:val="Heading3Char"/>
    <w:uiPriority w:val="9"/>
    <w:unhideWhenUsed/>
    <w:qFormat/>
    <w:rsid w:val="00E03A3F"/>
    <w:pPr>
      <w:keepNext/>
      <w:keepLines/>
      <w:numPr>
        <w:ilvl w:val="2"/>
        <w:numId w:val="1"/>
      </w:numPr>
      <w:spacing w:before="40"/>
      <w:outlineLvl w:val="2"/>
    </w:pPr>
    <w:rPr>
      <w:rFonts w:eastAsiaTheme="majorEastAsia" w:cstheme="majorBidi"/>
      <w:b/>
      <w:bCs/>
      <w:color w:val="00B0F0"/>
      <w:sz w:val="24"/>
      <w:szCs w:val="24"/>
    </w:rPr>
  </w:style>
  <w:style w:type="paragraph" w:styleId="Heading4">
    <w:name w:val="heading 4"/>
    <w:basedOn w:val="Normal"/>
    <w:next w:val="Normal"/>
    <w:link w:val="Heading4Char"/>
    <w:uiPriority w:val="9"/>
    <w:unhideWhenUsed/>
    <w:qFormat/>
    <w:rsid w:val="00C55FBE"/>
    <w:pPr>
      <w:keepNext/>
      <w:keepLines/>
      <w:numPr>
        <w:ilvl w:val="3"/>
        <w:numId w:val="1"/>
      </w:numPr>
      <w:spacing w:before="40"/>
      <w:outlineLvl w:val="3"/>
    </w:pPr>
    <w:rPr>
      <w:rFonts w:eastAsiaTheme="majorEastAsia" w:cstheme="majorBidi"/>
      <w:i/>
      <w:iCs/>
      <w:color w:val="2F5496" w:themeColor="accent1" w:themeShade="BF"/>
    </w:rPr>
  </w:style>
  <w:style w:type="paragraph" w:styleId="Heading5">
    <w:name w:val="heading 5"/>
    <w:aliases w:val="a"/>
    <w:basedOn w:val="Normal"/>
    <w:next w:val="Normal"/>
    <w:link w:val="Heading5Char"/>
    <w:uiPriority w:val="9"/>
    <w:unhideWhenUsed/>
    <w:qFormat/>
    <w:rsid w:val="00631B05"/>
    <w:pPr>
      <w:keepNext/>
      <w:keepLines/>
      <w:numPr>
        <w:ilvl w:val="4"/>
        <w:numId w:val="1"/>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778B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778B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778B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ist 1"/>
    <w:basedOn w:val="Normal"/>
    <w:next w:val="Normal"/>
    <w:link w:val="Heading9Char"/>
    <w:uiPriority w:val="9"/>
    <w:unhideWhenUsed/>
    <w:qFormat/>
    <w:rsid w:val="00E778B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1A4"/>
    <w:rPr>
      <w:rFonts w:ascii="Arial" w:eastAsiaTheme="majorEastAsia" w:hAnsi="Arial" w:cstheme="majorHAnsi"/>
      <w:b/>
      <w:bCs/>
      <w:color w:val="00B0F0"/>
      <w:sz w:val="32"/>
      <w:szCs w:val="32"/>
    </w:rPr>
  </w:style>
  <w:style w:type="character" w:styleId="CommentReference">
    <w:name w:val="annotation reference"/>
    <w:basedOn w:val="DefaultParagraphFont"/>
    <w:uiPriority w:val="99"/>
    <w:unhideWhenUsed/>
    <w:rsid w:val="00163FF7"/>
    <w:rPr>
      <w:sz w:val="16"/>
      <w:szCs w:val="16"/>
    </w:rPr>
  </w:style>
  <w:style w:type="paragraph" w:styleId="CommentText">
    <w:name w:val="annotation text"/>
    <w:basedOn w:val="Normal"/>
    <w:link w:val="CommentTextChar"/>
    <w:uiPriority w:val="99"/>
    <w:unhideWhenUsed/>
    <w:rsid w:val="00163FF7"/>
    <w:rPr>
      <w:sz w:val="20"/>
      <w:szCs w:val="20"/>
    </w:rPr>
  </w:style>
  <w:style w:type="character" w:customStyle="1" w:styleId="CommentTextChar">
    <w:name w:val="Comment Text Char"/>
    <w:basedOn w:val="DefaultParagraphFont"/>
    <w:link w:val="CommentText"/>
    <w:uiPriority w:val="99"/>
    <w:rsid w:val="00163FF7"/>
    <w:rPr>
      <w:sz w:val="20"/>
      <w:szCs w:val="20"/>
    </w:rPr>
  </w:style>
  <w:style w:type="paragraph" w:styleId="CommentSubject">
    <w:name w:val="annotation subject"/>
    <w:basedOn w:val="CommentText"/>
    <w:next w:val="CommentText"/>
    <w:link w:val="CommentSubjectChar"/>
    <w:uiPriority w:val="99"/>
    <w:semiHidden/>
    <w:unhideWhenUsed/>
    <w:rsid w:val="00163FF7"/>
    <w:rPr>
      <w:b/>
      <w:bCs/>
    </w:rPr>
  </w:style>
  <w:style w:type="character" w:customStyle="1" w:styleId="CommentSubjectChar">
    <w:name w:val="Comment Subject Char"/>
    <w:basedOn w:val="CommentTextChar"/>
    <w:link w:val="CommentSubject"/>
    <w:uiPriority w:val="99"/>
    <w:semiHidden/>
    <w:rsid w:val="00163FF7"/>
    <w:rPr>
      <w:b/>
      <w:bCs/>
      <w:sz w:val="20"/>
      <w:szCs w:val="20"/>
    </w:rPr>
  </w:style>
  <w:style w:type="paragraph" w:styleId="Title">
    <w:name w:val="Title"/>
    <w:basedOn w:val="Normal"/>
    <w:next w:val="Normal"/>
    <w:link w:val="TitleChar"/>
    <w:uiPriority w:val="10"/>
    <w:qFormat/>
    <w:rsid w:val="00FB6B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B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6BB9"/>
    <w:pPr>
      <w:tabs>
        <w:tab w:val="center" w:pos="4680"/>
        <w:tab w:val="right" w:pos="9360"/>
      </w:tabs>
    </w:pPr>
  </w:style>
  <w:style w:type="character" w:customStyle="1" w:styleId="HeaderChar">
    <w:name w:val="Header Char"/>
    <w:basedOn w:val="DefaultParagraphFont"/>
    <w:link w:val="Header"/>
    <w:uiPriority w:val="99"/>
    <w:rsid w:val="00FB6BB9"/>
  </w:style>
  <w:style w:type="paragraph" w:styleId="Footer">
    <w:name w:val="footer"/>
    <w:basedOn w:val="Normal"/>
    <w:link w:val="FooterChar"/>
    <w:uiPriority w:val="99"/>
    <w:unhideWhenUsed/>
    <w:rsid w:val="00FB6BB9"/>
    <w:pPr>
      <w:tabs>
        <w:tab w:val="center" w:pos="4680"/>
        <w:tab w:val="right" w:pos="9360"/>
      </w:tabs>
    </w:pPr>
  </w:style>
  <w:style w:type="character" w:customStyle="1" w:styleId="FooterChar">
    <w:name w:val="Footer Char"/>
    <w:basedOn w:val="DefaultParagraphFont"/>
    <w:link w:val="Footer"/>
    <w:uiPriority w:val="99"/>
    <w:rsid w:val="00FB6BB9"/>
  </w:style>
  <w:style w:type="paragraph" w:styleId="TOCHeading">
    <w:name w:val="TOC Heading"/>
    <w:basedOn w:val="Normal"/>
    <w:next w:val="Normal"/>
    <w:uiPriority w:val="39"/>
    <w:unhideWhenUsed/>
    <w:qFormat/>
    <w:rsid w:val="00A43307"/>
    <w:rPr>
      <w:rFonts w:cs="Calibri Light"/>
      <w:color w:val="2F5496" w:themeColor="accent1" w:themeShade="BF"/>
      <w:sz w:val="32"/>
      <w:szCs w:val="32"/>
    </w:rPr>
  </w:style>
  <w:style w:type="paragraph" w:styleId="TOC1">
    <w:name w:val="toc 1"/>
    <w:basedOn w:val="Normal"/>
    <w:next w:val="Normal"/>
    <w:autoRedefine/>
    <w:uiPriority w:val="39"/>
    <w:unhideWhenUsed/>
    <w:rsid w:val="00F41268"/>
    <w:pPr>
      <w:tabs>
        <w:tab w:val="left" w:pos="440"/>
        <w:tab w:val="right" w:leader="dot" w:pos="9350"/>
      </w:tabs>
      <w:spacing w:after="100"/>
    </w:pPr>
  </w:style>
  <w:style w:type="character" w:styleId="Hyperlink">
    <w:name w:val="Hyperlink"/>
    <w:basedOn w:val="DefaultParagraphFont"/>
    <w:uiPriority w:val="99"/>
    <w:unhideWhenUsed/>
    <w:rsid w:val="00FB6BB9"/>
    <w:rPr>
      <w:color w:val="0563C1" w:themeColor="hyperlink"/>
      <w:u w:val="single"/>
    </w:rPr>
  </w:style>
  <w:style w:type="character" w:customStyle="1" w:styleId="Heading2Char">
    <w:name w:val="Heading 2 Char"/>
    <w:basedOn w:val="DefaultParagraphFont"/>
    <w:link w:val="Heading2"/>
    <w:uiPriority w:val="9"/>
    <w:rsid w:val="00F634E8"/>
    <w:rPr>
      <w:rFonts w:ascii="Arial" w:eastAsiaTheme="majorEastAsia" w:hAnsi="Arial" w:cstheme="minorHAnsi"/>
      <w:b/>
      <w:color w:val="00B0F0"/>
      <w:sz w:val="26"/>
      <w:szCs w:val="26"/>
    </w:rPr>
  </w:style>
  <w:style w:type="character" w:customStyle="1" w:styleId="Heading3Char">
    <w:name w:val="Heading 3 Char"/>
    <w:basedOn w:val="DefaultParagraphFont"/>
    <w:link w:val="Heading3"/>
    <w:uiPriority w:val="9"/>
    <w:rsid w:val="00CC51A4"/>
    <w:rPr>
      <w:rFonts w:ascii="Arial" w:eastAsiaTheme="majorEastAsia" w:hAnsi="Arial" w:cstheme="majorBidi"/>
      <w:b/>
      <w:bCs/>
      <w:color w:val="00B0F0"/>
      <w:sz w:val="24"/>
      <w:szCs w:val="24"/>
    </w:rPr>
  </w:style>
  <w:style w:type="character" w:customStyle="1" w:styleId="Heading4Char">
    <w:name w:val="Heading 4 Char"/>
    <w:basedOn w:val="DefaultParagraphFont"/>
    <w:link w:val="Heading4"/>
    <w:uiPriority w:val="9"/>
    <w:rsid w:val="00CC51A4"/>
    <w:rPr>
      <w:rFonts w:ascii="Arial" w:eastAsiaTheme="majorEastAsia" w:hAnsi="Arial" w:cstheme="majorBidi"/>
      <w:i/>
      <w:iCs/>
      <w:color w:val="2F5496" w:themeColor="accent1" w:themeShade="BF"/>
    </w:rPr>
  </w:style>
  <w:style w:type="character" w:customStyle="1" w:styleId="Heading5Char">
    <w:name w:val="Heading 5 Char"/>
    <w:aliases w:val="a Char"/>
    <w:basedOn w:val="DefaultParagraphFont"/>
    <w:link w:val="Heading5"/>
    <w:uiPriority w:val="9"/>
    <w:rsid w:val="00631B05"/>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semiHidden/>
    <w:rsid w:val="00E778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78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78B9"/>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ist 1 Char"/>
    <w:basedOn w:val="DefaultParagraphFont"/>
    <w:link w:val="Heading9"/>
    <w:uiPriority w:val="9"/>
    <w:semiHidden/>
    <w:rsid w:val="00E778B9"/>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 Indent,List Paragraph_AP,TT - Numbered List Paragraph,Nexant List Paragraph,Bullet Styles para,Letter Paragraph,PECI Bullets (Content),PECI Bullets,List Paragraph1,H3,Paragraphe_DAT,Paragraphe de liste1,Resume Bullett,(a) numbered,b1"/>
    <w:basedOn w:val="Normal"/>
    <w:link w:val="ListParagraphChar"/>
    <w:uiPriority w:val="34"/>
    <w:qFormat/>
    <w:rsid w:val="00E778B9"/>
    <w:pPr>
      <w:ind w:left="720"/>
      <w:contextualSpacing/>
    </w:pPr>
  </w:style>
  <w:style w:type="table" w:styleId="TableGrid">
    <w:name w:val="Table Grid"/>
    <w:basedOn w:val="TableNormal"/>
    <w:uiPriority w:val="39"/>
    <w:rsid w:val="00E7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F3C67"/>
    <w:pPr>
      <w:tabs>
        <w:tab w:val="left" w:pos="880"/>
        <w:tab w:val="right" w:leader="dot" w:pos="9350"/>
      </w:tabs>
      <w:spacing w:after="100"/>
      <w:ind w:left="220"/>
    </w:pPr>
  </w:style>
  <w:style w:type="paragraph" w:styleId="TOC3">
    <w:name w:val="toc 3"/>
    <w:basedOn w:val="Normal"/>
    <w:next w:val="Normal"/>
    <w:autoRedefine/>
    <w:uiPriority w:val="39"/>
    <w:unhideWhenUsed/>
    <w:rsid w:val="00AE50DE"/>
    <w:pPr>
      <w:tabs>
        <w:tab w:val="left" w:pos="1320"/>
        <w:tab w:val="right" w:leader="dot" w:pos="9350"/>
      </w:tabs>
      <w:spacing w:after="100"/>
      <w:ind w:left="440"/>
    </w:pPr>
  </w:style>
  <w:style w:type="paragraph" w:customStyle="1" w:styleId="Default">
    <w:name w:val="Default"/>
    <w:rsid w:val="00D65D0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156D63"/>
    <w:rPr>
      <w:color w:val="605E5C"/>
      <w:shd w:val="clear" w:color="auto" w:fill="E1DFDD"/>
    </w:rPr>
  </w:style>
  <w:style w:type="character" w:styleId="FollowedHyperlink">
    <w:name w:val="FollowedHyperlink"/>
    <w:basedOn w:val="DefaultParagraphFont"/>
    <w:uiPriority w:val="99"/>
    <w:semiHidden/>
    <w:unhideWhenUsed/>
    <w:rsid w:val="00156D63"/>
    <w:rPr>
      <w:color w:val="954F72" w:themeColor="followedHyperlink"/>
      <w:u w:val="single"/>
    </w:rPr>
  </w:style>
  <w:style w:type="character" w:styleId="Mention">
    <w:name w:val="Mention"/>
    <w:basedOn w:val="DefaultParagraphFont"/>
    <w:uiPriority w:val="99"/>
    <w:unhideWhenUsed/>
    <w:rsid w:val="00C04F79"/>
    <w:rPr>
      <w:color w:val="2B579A"/>
      <w:shd w:val="clear" w:color="auto" w:fill="E1DFDD"/>
    </w:rPr>
  </w:style>
  <w:style w:type="paragraph" w:styleId="FootnoteText">
    <w:name w:val="footnote text"/>
    <w:aliases w:val="EMI Footnote Text,Footnote Text Char Char,Footnote Text Char1 Char,Footnote Text Char Char Char,Footnote Text Char1 Char Char Char,Footnote Text Char Char1 Char Char Char,Footnote Text Char Char Char Char Char Char Char Char"/>
    <w:basedOn w:val="Normal"/>
    <w:link w:val="FootnoteTextChar"/>
    <w:uiPriority w:val="99"/>
    <w:unhideWhenUsed/>
    <w:qFormat/>
    <w:rsid w:val="00597847"/>
    <w:rPr>
      <w:sz w:val="20"/>
      <w:szCs w:val="20"/>
    </w:rPr>
  </w:style>
  <w:style w:type="character" w:customStyle="1" w:styleId="FootnoteTextChar">
    <w:name w:val="Footnote Text Char"/>
    <w:aliases w:val="EMI Footnote Text Char,Footnote Text Char Char Char1,Footnote Text Char1 Char Char,Footnote Text Char Char Char Char,Footnote Text Char1 Char Char Char Char,Footnote Text Char Char1 Char Char Char Char"/>
    <w:basedOn w:val="DefaultParagraphFont"/>
    <w:link w:val="FootnoteText"/>
    <w:uiPriority w:val="99"/>
    <w:rsid w:val="00597847"/>
    <w:rPr>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unhideWhenUsed/>
    <w:qFormat/>
    <w:rsid w:val="00597847"/>
    <w:rPr>
      <w:vertAlign w:val="superscript"/>
    </w:rPr>
  </w:style>
  <w:style w:type="character" w:customStyle="1" w:styleId="normaltextrun">
    <w:name w:val="normaltextrun"/>
    <w:basedOn w:val="DefaultParagraphFont"/>
    <w:rsid w:val="00D738D6"/>
  </w:style>
  <w:style w:type="character" w:customStyle="1" w:styleId="eop">
    <w:name w:val="eop"/>
    <w:basedOn w:val="DefaultParagraphFont"/>
    <w:rsid w:val="00D738D6"/>
  </w:style>
  <w:style w:type="paragraph" w:styleId="EndnoteText">
    <w:name w:val="endnote text"/>
    <w:basedOn w:val="Normal"/>
    <w:link w:val="EndnoteTextChar"/>
    <w:uiPriority w:val="99"/>
    <w:semiHidden/>
    <w:unhideWhenUsed/>
    <w:rsid w:val="00930C2E"/>
    <w:rPr>
      <w:sz w:val="20"/>
      <w:szCs w:val="20"/>
    </w:rPr>
  </w:style>
  <w:style w:type="character" w:customStyle="1" w:styleId="EndnoteTextChar">
    <w:name w:val="Endnote Text Char"/>
    <w:basedOn w:val="DefaultParagraphFont"/>
    <w:link w:val="EndnoteText"/>
    <w:uiPriority w:val="99"/>
    <w:semiHidden/>
    <w:rsid w:val="00930C2E"/>
    <w:rPr>
      <w:sz w:val="20"/>
      <w:szCs w:val="20"/>
    </w:rPr>
  </w:style>
  <w:style w:type="character" w:styleId="EndnoteReference">
    <w:name w:val="endnote reference"/>
    <w:basedOn w:val="DefaultParagraphFont"/>
    <w:uiPriority w:val="99"/>
    <w:semiHidden/>
    <w:unhideWhenUsed/>
    <w:rsid w:val="00930C2E"/>
    <w:rPr>
      <w:vertAlign w:val="superscript"/>
    </w:rPr>
  </w:style>
  <w:style w:type="paragraph" w:styleId="Revision">
    <w:name w:val="Revision"/>
    <w:hidden/>
    <w:uiPriority w:val="99"/>
    <w:semiHidden/>
    <w:rsid w:val="00E9009E"/>
    <w:pPr>
      <w:spacing w:after="0" w:line="240" w:lineRule="auto"/>
    </w:pPr>
  </w:style>
  <w:style w:type="character" w:customStyle="1" w:styleId="ListParagraphChar">
    <w:name w:val="List Paragraph Char"/>
    <w:aliases w:val="List Indent Char,List Paragraph_AP Char,TT - Numbered List Paragraph Char,Nexant List Paragraph Char,Bullet Styles para Char,Letter Paragraph Char,PECI Bullets (Content) Char,PECI Bullets Char,List Paragraph1 Char,H3 Char,b1 Char"/>
    <w:basedOn w:val="DefaultParagraphFont"/>
    <w:link w:val="ListParagraph"/>
    <w:uiPriority w:val="34"/>
    <w:qFormat/>
    <w:rsid w:val="00D01C06"/>
  </w:style>
  <w:style w:type="character" w:customStyle="1" w:styleId="ui-provider">
    <w:name w:val="ui-provider"/>
    <w:basedOn w:val="DefaultParagraphFont"/>
    <w:rsid w:val="00340620"/>
  </w:style>
  <w:style w:type="paragraph" w:styleId="BalloonText">
    <w:name w:val="Balloon Text"/>
    <w:basedOn w:val="Normal"/>
    <w:link w:val="BalloonTextChar"/>
    <w:uiPriority w:val="99"/>
    <w:unhideWhenUsed/>
    <w:rsid w:val="00612C27"/>
    <w:pPr>
      <w:autoSpaceDE/>
      <w:autoSpaceDN/>
      <w:adjustRightInd/>
    </w:pPr>
    <w:rPr>
      <w:rFonts w:ascii="Segoe UI" w:hAnsi="Segoe UI" w:cs="Segoe UI"/>
      <w:sz w:val="18"/>
      <w:szCs w:val="18"/>
      <w:lang w:val="en"/>
    </w:rPr>
  </w:style>
  <w:style w:type="character" w:customStyle="1" w:styleId="BalloonTextChar">
    <w:name w:val="Balloon Text Char"/>
    <w:basedOn w:val="DefaultParagraphFont"/>
    <w:link w:val="BalloonText"/>
    <w:uiPriority w:val="99"/>
    <w:semiHidden/>
    <w:rsid w:val="00612C27"/>
    <w:rPr>
      <w:rFonts w:ascii="Segoe UI" w:eastAsia="Calibri" w:hAnsi="Segoe UI" w:cs="Segoe UI"/>
      <w:sz w:val="18"/>
      <w:szCs w:val="18"/>
      <w:lang w:val="en"/>
    </w:rPr>
  </w:style>
  <w:style w:type="paragraph" w:customStyle="1" w:styleId="CRNormalBody">
    <w:name w:val="CR_Normal Body"/>
    <w:basedOn w:val="Normal"/>
    <w:qFormat/>
    <w:rsid w:val="00612C27"/>
    <w:pPr>
      <w:autoSpaceDE/>
      <w:autoSpaceDN/>
      <w:adjustRightInd/>
      <w:spacing w:before="240" w:after="100" w:line="276" w:lineRule="auto"/>
    </w:pPr>
    <w:rPr>
      <w:rFonts w:eastAsiaTheme="minorHAnsi" w:cstheme="minorBidi"/>
      <w:sz w:val="20"/>
      <w:szCs w:val="20"/>
      <w:lang w:val="en"/>
    </w:rPr>
  </w:style>
  <w:style w:type="paragraph" w:customStyle="1" w:styleId="CRHeading3">
    <w:name w:val="CR_Heading_3"/>
    <w:basedOn w:val="Heading3"/>
    <w:next w:val="CRNormalBody"/>
    <w:link w:val="CRHeading3Char"/>
    <w:qFormat/>
    <w:rsid w:val="00612C27"/>
    <w:pPr>
      <w:spacing w:before="240" w:after="60"/>
      <w:ind w:left="0"/>
    </w:pPr>
    <w:rPr>
      <w:b w:val="0"/>
      <w:bCs w:val="0"/>
      <w:color w:val="E7E6E6" w:themeColor="background2"/>
      <w:sz w:val="26"/>
    </w:rPr>
  </w:style>
  <w:style w:type="character" w:customStyle="1" w:styleId="CRHeading3Char">
    <w:name w:val="CR_Heading_3 Char"/>
    <w:basedOn w:val="DefaultParagraphFont"/>
    <w:link w:val="CRHeading3"/>
    <w:rsid w:val="00612C27"/>
    <w:rPr>
      <w:rFonts w:ascii="Arial" w:eastAsiaTheme="majorEastAsia" w:hAnsi="Arial" w:cstheme="majorBidi"/>
      <w:color w:val="E7E6E6" w:themeColor="background2"/>
      <w:sz w:val="26"/>
      <w:szCs w:val="24"/>
    </w:rPr>
  </w:style>
  <w:style w:type="paragraph" w:styleId="Subtitle">
    <w:name w:val="Subtitle"/>
    <w:basedOn w:val="Normal"/>
    <w:next w:val="Normal"/>
    <w:link w:val="SubtitleChar"/>
    <w:uiPriority w:val="11"/>
    <w:qFormat/>
    <w:rsid w:val="00612C27"/>
    <w:pPr>
      <w:numPr>
        <w:ilvl w:val="1"/>
      </w:numPr>
      <w:autoSpaceDE/>
      <w:autoSpaceDN/>
      <w:adjustRightInd/>
      <w:spacing w:after="160" w:line="276" w:lineRule="auto"/>
    </w:pPr>
    <w:rPr>
      <w:rFonts w:asciiTheme="minorHAnsi" w:eastAsiaTheme="minorEastAsia" w:hAnsiTheme="minorHAnsi" w:cstheme="minorBidi"/>
      <w:color w:val="5A5A5A" w:themeColor="text1" w:themeTint="A5"/>
      <w:spacing w:val="15"/>
      <w:lang w:val="en"/>
    </w:rPr>
  </w:style>
  <w:style w:type="character" w:customStyle="1" w:styleId="SubtitleChar">
    <w:name w:val="Subtitle Char"/>
    <w:basedOn w:val="DefaultParagraphFont"/>
    <w:link w:val="Subtitle"/>
    <w:uiPriority w:val="11"/>
    <w:rsid w:val="00612C27"/>
    <w:rPr>
      <w:rFonts w:eastAsiaTheme="minorEastAsia"/>
      <w:color w:val="5A5A5A" w:themeColor="text1" w:themeTint="A5"/>
      <w:spacing w:val="15"/>
      <w:lang w:val="en"/>
    </w:rPr>
  </w:style>
  <w:style w:type="character" w:customStyle="1" w:styleId="year">
    <w:name w:val="year"/>
    <w:basedOn w:val="DefaultParagraphFont"/>
    <w:rsid w:val="00612C27"/>
  </w:style>
  <w:style w:type="character" w:customStyle="1" w:styleId="journal">
    <w:name w:val="journal"/>
    <w:basedOn w:val="DefaultParagraphFont"/>
    <w:rsid w:val="00612C27"/>
  </w:style>
  <w:style w:type="character" w:customStyle="1" w:styleId="vol">
    <w:name w:val="vol"/>
    <w:basedOn w:val="DefaultParagraphFont"/>
    <w:rsid w:val="00612C27"/>
  </w:style>
  <w:style w:type="character" w:customStyle="1" w:styleId="pages">
    <w:name w:val="pages"/>
    <w:basedOn w:val="DefaultParagraphFont"/>
    <w:rsid w:val="00612C27"/>
  </w:style>
  <w:style w:type="character" w:customStyle="1" w:styleId="Title1">
    <w:name w:val="Title1"/>
    <w:basedOn w:val="DefaultParagraphFont"/>
    <w:rsid w:val="00612C27"/>
  </w:style>
  <w:style w:type="character" w:styleId="PlaceholderText">
    <w:name w:val="Placeholder Text"/>
    <w:basedOn w:val="DefaultParagraphFont"/>
    <w:uiPriority w:val="99"/>
    <w:semiHidden/>
    <w:rsid w:val="00612C27"/>
    <w:rPr>
      <w:color w:val="808080"/>
    </w:rPr>
  </w:style>
  <w:style w:type="paragraph" w:customStyle="1" w:styleId="pf0">
    <w:name w:val="pf0"/>
    <w:basedOn w:val="Normal"/>
    <w:rsid w:val="00612C27"/>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12C27"/>
    <w:rPr>
      <w:rFonts w:ascii="Segoe UI" w:hAnsi="Segoe UI" w:cs="Segoe UI" w:hint="default"/>
      <w:sz w:val="18"/>
      <w:szCs w:val="18"/>
    </w:rPr>
  </w:style>
  <w:style w:type="character" w:customStyle="1" w:styleId="BalloonTextChar1">
    <w:name w:val="Balloon Text Char1"/>
    <w:uiPriority w:val="99"/>
    <w:locked/>
    <w:rsid w:val="008C0BFB"/>
    <w:rPr>
      <w:lang w:val="x-none" w:eastAsia="x-none"/>
    </w:rPr>
  </w:style>
  <w:style w:type="paragraph" w:customStyle="1" w:styleId="Body1">
    <w:name w:val="Body 1"/>
    <w:basedOn w:val="BalloonText"/>
    <w:link w:val="Body1Char"/>
    <w:qFormat/>
    <w:rsid w:val="00F372A8"/>
    <w:pPr>
      <w:widowControl w:val="0"/>
      <w:overflowPunct w:val="0"/>
      <w:autoSpaceDE w:val="0"/>
      <w:autoSpaceDN w:val="0"/>
      <w:adjustRightInd w:val="0"/>
      <w:spacing w:after="120" w:line="276" w:lineRule="auto"/>
      <w:textAlignment w:val="baseline"/>
    </w:pPr>
    <w:rPr>
      <w:rFonts w:ascii="Arial" w:eastAsia="Times New Roman" w:hAnsi="Arial" w:cs="Arial"/>
      <w:sz w:val="22"/>
      <w:szCs w:val="22"/>
      <w:lang w:val="x-none" w:eastAsia="x-none"/>
    </w:rPr>
  </w:style>
  <w:style w:type="character" w:customStyle="1" w:styleId="Body1Char">
    <w:name w:val="Body 1 Char"/>
    <w:basedOn w:val="BalloonTextChar1"/>
    <w:link w:val="Body1"/>
    <w:rsid w:val="00F372A8"/>
    <w:rPr>
      <w:rFonts w:ascii="Arial" w:eastAsia="Times New Roman" w:hAnsi="Arial" w:cs="Arial"/>
      <w:lang w:val="x-none" w:eastAsia="x-none"/>
    </w:rPr>
  </w:style>
  <w:style w:type="table" w:styleId="GridTable5Dark-Accent1">
    <w:name w:val="Grid Table 5 Dark Accent 1"/>
    <w:basedOn w:val="TableNormal"/>
    <w:uiPriority w:val="50"/>
    <w:rsid w:val="00F372A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f11">
    <w:name w:val="cf11"/>
    <w:basedOn w:val="DefaultParagraphFont"/>
    <w:rsid w:val="00F372A8"/>
    <w:rPr>
      <w:rFonts w:ascii="Segoe UI" w:hAnsi="Segoe UI" w:cs="Segoe UI" w:hint="default"/>
      <w:sz w:val="18"/>
      <w:szCs w:val="18"/>
    </w:rPr>
  </w:style>
  <w:style w:type="character" w:styleId="SmartLink">
    <w:name w:val="Smart Link"/>
    <w:basedOn w:val="DefaultParagraphFont"/>
    <w:uiPriority w:val="99"/>
    <w:semiHidden/>
    <w:unhideWhenUsed/>
    <w:rsid w:val="00380B2D"/>
    <w:rPr>
      <w:color w:val="0000FF"/>
      <w:u w:val="single"/>
      <w:shd w:val="clear" w:color="auto" w:fill="F3F2F1"/>
    </w:rPr>
  </w:style>
  <w:style w:type="table" w:customStyle="1" w:styleId="GreenHeader-TableNormal">
    <w:name w:val="Green Header -Table Normal"/>
    <w:basedOn w:val="TableNormal"/>
    <w:uiPriority w:val="99"/>
    <w:rsid w:val="00573169"/>
    <w:pPr>
      <w:spacing w:after="0" w:line="240" w:lineRule="auto"/>
      <w:contextualSpacing/>
    </w:pPr>
    <w:rPr>
      <w:rFonts w:ascii="Arial" w:hAnsi="Arial"/>
      <w:color w:val="FFFFFF"/>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tblStylePr w:type="firstRow">
      <w:pPr>
        <w:jc w:val="left"/>
      </w:pPr>
      <w:rPr>
        <w:rFonts w:ascii="Arial" w:hAnsi="Arial"/>
        <w:b/>
        <w:color w:val="D7DFD8"/>
        <w:sz w:val="22"/>
        <w:u w:val="none"/>
      </w:rPr>
      <w:tblPr/>
      <w:tcPr>
        <w:shd w:val="clear" w:color="auto" w:fill="008080"/>
      </w:tcPr>
    </w:tblStylePr>
    <w:tblStylePr w:type="band1Horz">
      <w:rPr>
        <w:rFonts w:ascii="Calibri" w:hAnsi="Calibri"/>
      </w:rPr>
      <w:tblPr/>
      <w:tcPr>
        <w:shd w:val="clear" w:color="auto" w:fill="F5F5F5"/>
      </w:tcPr>
    </w:tblStylePr>
  </w:style>
  <w:style w:type="character" w:customStyle="1" w:styleId="normaltextrun1">
    <w:name w:val="normaltextrun1"/>
    <w:basedOn w:val="DefaultParagraphFont"/>
    <w:rsid w:val="00CE7197"/>
  </w:style>
  <w:style w:type="table" w:styleId="GridTable4-Accent6">
    <w:name w:val="Grid Table 4 Accent 6"/>
    <w:basedOn w:val="TableNormal"/>
    <w:uiPriority w:val="49"/>
    <w:rsid w:val="00C07303"/>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4">
    <w:name w:val="toc 4"/>
    <w:basedOn w:val="Normal"/>
    <w:next w:val="Normal"/>
    <w:autoRedefine/>
    <w:uiPriority w:val="39"/>
    <w:unhideWhenUsed/>
    <w:rsid w:val="0055175C"/>
    <w:pPr>
      <w:autoSpaceDE/>
      <w:autoSpaceDN/>
      <w:adjustRightInd/>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55175C"/>
    <w:pPr>
      <w:autoSpaceDE/>
      <w:autoSpaceDN/>
      <w:adjustRightInd/>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55175C"/>
    <w:pPr>
      <w:autoSpaceDE/>
      <w:autoSpaceDN/>
      <w:adjustRightInd/>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55175C"/>
    <w:pPr>
      <w:autoSpaceDE/>
      <w:autoSpaceDN/>
      <w:adjustRightInd/>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55175C"/>
    <w:pPr>
      <w:autoSpaceDE/>
      <w:autoSpaceDN/>
      <w:adjustRightInd/>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55175C"/>
    <w:pPr>
      <w:autoSpaceDE/>
      <w:autoSpaceDN/>
      <w:adjustRightInd/>
      <w:spacing w:after="100" w:line="278" w:lineRule="auto"/>
      <w:ind w:left="1920"/>
    </w:pPr>
    <w:rPr>
      <w:rFonts w:asciiTheme="minorHAnsi" w:eastAsiaTheme="minorEastAsia" w:hAnsiTheme="minorHAnsi" w:cstheme="minorBidi"/>
      <w:kern w:val="2"/>
      <w:sz w:val="24"/>
      <w:szCs w:val="24"/>
      <w14:ligatures w14:val="standardContextual"/>
    </w:rPr>
  </w:style>
  <w:style w:type="table" w:customStyle="1" w:styleId="TableGrid2">
    <w:name w:val="Table Grid2"/>
    <w:basedOn w:val="TableNormal"/>
    <w:next w:val="TableGrid"/>
    <w:uiPriority w:val="39"/>
    <w:rsid w:val="000F31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BalloonText"/>
    <w:link w:val="Bullets1Char"/>
    <w:qFormat/>
    <w:rsid w:val="006D775B"/>
    <w:pPr>
      <w:widowControl w:val="0"/>
      <w:numPr>
        <w:numId w:val="75"/>
      </w:numPr>
      <w:overflowPunct w:val="0"/>
      <w:autoSpaceDE w:val="0"/>
      <w:autoSpaceDN w:val="0"/>
      <w:adjustRightInd w:val="0"/>
      <w:spacing w:after="240" w:line="276" w:lineRule="auto"/>
      <w:textAlignment w:val="baseline"/>
    </w:pPr>
    <w:rPr>
      <w:rFonts w:ascii="Arial" w:eastAsia="Times New Roman" w:hAnsi="Arial" w:cs="Arial"/>
      <w:sz w:val="22"/>
      <w:szCs w:val="22"/>
      <w:lang w:val="x-none" w:eastAsia="x-none"/>
    </w:rPr>
  </w:style>
  <w:style w:type="character" w:customStyle="1" w:styleId="Bullets1Char">
    <w:name w:val="Bullets 1 Char"/>
    <w:basedOn w:val="BalloonTextChar1"/>
    <w:link w:val="Bullets1"/>
    <w:rsid w:val="006D775B"/>
    <w:rPr>
      <w:rFonts w:ascii="Arial" w:eastAsia="Times New Roman" w:hAnsi="Arial" w:cs="Arial"/>
      <w:lang w:val="x-none" w:eastAsia="x-none"/>
    </w:rPr>
  </w:style>
  <w:style w:type="paragraph" w:styleId="Caption">
    <w:name w:val="caption"/>
    <w:basedOn w:val="Normal"/>
    <w:next w:val="Normal"/>
    <w:uiPriority w:val="35"/>
    <w:unhideWhenUsed/>
    <w:qFormat/>
    <w:rsid w:val="00A84E46"/>
    <w:pPr>
      <w:spacing w:after="200"/>
    </w:pPr>
    <w:rPr>
      <w:i/>
      <w:iCs/>
      <w:color w:val="44546A" w:themeColor="text2"/>
      <w:sz w:val="18"/>
      <w:szCs w:val="18"/>
    </w:rPr>
  </w:style>
  <w:style w:type="paragraph" w:customStyle="1" w:styleId="sub1">
    <w:name w:val="sub1"/>
    <w:basedOn w:val="Normal"/>
    <w:rsid w:val="0026403B"/>
    <w:pPr>
      <w:overflowPunct w:val="0"/>
      <w:spacing w:after="120" w:line="360" w:lineRule="auto"/>
      <w:ind w:firstLine="1080"/>
      <w:textAlignment w:val="baseline"/>
    </w:pPr>
    <w:rPr>
      <w:rFonts w:ascii="Palatino" w:eastAsia="Times New Roman" w:hAnsi="Palatino" w:cs="Palatino"/>
      <w:sz w:val="26"/>
      <w:szCs w:val="26"/>
    </w:rPr>
  </w:style>
  <w:style w:type="paragraph" w:customStyle="1" w:styleId="BulletLists">
    <w:name w:val="Bullet Lists"/>
    <w:autoRedefine/>
    <w:qFormat/>
    <w:rsid w:val="0001617A"/>
    <w:pPr>
      <w:numPr>
        <w:numId w:val="94"/>
      </w:numPr>
      <w:spacing w:after="240" w:line="288" w:lineRule="auto"/>
      <w:contextualSpacing/>
    </w:pPr>
    <w:rPr>
      <w:rFonts w:ascii="Arial" w:eastAsiaTheme="minorEastAsia" w:hAnsi="Arial"/>
      <w:color w:val="222222"/>
    </w:rPr>
  </w:style>
  <w:style w:type="paragraph" w:styleId="NoSpacing">
    <w:name w:val="No Spacing"/>
    <w:uiPriority w:val="1"/>
    <w:qFormat/>
    <w:rsid w:val="0029683F"/>
    <w:pPr>
      <w:autoSpaceDE w:val="0"/>
      <w:autoSpaceDN w:val="0"/>
      <w:adjustRightInd w:val="0"/>
      <w:spacing w:after="0" w:line="240" w:lineRule="auto"/>
    </w:pPr>
    <w:rPr>
      <w:rFonts w:ascii="Arial" w:eastAsia="Calibri" w:hAnsi="Arial" w:cs="Arial"/>
    </w:rPr>
  </w:style>
  <w:style w:type="paragraph" w:customStyle="1" w:styleId="AESCBullets">
    <w:name w:val="AESC Bullets"/>
    <w:basedOn w:val="Normal"/>
    <w:qFormat/>
    <w:rsid w:val="00070BF5"/>
    <w:pPr>
      <w:widowControl w:val="0"/>
      <w:numPr>
        <w:numId w:val="112"/>
      </w:numPr>
      <w:overflowPunct w:val="0"/>
      <w:spacing w:after="40"/>
    </w:pPr>
    <w:rPr>
      <w:rFonts w:ascii="Roboto" w:eastAsia="Times New Roman" w:hAnsi="Roboto"/>
      <w:color w:val="3A3A3A"/>
      <w:lang w:eastAsia="x-none"/>
    </w:rPr>
  </w:style>
  <w:style w:type="paragraph" w:styleId="ListBullet">
    <w:name w:val="List Bullet"/>
    <w:basedOn w:val="Normal"/>
    <w:next w:val="Normal"/>
    <w:autoRedefine/>
    <w:rsid w:val="00CF2880"/>
    <w:pPr>
      <w:numPr>
        <w:numId w:val="119"/>
      </w:numPr>
      <w:tabs>
        <w:tab w:val="left" w:pos="360"/>
        <w:tab w:val="left" w:pos="720"/>
        <w:tab w:val="left" w:pos="1080"/>
      </w:tabs>
      <w:adjustRightInd/>
      <w:spacing w:after="120" w:line="259" w:lineRule="auto"/>
      <w:ind w:left="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9801">
      <w:bodyDiv w:val="1"/>
      <w:marLeft w:val="0"/>
      <w:marRight w:val="0"/>
      <w:marTop w:val="0"/>
      <w:marBottom w:val="0"/>
      <w:divBdr>
        <w:top w:val="none" w:sz="0" w:space="0" w:color="auto"/>
        <w:left w:val="none" w:sz="0" w:space="0" w:color="auto"/>
        <w:bottom w:val="none" w:sz="0" w:space="0" w:color="auto"/>
        <w:right w:val="none" w:sz="0" w:space="0" w:color="auto"/>
      </w:divBdr>
    </w:div>
    <w:div w:id="170949615">
      <w:bodyDiv w:val="1"/>
      <w:marLeft w:val="0"/>
      <w:marRight w:val="0"/>
      <w:marTop w:val="0"/>
      <w:marBottom w:val="0"/>
      <w:divBdr>
        <w:top w:val="none" w:sz="0" w:space="0" w:color="auto"/>
        <w:left w:val="none" w:sz="0" w:space="0" w:color="auto"/>
        <w:bottom w:val="none" w:sz="0" w:space="0" w:color="auto"/>
        <w:right w:val="none" w:sz="0" w:space="0" w:color="auto"/>
      </w:divBdr>
    </w:div>
    <w:div w:id="290791283">
      <w:bodyDiv w:val="1"/>
      <w:marLeft w:val="0"/>
      <w:marRight w:val="0"/>
      <w:marTop w:val="0"/>
      <w:marBottom w:val="0"/>
      <w:divBdr>
        <w:top w:val="none" w:sz="0" w:space="0" w:color="auto"/>
        <w:left w:val="none" w:sz="0" w:space="0" w:color="auto"/>
        <w:bottom w:val="none" w:sz="0" w:space="0" w:color="auto"/>
        <w:right w:val="none" w:sz="0" w:space="0" w:color="auto"/>
      </w:divBdr>
    </w:div>
    <w:div w:id="308554368">
      <w:bodyDiv w:val="1"/>
      <w:marLeft w:val="0"/>
      <w:marRight w:val="0"/>
      <w:marTop w:val="0"/>
      <w:marBottom w:val="0"/>
      <w:divBdr>
        <w:top w:val="none" w:sz="0" w:space="0" w:color="auto"/>
        <w:left w:val="none" w:sz="0" w:space="0" w:color="auto"/>
        <w:bottom w:val="none" w:sz="0" w:space="0" w:color="auto"/>
        <w:right w:val="none" w:sz="0" w:space="0" w:color="auto"/>
      </w:divBdr>
      <w:divsChild>
        <w:div w:id="16123819">
          <w:marLeft w:val="0"/>
          <w:marRight w:val="0"/>
          <w:marTop w:val="0"/>
          <w:marBottom w:val="0"/>
          <w:divBdr>
            <w:top w:val="none" w:sz="0" w:space="0" w:color="auto"/>
            <w:left w:val="none" w:sz="0" w:space="0" w:color="auto"/>
            <w:bottom w:val="none" w:sz="0" w:space="0" w:color="auto"/>
            <w:right w:val="none" w:sz="0" w:space="0" w:color="auto"/>
          </w:divBdr>
        </w:div>
        <w:div w:id="214197720">
          <w:marLeft w:val="0"/>
          <w:marRight w:val="0"/>
          <w:marTop w:val="0"/>
          <w:marBottom w:val="0"/>
          <w:divBdr>
            <w:top w:val="none" w:sz="0" w:space="0" w:color="auto"/>
            <w:left w:val="none" w:sz="0" w:space="0" w:color="auto"/>
            <w:bottom w:val="none" w:sz="0" w:space="0" w:color="auto"/>
            <w:right w:val="none" w:sz="0" w:space="0" w:color="auto"/>
          </w:divBdr>
        </w:div>
        <w:div w:id="217398848">
          <w:marLeft w:val="0"/>
          <w:marRight w:val="0"/>
          <w:marTop w:val="0"/>
          <w:marBottom w:val="0"/>
          <w:divBdr>
            <w:top w:val="none" w:sz="0" w:space="0" w:color="auto"/>
            <w:left w:val="none" w:sz="0" w:space="0" w:color="auto"/>
            <w:bottom w:val="none" w:sz="0" w:space="0" w:color="auto"/>
            <w:right w:val="none" w:sz="0" w:space="0" w:color="auto"/>
          </w:divBdr>
        </w:div>
        <w:div w:id="371424495">
          <w:marLeft w:val="0"/>
          <w:marRight w:val="0"/>
          <w:marTop w:val="0"/>
          <w:marBottom w:val="0"/>
          <w:divBdr>
            <w:top w:val="none" w:sz="0" w:space="0" w:color="auto"/>
            <w:left w:val="none" w:sz="0" w:space="0" w:color="auto"/>
            <w:bottom w:val="none" w:sz="0" w:space="0" w:color="auto"/>
            <w:right w:val="none" w:sz="0" w:space="0" w:color="auto"/>
          </w:divBdr>
        </w:div>
        <w:div w:id="649212173">
          <w:marLeft w:val="0"/>
          <w:marRight w:val="0"/>
          <w:marTop w:val="0"/>
          <w:marBottom w:val="0"/>
          <w:divBdr>
            <w:top w:val="none" w:sz="0" w:space="0" w:color="auto"/>
            <w:left w:val="none" w:sz="0" w:space="0" w:color="auto"/>
            <w:bottom w:val="none" w:sz="0" w:space="0" w:color="auto"/>
            <w:right w:val="none" w:sz="0" w:space="0" w:color="auto"/>
          </w:divBdr>
        </w:div>
        <w:div w:id="716898449">
          <w:marLeft w:val="0"/>
          <w:marRight w:val="0"/>
          <w:marTop w:val="0"/>
          <w:marBottom w:val="0"/>
          <w:divBdr>
            <w:top w:val="none" w:sz="0" w:space="0" w:color="auto"/>
            <w:left w:val="none" w:sz="0" w:space="0" w:color="auto"/>
            <w:bottom w:val="none" w:sz="0" w:space="0" w:color="auto"/>
            <w:right w:val="none" w:sz="0" w:space="0" w:color="auto"/>
          </w:divBdr>
        </w:div>
        <w:div w:id="852721445">
          <w:marLeft w:val="0"/>
          <w:marRight w:val="0"/>
          <w:marTop w:val="0"/>
          <w:marBottom w:val="0"/>
          <w:divBdr>
            <w:top w:val="none" w:sz="0" w:space="0" w:color="auto"/>
            <w:left w:val="none" w:sz="0" w:space="0" w:color="auto"/>
            <w:bottom w:val="none" w:sz="0" w:space="0" w:color="auto"/>
            <w:right w:val="none" w:sz="0" w:space="0" w:color="auto"/>
          </w:divBdr>
        </w:div>
        <w:div w:id="911037781">
          <w:marLeft w:val="0"/>
          <w:marRight w:val="0"/>
          <w:marTop w:val="0"/>
          <w:marBottom w:val="0"/>
          <w:divBdr>
            <w:top w:val="none" w:sz="0" w:space="0" w:color="auto"/>
            <w:left w:val="none" w:sz="0" w:space="0" w:color="auto"/>
            <w:bottom w:val="none" w:sz="0" w:space="0" w:color="auto"/>
            <w:right w:val="none" w:sz="0" w:space="0" w:color="auto"/>
          </w:divBdr>
        </w:div>
        <w:div w:id="966470065">
          <w:marLeft w:val="0"/>
          <w:marRight w:val="0"/>
          <w:marTop w:val="0"/>
          <w:marBottom w:val="0"/>
          <w:divBdr>
            <w:top w:val="none" w:sz="0" w:space="0" w:color="auto"/>
            <w:left w:val="none" w:sz="0" w:space="0" w:color="auto"/>
            <w:bottom w:val="none" w:sz="0" w:space="0" w:color="auto"/>
            <w:right w:val="none" w:sz="0" w:space="0" w:color="auto"/>
          </w:divBdr>
        </w:div>
        <w:div w:id="1058481152">
          <w:marLeft w:val="0"/>
          <w:marRight w:val="0"/>
          <w:marTop w:val="0"/>
          <w:marBottom w:val="0"/>
          <w:divBdr>
            <w:top w:val="none" w:sz="0" w:space="0" w:color="auto"/>
            <w:left w:val="none" w:sz="0" w:space="0" w:color="auto"/>
            <w:bottom w:val="none" w:sz="0" w:space="0" w:color="auto"/>
            <w:right w:val="none" w:sz="0" w:space="0" w:color="auto"/>
          </w:divBdr>
        </w:div>
        <w:div w:id="1091699901">
          <w:marLeft w:val="0"/>
          <w:marRight w:val="0"/>
          <w:marTop w:val="0"/>
          <w:marBottom w:val="0"/>
          <w:divBdr>
            <w:top w:val="none" w:sz="0" w:space="0" w:color="auto"/>
            <w:left w:val="none" w:sz="0" w:space="0" w:color="auto"/>
            <w:bottom w:val="none" w:sz="0" w:space="0" w:color="auto"/>
            <w:right w:val="none" w:sz="0" w:space="0" w:color="auto"/>
          </w:divBdr>
        </w:div>
        <w:div w:id="1103302534">
          <w:marLeft w:val="0"/>
          <w:marRight w:val="0"/>
          <w:marTop w:val="0"/>
          <w:marBottom w:val="0"/>
          <w:divBdr>
            <w:top w:val="none" w:sz="0" w:space="0" w:color="auto"/>
            <w:left w:val="none" w:sz="0" w:space="0" w:color="auto"/>
            <w:bottom w:val="none" w:sz="0" w:space="0" w:color="auto"/>
            <w:right w:val="none" w:sz="0" w:space="0" w:color="auto"/>
          </w:divBdr>
        </w:div>
        <w:div w:id="1129200560">
          <w:marLeft w:val="0"/>
          <w:marRight w:val="0"/>
          <w:marTop w:val="0"/>
          <w:marBottom w:val="0"/>
          <w:divBdr>
            <w:top w:val="none" w:sz="0" w:space="0" w:color="auto"/>
            <w:left w:val="none" w:sz="0" w:space="0" w:color="auto"/>
            <w:bottom w:val="none" w:sz="0" w:space="0" w:color="auto"/>
            <w:right w:val="none" w:sz="0" w:space="0" w:color="auto"/>
          </w:divBdr>
        </w:div>
        <w:div w:id="1137723523">
          <w:marLeft w:val="0"/>
          <w:marRight w:val="0"/>
          <w:marTop w:val="0"/>
          <w:marBottom w:val="0"/>
          <w:divBdr>
            <w:top w:val="none" w:sz="0" w:space="0" w:color="auto"/>
            <w:left w:val="none" w:sz="0" w:space="0" w:color="auto"/>
            <w:bottom w:val="none" w:sz="0" w:space="0" w:color="auto"/>
            <w:right w:val="none" w:sz="0" w:space="0" w:color="auto"/>
          </w:divBdr>
        </w:div>
        <w:div w:id="1172645939">
          <w:marLeft w:val="0"/>
          <w:marRight w:val="0"/>
          <w:marTop w:val="0"/>
          <w:marBottom w:val="0"/>
          <w:divBdr>
            <w:top w:val="none" w:sz="0" w:space="0" w:color="auto"/>
            <w:left w:val="none" w:sz="0" w:space="0" w:color="auto"/>
            <w:bottom w:val="none" w:sz="0" w:space="0" w:color="auto"/>
            <w:right w:val="none" w:sz="0" w:space="0" w:color="auto"/>
          </w:divBdr>
        </w:div>
        <w:div w:id="1182817318">
          <w:marLeft w:val="0"/>
          <w:marRight w:val="0"/>
          <w:marTop w:val="0"/>
          <w:marBottom w:val="0"/>
          <w:divBdr>
            <w:top w:val="none" w:sz="0" w:space="0" w:color="auto"/>
            <w:left w:val="none" w:sz="0" w:space="0" w:color="auto"/>
            <w:bottom w:val="none" w:sz="0" w:space="0" w:color="auto"/>
            <w:right w:val="none" w:sz="0" w:space="0" w:color="auto"/>
          </w:divBdr>
        </w:div>
        <w:div w:id="1203983382">
          <w:marLeft w:val="0"/>
          <w:marRight w:val="0"/>
          <w:marTop w:val="0"/>
          <w:marBottom w:val="0"/>
          <w:divBdr>
            <w:top w:val="none" w:sz="0" w:space="0" w:color="auto"/>
            <w:left w:val="none" w:sz="0" w:space="0" w:color="auto"/>
            <w:bottom w:val="none" w:sz="0" w:space="0" w:color="auto"/>
            <w:right w:val="none" w:sz="0" w:space="0" w:color="auto"/>
          </w:divBdr>
        </w:div>
        <w:div w:id="1206332716">
          <w:marLeft w:val="0"/>
          <w:marRight w:val="0"/>
          <w:marTop w:val="0"/>
          <w:marBottom w:val="0"/>
          <w:divBdr>
            <w:top w:val="none" w:sz="0" w:space="0" w:color="auto"/>
            <w:left w:val="none" w:sz="0" w:space="0" w:color="auto"/>
            <w:bottom w:val="none" w:sz="0" w:space="0" w:color="auto"/>
            <w:right w:val="none" w:sz="0" w:space="0" w:color="auto"/>
          </w:divBdr>
        </w:div>
        <w:div w:id="1286348393">
          <w:marLeft w:val="0"/>
          <w:marRight w:val="0"/>
          <w:marTop w:val="0"/>
          <w:marBottom w:val="0"/>
          <w:divBdr>
            <w:top w:val="none" w:sz="0" w:space="0" w:color="auto"/>
            <w:left w:val="none" w:sz="0" w:space="0" w:color="auto"/>
            <w:bottom w:val="none" w:sz="0" w:space="0" w:color="auto"/>
            <w:right w:val="none" w:sz="0" w:space="0" w:color="auto"/>
          </w:divBdr>
        </w:div>
        <w:div w:id="1404990754">
          <w:marLeft w:val="0"/>
          <w:marRight w:val="0"/>
          <w:marTop w:val="0"/>
          <w:marBottom w:val="0"/>
          <w:divBdr>
            <w:top w:val="none" w:sz="0" w:space="0" w:color="auto"/>
            <w:left w:val="none" w:sz="0" w:space="0" w:color="auto"/>
            <w:bottom w:val="none" w:sz="0" w:space="0" w:color="auto"/>
            <w:right w:val="none" w:sz="0" w:space="0" w:color="auto"/>
          </w:divBdr>
        </w:div>
        <w:div w:id="1559508853">
          <w:marLeft w:val="0"/>
          <w:marRight w:val="0"/>
          <w:marTop w:val="0"/>
          <w:marBottom w:val="0"/>
          <w:divBdr>
            <w:top w:val="none" w:sz="0" w:space="0" w:color="auto"/>
            <w:left w:val="none" w:sz="0" w:space="0" w:color="auto"/>
            <w:bottom w:val="none" w:sz="0" w:space="0" w:color="auto"/>
            <w:right w:val="none" w:sz="0" w:space="0" w:color="auto"/>
          </w:divBdr>
        </w:div>
        <w:div w:id="1562864119">
          <w:marLeft w:val="0"/>
          <w:marRight w:val="0"/>
          <w:marTop w:val="0"/>
          <w:marBottom w:val="0"/>
          <w:divBdr>
            <w:top w:val="none" w:sz="0" w:space="0" w:color="auto"/>
            <w:left w:val="none" w:sz="0" w:space="0" w:color="auto"/>
            <w:bottom w:val="none" w:sz="0" w:space="0" w:color="auto"/>
            <w:right w:val="none" w:sz="0" w:space="0" w:color="auto"/>
          </w:divBdr>
        </w:div>
        <w:div w:id="1751612635">
          <w:marLeft w:val="0"/>
          <w:marRight w:val="0"/>
          <w:marTop w:val="0"/>
          <w:marBottom w:val="0"/>
          <w:divBdr>
            <w:top w:val="none" w:sz="0" w:space="0" w:color="auto"/>
            <w:left w:val="none" w:sz="0" w:space="0" w:color="auto"/>
            <w:bottom w:val="none" w:sz="0" w:space="0" w:color="auto"/>
            <w:right w:val="none" w:sz="0" w:space="0" w:color="auto"/>
          </w:divBdr>
        </w:div>
        <w:div w:id="2042977007">
          <w:marLeft w:val="0"/>
          <w:marRight w:val="0"/>
          <w:marTop w:val="0"/>
          <w:marBottom w:val="0"/>
          <w:divBdr>
            <w:top w:val="none" w:sz="0" w:space="0" w:color="auto"/>
            <w:left w:val="none" w:sz="0" w:space="0" w:color="auto"/>
            <w:bottom w:val="none" w:sz="0" w:space="0" w:color="auto"/>
            <w:right w:val="none" w:sz="0" w:space="0" w:color="auto"/>
          </w:divBdr>
        </w:div>
        <w:div w:id="2076321292">
          <w:marLeft w:val="0"/>
          <w:marRight w:val="0"/>
          <w:marTop w:val="0"/>
          <w:marBottom w:val="0"/>
          <w:divBdr>
            <w:top w:val="none" w:sz="0" w:space="0" w:color="auto"/>
            <w:left w:val="none" w:sz="0" w:space="0" w:color="auto"/>
            <w:bottom w:val="none" w:sz="0" w:space="0" w:color="auto"/>
            <w:right w:val="none" w:sz="0" w:space="0" w:color="auto"/>
          </w:divBdr>
        </w:div>
      </w:divsChild>
    </w:div>
    <w:div w:id="309407083">
      <w:bodyDiv w:val="1"/>
      <w:marLeft w:val="0"/>
      <w:marRight w:val="0"/>
      <w:marTop w:val="0"/>
      <w:marBottom w:val="0"/>
      <w:divBdr>
        <w:top w:val="none" w:sz="0" w:space="0" w:color="auto"/>
        <w:left w:val="none" w:sz="0" w:space="0" w:color="auto"/>
        <w:bottom w:val="none" w:sz="0" w:space="0" w:color="auto"/>
        <w:right w:val="none" w:sz="0" w:space="0" w:color="auto"/>
      </w:divBdr>
    </w:div>
    <w:div w:id="516844204">
      <w:bodyDiv w:val="1"/>
      <w:marLeft w:val="0"/>
      <w:marRight w:val="0"/>
      <w:marTop w:val="0"/>
      <w:marBottom w:val="0"/>
      <w:divBdr>
        <w:top w:val="none" w:sz="0" w:space="0" w:color="auto"/>
        <w:left w:val="none" w:sz="0" w:space="0" w:color="auto"/>
        <w:bottom w:val="none" w:sz="0" w:space="0" w:color="auto"/>
        <w:right w:val="none" w:sz="0" w:space="0" w:color="auto"/>
      </w:divBdr>
    </w:div>
    <w:div w:id="882599707">
      <w:bodyDiv w:val="1"/>
      <w:marLeft w:val="0"/>
      <w:marRight w:val="0"/>
      <w:marTop w:val="0"/>
      <w:marBottom w:val="0"/>
      <w:divBdr>
        <w:top w:val="none" w:sz="0" w:space="0" w:color="auto"/>
        <w:left w:val="none" w:sz="0" w:space="0" w:color="auto"/>
        <w:bottom w:val="none" w:sz="0" w:space="0" w:color="auto"/>
        <w:right w:val="none" w:sz="0" w:space="0" w:color="auto"/>
      </w:divBdr>
    </w:div>
    <w:div w:id="926962088">
      <w:bodyDiv w:val="1"/>
      <w:marLeft w:val="0"/>
      <w:marRight w:val="0"/>
      <w:marTop w:val="0"/>
      <w:marBottom w:val="0"/>
      <w:divBdr>
        <w:top w:val="none" w:sz="0" w:space="0" w:color="auto"/>
        <w:left w:val="none" w:sz="0" w:space="0" w:color="auto"/>
        <w:bottom w:val="none" w:sz="0" w:space="0" w:color="auto"/>
        <w:right w:val="none" w:sz="0" w:space="0" w:color="auto"/>
      </w:divBdr>
    </w:div>
    <w:div w:id="949316728">
      <w:bodyDiv w:val="1"/>
      <w:marLeft w:val="0"/>
      <w:marRight w:val="0"/>
      <w:marTop w:val="0"/>
      <w:marBottom w:val="0"/>
      <w:divBdr>
        <w:top w:val="none" w:sz="0" w:space="0" w:color="auto"/>
        <w:left w:val="none" w:sz="0" w:space="0" w:color="auto"/>
        <w:bottom w:val="none" w:sz="0" w:space="0" w:color="auto"/>
        <w:right w:val="none" w:sz="0" w:space="0" w:color="auto"/>
      </w:divBdr>
    </w:div>
    <w:div w:id="967588360">
      <w:bodyDiv w:val="1"/>
      <w:marLeft w:val="0"/>
      <w:marRight w:val="0"/>
      <w:marTop w:val="0"/>
      <w:marBottom w:val="0"/>
      <w:divBdr>
        <w:top w:val="none" w:sz="0" w:space="0" w:color="auto"/>
        <w:left w:val="none" w:sz="0" w:space="0" w:color="auto"/>
        <w:bottom w:val="none" w:sz="0" w:space="0" w:color="auto"/>
        <w:right w:val="none" w:sz="0" w:space="0" w:color="auto"/>
      </w:divBdr>
    </w:div>
    <w:div w:id="997615677">
      <w:bodyDiv w:val="1"/>
      <w:marLeft w:val="0"/>
      <w:marRight w:val="0"/>
      <w:marTop w:val="0"/>
      <w:marBottom w:val="0"/>
      <w:divBdr>
        <w:top w:val="none" w:sz="0" w:space="0" w:color="auto"/>
        <w:left w:val="none" w:sz="0" w:space="0" w:color="auto"/>
        <w:bottom w:val="none" w:sz="0" w:space="0" w:color="auto"/>
        <w:right w:val="none" w:sz="0" w:space="0" w:color="auto"/>
      </w:divBdr>
    </w:div>
    <w:div w:id="999700663">
      <w:bodyDiv w:val="1"/>
      <w:marLeft w:val="0"/>
      <w:marRight w:val="0"/>
      <w:marTop w:val="0"/>
      <w:marBottom w:val="0"/>
      <w:divBdr>
        <w:top w:val="none" w:sz="0" w:space="0" w:color="auto"/>
        <w:left w:val="none" w:sz="0" w:space="0" w:color="auto"/>
        <w:bottom w:val="none" w:sz="0" w:space="0" w:color="auto"/>
        <w:right w:val="none" w:sz="0" w:space="0" w:color="auto"/>
      </w:divBdr>
      <w:divsChild>
        <w:div w:id="93795366">
          <w:marLeft w:val="0"/>
          <w:marRight w:val="0"/>
          <w:marTop w:val="0"/>
          <w:marBottom w:val="0"/>
          <w:divBdr>
            <w:top w:val="none" w:sz="0" w:space="0" w:color="auto"/>
            <w:left w:val="none" w:sz="0" w:space="0" w:color="auto"/>
            <w:bottom w:val="none" w:sz="0" w:space="0" w:color="auto"/>
            <w:right w:val="none" w:sz="0" w:space="0" w:color="auto"/>
          </w:divBdr>
        </w:div>
        <w:div w:id="95566201">
          <w:marLeft w:val="0"/>
          <w:marRight w:val="0"/>
          <w:marTop w:val="0"/>
          <w:marBottom w:val="0"/>
          <w:divBdr>
            <w:top w:val="none" w:sz="0" w:space="0" w:color="auto"/>
            <w:left w:val="none" w:sz="0" w:space="0" w:color="auto"/>
            <w:bottom w:val="none" w:sz="0" w:space="0" w:color="auto"/>
            <w:right w:val="none" w:sz="0" w:space="0" w:color="auto"/>
          </w:divBdr>
        </w:div>
        <w:div w:id="175197695">
          <w:marLeft w:val="0"/>
          <w:marRight w:val="0"/>
          <w:marTop w:val="0"/>
          <w:marBottom w:val="0"/>
          <w:divBdr>
            <w:top w:val="none" w:sz="0" w:space="0" w:color="auto"/>
            <w:left w:val="none" w:sz="0" w:space="0" w:color="auto"/>
            <w:bottom w:val="none" w:sz="0" w:space="0" w:color="auto"/>
            <w:right w:val="none" w:sz="0" w:space="0" w:color="auto"/>
          </w:divBdr>
        </w:div>
        <w:div w:id="440030815">
          <w:marLeft w:val="0"/>
          <w:marRight w:val="0"/>
          <w:marTop w:val="0"/>
          <w:marBottom w:val="0"/>
          <w:divBdr>
            <w:top w:val="none" w:sz="0" w:space="0" w:color="auto"/>
            <w:left w:val="none" w:sz="0" w:space="0" w:color="auto"/>
            <w:bottom w:val="none" w:sz="0" w:space="0" w:color="auto"/>
            <w:right w:val="none" w:sz="0" w:space="0" w:color="auto"/>
          </w:divBdr>
        </w:div>
        <w:div w:id="471870989">
          <w:marLeft w:val="0"/>
          <w:marRight w:val="0"/>
          <w:marTop w:val="0"/>
          <w:marBottom w:val="0"/>
          <w:divBdr>
            <w:top w:val="none" w:sz="0" w:space="0" w:color="auto"/>
            <w:left w:val="none" w:sz="0" w:space="0" w:color="auto"/>
            <w:bottom w:val="none" w:sz="0" w:space="0" w:color="auto"/>
            <w:right w:val="none" w:sz="0" w:space="0" w:color="auto"/>
          </w:divBdr>
        </w:div>
        <w:div w:id="595141532">
          <w:marLeft w:val="0"/>
          <w:marRight w:val="0"/>
          <w:marTop w:val="0"/>
          <w:marBottom w:val="0"/>
          <w:divBdr>
            <w:top w:val="none" w:sz="0" w:space="0" w:color="auto"/>
            <w:left w:val="none" w:sz="0" w:space="0" w:color="auto"/>
            <w:bottom w:val="none" w:sz="0" w:space="0" w:color="auto"/>
            <w:right w:val="none" w:sz="0" w:space="0" w:color="auto"/>
          </w:divBdr>
        </w:div>
        <w:div w:id="669524408">
          <w:marLeft w:val="0"/>
          <w:marRight w:val="0"/>
          <w:marTop w:val="0"/>
          <w:marBottom w:val="0"/>
          <w:divBdr>
            <w:top w:val="none" w:sz="0" w:space="0" w:color="auto"/>
            <w:left w:val="none" w:sz="0" w:space="0" w:color="auto"/>
            <w:bottom w:val="none" w:sz="0" w:space="0" w:color="auto"/>
            <w:right w:val="none" w:sz="0" w:space="0" w:color="auto"/>
          </w:divBdr>
        </w:div>
        <w:div w:id="836463145">
          <w:marLeft w:val="0"/>
          <w:marRight w:val="0"/>
          <w:marTop w:val="0"/>
          <w:marBottom w:val="0"/>
          <w:divBdr>
            <w:top w:val="none" w:sz="0" w:space="0" w:color="auto"/>
            <w:left w:val="none" w:sz="0" w:space="0" w:color="auto"/>
            <w:bottom w:val="none" w:sz="0" w:space="0" w:color="auto"/>
            <w:right w:val="none" w:sz="0" w:space="0" w:color="auto"/>
          </w:divBdr>
        </w:div>
        <w:div w:id="851143872">
          <w:marLeft w:val="0"/>
          <w:marRight w:val="0"/>
          <w:marTop w:val="0"/>
          <w:marBottom w:val="0"/>
          <w:divBdr>
            <w:top w:val="none" w:sz="0" w:space="0" w:color="auto"/>
            <w:left w:val="none" w:sz="0" w:space="0" w:color="auto"/>
            <w:bottom w:val="none" w:sz="0" w:space="0" w:color="auto"/>
            <w:right w:val="none" w:sz="0" w:space="0" w:color="auto"/>
          </w:divBdr>
        </w:div>
        <w:div w:id="916284292">
          <w:marLeft w:val="0"/>
          <w:marRight w:val="0"/>
          <w:marTop w:val="0"/>
          <w:marBottom w:val="0"/>
          <w:divBdr>
            <w:top w:val="none" w:sz="0" w:space="0" w:color="auto"/>
            <w:left w:val="none" w:sz="0" w:space="0" w:color="auto"/>
            <w:bottom w:val="none" w:sz="0" w:space="0" w:color="auto"/>
            <w:right w:val="none" w:sz="0" w:space="0" w:color="auto"/>
          </w:divBdr>
        </w:div>
        <w:div w:id="996880410">
          <w:marLeft w:val="0"/>
          <w:marRight w:val="0"/>
          <w:marTop w:val="0"/>
          <w:marBottom w:val="0"/>
          <w:divBdr>
            <w:top w:val="none" w:sz="0" w:space="0" w:color="auto"/>
            <w:left w:val="none" w:sz="0" w:space="0" w:color="auto"/>
            <w:bottom w:val="none" w:sz="0" w:space="0" w:color="auto"/>
            <w:right w:val="none" w:sz="0" w:space="0" w:color="auto"/>
          </w:divBdr>
        </w:div>
        <w:div w:id="1038121168">
          <w:marLeft w:val="0"/>
          <w:marRight w:val="0"/>
          <w:marTop w:val="0"/>
          <w:marBottom w:val="0"/>
          <w:divBdr>
            <w:top w:val="none" w:sz="0" w:space="0" w:color="auto"/>
            <w:left w:val="none" w:sz="0" w:space="0" w:color="auto"/>
            <w:bottom w:val="none" w:sz="0" w:space="0" w:color="auto"/>
            <w:right w:val="none" w:sz="0" w:space="0" w:color="auto"/>
          </w:divBdr>
        </w:div>
        <w:div w:id="1150556059">
          <w:marLeft w:val="0"/>
          <w:marRight w:val="0"/>
          <w:marTop w:val="0"/>
          <w:marBottom w:val="0"/>
          <w:divBdr>
            <w:top w:val="none" w:sz="0" w:space="0" w:color="auto"/>
            <w:left w:val="none" w:sz="0" w:space="0" w:color="auto"/>
            <w:bottom w:val="none" w:sz="0" w:space="0" w:color="auto"/>
            <w:right w:val="none" w:sz="0" w:space="0" w:color="auto"/>
          </w:divBdr>
        </w:div>
        <w:div w:id="1164323873">
          <w:marLeft w:val="0"/>
          <w:marRight w:val="0"/>
          <w:marTop w:val="0"/>
          <w:marBottom w:val="0"/>
          <w:divBdr>
            <w:top w:val="none" w:sz="0" w:space="0" w:color="auto"/>
            <w:left w:val="none" w:sz="0" w:space="0" w:color="auto"/>
            <w:bottom w:val="none" w:sz="0" w:space="0" w:color="auto"/>
            <w:right w:val="none" w:sz="0" w:space="0" w:color="auto"/>
          </w:divBdr>
        </w:div>
        <w:div w:id="1265845140">
          <w:marLeft w:val="0"/>
          <w:marRight w:val="0"/>
          <w:marTop w:val="0"/>
          <w:marBottom w:val="0"/>
          <w:divBdr>
            <w:top w:val="none" w:sz="0" w:space="0" w:color="auto"/>
            <w:left w:val="none" w:sz="0" w:space="0" w:color="auto"/>
            <w:bottom w:val="none" w:sz="0" w:space="0" w:color="auto"/>
            <w:right w:val="none" w:sz="0" w:space="0" w:color="auto"/>
          </w:divBdr>
        </w:div>
        <w:div w:id="1271618786">
          <w:marLeft w:val="0"/>
          <w:marRight w:val="0"/>
          <w:marTop w:val="0"/>
          <w:marBottom w:val="0"/>
          <w:divBdr>
            <w:top w:val="none" w:sz="0" w:space="0" w:color="auto"/>
            <w:left w:val="none" w:sz="0" w:space="0" w:color="auto"/>
            <w:bottom w:val="none" w:sz="0" w:space="0" w:color="auto"/>
            <w:right w:val="none" w:sz="0" w:space="0" w:color="auto"/>
          </w:divBdr>
        </w:div>
        <w:div w:id="1304043881">
          <w:marLeft w:val="0"/>
          <w:marRight w:val="0"/>
          <w:marTop w:val="0"/>
          <w:marBottom w:val="0"/>
          <w:divBdr>
            <w:top w:val="none" w:sz="0" w:space="0" w:color="auto"/>
            <w:left w:val="none" w:sz="0" w:space="0" w:color="auto"/>
            <w:bottom w:val="none" w:sz="0" w:space="0" w:color="auto"/>
            <w:right w:val="none" w:sz="0" w:space="0" w:color="auto"/>
          </w:divBdr>
        </w:div>
        <w:div w:id="1404719455">
          <w:marLeft w:val="0"/>
          <w:marRight w:val="0"/>
          <w:marTop w:val="0"/>
          <w:marBottom w:val="0"/>
          <w:divBdr>
            <w:top w:val="none" w:sz="0" w:space="0" w:color="auto"/>
            <w:left w:val="none" w:sz="0" w:space="0" w:color="auto"/>
            <w:bottom w:val="none" w:sz="0" w:space="0" w:color="auto"/>
            <w:right w:val="none" w:sz="0" w:space="0" w:color="auto"/>
          </w:divBdr>
        </w:div>
        <w:div w:id="1596935280">
          <w:marLeft w:val="0"/>
          <w:marRight w:val="0"/>
          <w:marTop w:val="0"/>
          <w:marBottom w:val="0"/>
          <w:divBdr>
            <w:top w:val="none" w:sz="0" w:space="0" w:color="auto"/>
            <w:left w:val="none" w:sz="0" w:space="0" w:color="auto"/>
            <w:bottom w:val="none" w:sz="0" w:space="0" w:color="auto"/>
            <w:right w:val="none" w:sz="0" w:space="0" w:color="auto"/>
          </w:divBdr>
        </w:div>
        <w:div w:id="1734429197">
          <w:marLeft w:val="0"/>
          <w:marRight w:val="0"/>
          <w:marTop w:val="0"/>
          <w:marBottom w:val="0"/>
          <w:divBdr>
            <w:top w:val="none" w:sz="0" w:space="0" w:color="auto"/>
            <w:left w:val="none" w:sz="0" w:space="0" w:color="auto"/>
            <w:bottom w:val="none" w:sz="0" w:space="0" w:color="auto"/>
            <w:right w:val="none" w:sz="0" w:space="0" w:color="auto"/>
          </w:divBdr>
        </w:div>
        <w:div w:id="1782259426">
          <w:marLeft w:val="0"/>
          <w:marRight w:val="0"/>
          <w:marTop w:val="0"/>
          <w:marBottom w:val="0"/>
          <w:divBdr>
            <w:top w:val="none" w:sz="0" w:space="0" w:color="auto"/>
            <w:left w:val="none" w:sz="0" w:space="0" w:color="auto"/>
            <w:bottom w:val="none" w:sz="0" w:space="0" w:color="auto"/>
            <w:right w:val="none" w:sz="0" w:space="0" w:color="auto"/>
          </w:divBdr>
        </w:div>
        <w:div w:id="1925990090">
          <w:marLeft w:val="0"/>
          <w:marRight w:val="0"/>
          <w:marTop w:val="0"/>
          <w:marBottom w:val="0"/>
          <w:divBdr>
            <w:top w:val="none" w:sz="0" w:space="0" w:color="auto"/>
            <w:left w:val="none" w:sz="0" w:space="0" w:color="auto"/>
            <w:bottom w:val="none" w:sz="0" w:space="0" w:color="auto"/>
            <w:right w:val="none" w:sz="0" w:space="0" w:color="auto"/>
          </w:divBdr>
        </w:div>
        <w:div w:id="2088846417">
          <w:marLeft w:val="0"/>
          <w:marRight w:val="0"/>
          <w:marTop w:val="0"/>
          <w:marBottom w:val="0"/>
          <w:divBdr>
            <w:top w:val="none" w:sz="0" w:space="0" w:color="auto"/>
            <w:left w:val="none" w:sz="0" w:space="0" w:color="auto"/>
            <w:bottom w:val="none" w:sz="0" w:space="0" w:color="auto"/>
            <w:right w:val="none" w:sz="0" w:space="0" w:color="auto"/>
          </w:divBdr>
        </w:div>
        <w:div w:id="2094816077">
          <w:marLeft w:val="0"/>
          <w:marRight w:val="0"/>
          <w:marTop w:val="0"/>
          <w:marBottom w:val="0"/>
          <w:divBdr>
            <w:top w:val="none" w:sz="0" w:space="0" w:color="auto"/>
            <w:left w:val="none" w:sz="0" w:space="0" w:color="auto"/>
            <w:bottom w:val="none" w:sz="0" w:space="0" w:color="auto"/>
            <w:right w:val="none" w:sz="0" w:space="0" w:color="auto"/>
          </w:divBdr>
        </w:div>
        <w:div w:id="2140032955">
          <w:marLeft w:val="0"/>
          <w:marRight w:val="0"/>
          <w:marTop w:val="0"/>
          <w:marBottom w:val="0"/>
          <w:divBdr>
            <w:top w:val="none" w:sz="0" w:space="0" w:color="auto"/>
            <w:left w:val="none" w:sz="0" w:space="0" w:color="auto"/>
            <w:bottom w:val="none" w:sz="0" w:space="0" w:color="auto"/>
            <w:right w:val="none" w:sz="0" w:space="0" w:color="auto"/>
          </w:divBdr>
        </w:div>
      </w:divsChild>
    </w:div>
    <w:div w:id="1134298275">
      <w:bodyDiv w:val="1"/>
      <w:marLeft w:val="0"/>
      <w:marRight w:val="0"/>
      <w:marTop w:val="0"/>
      <w:marBottom w:val="0"/>
      <w:divBdr>
        <w:top w:val="none" w:sz="0" w:space="0" w:color="auto"/>
        <w:left w:val="none" w:sz="0" w:space="0" w:color="auto"/>
        <w:bottom w:val="none" w:sz="0" w:space="0" w:color="auto"/>
        <w:right w:val="none" w:sz="0" w:space="0" w:color="auto"/>
      </w:divBdr>
    </w:div>
    <w:div w:id="1172258440">
      <w:bodyDiv w:val="1"/>
      <w:marLeft w:val="0"/>
      <w:marRight w:val="0"/>
      <w:marTop w:val="0"/>
      <w:marBottom w:val="0"/>
      <w:divBdr>
        <w:top w:val="none" w:sz="0" w:space="0" w:color="auto"/>
        <w:left w:val="none" w:sz="0" w:space="0" w:color="auto"/>
        <w:bottom w:val="none" w:sz="0" w:space="0" w:color="auto"/>
        <w:right w:val="none" w:sz="0" w:space="0" w:color="auto"/>
      </w:divBdr>
    </w:div>
    <w:div w:id="1269653160">
      <w:bodyDiv w:val="1"/>
      <w:marLeft w:val="0"/>
      <w:marRight w:val="0"/>
      <w:marTop w:val="0"/>
      <w:marBottom w:val="0"/>
      <w:divBdr>
        <w:top w:val="none" w:sz="0" w:space="0" w:color="auto"/>
        <w:left w:val="none" w:sz="0" w:space="0" w:color="auto"/>
        <w:bottom w:val="none" w:sz="0" w:space="0" w:color="auto"/>
        <w:right w:val="none" w:sz="0" w:space="0" w:color="auto"/>
      </w:divBdr>
    </w:div>
    <w:div w:id="1279991777">
      <w:bodyDiv w:val="1"/>
      <w:marLeft w:val="0"/>
      <w:marRight w:val="0"/>
      <w:marTop w:val="0"/>
      <w:marBottom w:val="0"/>
      <w:divBdr>
        <w:top w:val="none" w:sz="0" w:space="0" w:color="auto"/>
        <w:left w:val="none" w:sz="0" w:space="0" w:color="auto"/>
        <w:bottom w:val="none" w:sz="0" w:space="0" w:color="auto"/>
        <w:right w:val="none" w:sz="0" w:space="0" w:color="auto"/>
      </w:divBdr>
    </w:div>
    <w:div w:id="1280795619">
      <w:bodyDiv w:val="1"/>
      <w:marLeft w:val="0"/>
      <w:marRight w:val="0"/>
      <w:marTop w:val="0"/>
      <w:marBottom w:val="0"/>
      <w:divBdr>
        <w:top w:val="none" w:sz="0" w:space="0" w:color="auto"/>
        <w:left w:val="none" w:sz="0" w:space="0" w:color="auto"/>
        <w:bottom w:val="none" w:sz="0" w:space="0" w:color="auto"/>
        <w:right w:val="none" w:sz="0" w:space="0" w:color="auto"/>
      </w:divBdr>
    </w:div>
    <w:div w:id="1296521836">
      <w:bodyDiv w:val="1"/>
      <w:marLeft w:val="0"/>
      <w:marRight w:val="0"/>
      <w:marTop w:val="0"/>
      <w:marBottom w:val="0"/>
      <w:divBdr>
        <w:top w:val="none" w:sz="0" w:space="0" w:color="auto"/>
        <w:left w:val="none" w:sz="0" w:space="0" w:color="auto"/>
        <w:bottom w:val="none" w:sz="0" w:space="0" w:color="auto"/>
        <w:right w:val="none" w:sz="0" w:space="0" w:color="auto"/>
      </w:divBdr>
    </w:div>
    <w:div w:id="1397822487">
      <w:bodyDiv w:val="1"/>
      <w:marLeft w:val="0"/>
      <w:marRight w:val="0"/>
      <w:marTop w:val="0"/>
      <w:marBottom w:val="0"/>
      <w:divBdr>
        <w:top w:val="none" w:sz="0" w:space="0" w:color="auto"/>
        <w:left w:val="none" w:sz="0" w:space="0" w:color="auto"/>
        <w:bottom w:val="none" w:sz="0" w:space="0" w:color="auto"/>
        <w:right w:val="none" w:sz="0" w:space="0" w:color="auto"/>
      </w:divBdr>
    </w:div>
    <w:div w:id="1496723577">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587767515">
      <w:bodyDiv w:val="1"/>
      <w:marLeft w:val="0"/>
      <w:marRight w:val="0"/>
      <w:marTop w:val="0"/>
      <w:marBottom w:val="0"/>
      <w:divBdr>
        <w:top w:val="none" w:sz="0" w:space="0" w:color="auto"/>
        <w:left w:val="none" w:sz="0" w:space="0" w:color="auto"/>
        <w:bottom w:val="none" w:sz="0" w:space="0" w:color="auto"/>
        <w:right w:val="none" w:sz="0" w:space="0" w:color="auto"/>
      </w:divBdr>
    </w:div>
    <w:div w:id="1605262193">
      <w:bodyDiv w:val="1"/>
      <w:marLeft w:val="0"/>
      <w:marRight w:val="0"/>
      <w:marTop w:val="0"/>
      <w:marBottom w:val="0"/>
      <w:divBdr>
        <w:top w:val="none" w:sz="0" w:space="0" w:color="auto"/>
        <w:left w:val="none" w:sz="0" w:space="0" w:color="auto"/>
        <w:bottom w:val="none" w:sz="0" w:space="0" w:color="auto"/>
        <w:right w:val="none" w:sz="0" w:space="0" w:color="auto"/>
      </w:divBdr>
    </w:div>
    <w:div w:id="1668484097">
      <w:bodyDiv w:val="1"/>
      <w:marLeft w:val="0"/>
      <w:marRight w:val="0"/>
      <w:marTop w:val="0"/>
      <w:marBottom w:val="0"/>
      <w:divBdr>
        <w:top w:val="none" w:sz="0" w:space="0" w:color="auto"/>
        <w:left w:val="none" w:sz="0" w:space="0" w:color="auto"/>
        <w:bottom w:val="none" w:sz="0" w:space="0" w:color="auto"/>
        <w:right w:val="none" w:sz="0" w:space="0" w:color="auto"/>
      </w:divBdr>
    </w:div>
    <w:div w:id="1782608231">
      <w:bodyDiv w:val="1"/>
      <w:marLeft w:val="0"/>
      <w:marRight w:val="0"/>
      <w:marTop w:val="0"/>
      <w:marBottom w:val="0"/>
      <w:divBdr>
        <w:top w:val="none" w:sz="0" w:space="0" w:color="auto"/>
        <w:left w:val="none" w:sz="0" w:space="0" w:color="auto"/>
        <w:bottom w:val="none" w:sz="0" w:space="0" w:color="auto"/>
        <w:right w:val="none" w:sz="0" w:space="0" w:color="auto"/>
      </w:divBdr>
    </w:div>
    <w:div w:id="1823423144">
      <w:bodyDiv w:val="1"/>
      <w:marLeft w:val="0"/>
      <w:marRight w:val="0"/>
      <w:marTop w:val="0"/>
      <w:marBottom w:val="0"/>
      <w:divBdr>
        <w:top w:val="none" w:sz="0" w:space="0" w:color="auto"/>
        <w:left w:val="none" w:sz="0" w:space="0" w:color="auto"/>
        <w:bottom w:val="none" w:sz="0" w:space="0" w:color="auto"/>
        <w:right w:val="none" w:sz="0" w:space="0" w:color="auto"/>
      </w:divBdr>
    </w:div>
    <w:div w:id="1859347995">
      <w:bodyDiv w:val="1"/>
      <w:marLeft w:val="0"/>
      <w:marRight w:val="0"/>
      <w:marTop w:val="0"/>
      <w:marBottom w:val="0"/>
      <w:divBdr>
        <w:top w:val="none" w:sz="0" w:space="0" w:color="auto"/>
        <w:left w:val="none" w:sz="0" w:space="0" w:color="auto"/>
        <w:bottom w:val="none" w:sz="0" w:space="0" w:color="auto"/>
        <w:right w:val="none" w:sz="0" w:space="0" w:color="auto"/>
      </w:divBdr>
    </w:div>
    <w:div w:id="1915045041">
      <w:bodyDiv w:val="1"/>
      <w:marLeft w:val="0"/>
      <w:marRight w:val="0"/>
      <w:marTop w:val="0"/>
      <w:marBottom w:val="0"/>
      <w:divBdr>
        <w:top w:val="none" w:sz="0" w:space="0" w:color="auto"/>
        <w:left w:val="none" w:sz="0" w:space="0" w:color="auto"/>
        <w:bottom w:val="none" w:sz="0" w:space="0" w:color="auto"/>
        <w:right w:val="none" w:sz="0" w:space="0" w:color="auto"/>
      </w:divBdr>
    </w:div>
    <w:div w:id="1935164098">
      <w:bodyDiv w:val="1"/>
      <w:marLeft w:val="0"/>
      <w:marRight w:val="0"/>
      <w:marTop w:val="0"/>
      <w:marBottom w:val="0"/>
      <w:divBdr>
        <w:top w:val="none" w:sz="0" w:space="0" w:color="auto"/>
        <w:left w:val="none" w:sz="0" w:space="0" w:color="auto"/>
        <w:bottom w:val="none" w:sz="0" w:space="0" w:color="auto"/>
        <w:right w:val="none" w:sz="0" w:space="0" w:color="auto"/>
      </w:divBdr>
    </w:div>
    <w:div w:id="212461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github.com/openeemeter/eemeter" TargetMode="External"/><Relationship Id="rId13" Type="http://schemas.openxmlformats.org/officeDocument/2006/relationships/hyperlink" Target="http://docs.cpuc.ca.gov/publisheddocs/published/g000/m232/k459/232459122.pdf" TargetMode="External"/><Relationship Id="rId3" Type="http://schemas.openxmlformats.org/officeDocument/2006/relationships/hyperlink" Target="http://docs.caltrack.org/en/latest/methods.html" TargetMode="External"/><Relationship Id="rId7" Type="http://schemas.openxmlformats.org/officeDocument/2006/relationships/hyperlink" Target="https://webstore.ansi.org/standards/ashrae/ashraeguideline142023" TargetMode="External"/><Relationship Id="rId12" Type="http://schemas.openxmlformats.org/officeDocument/2006/relationships/hyperlink" Target="https://www.calmac.org/publications/PGE0476.01.pdf" TargetMode="External"/><Relationship Id="rId2" Type="http://schemas.openxmlformats.org/officeDocument/2006/relationships/hyperlink" Target="http://docs.caltrack.org/en/latest/methods.html" TargetMode="External"/><Relationship Id="rId1" Type="http://schemas.openxmlformats.org/officeDocument/2006/relationships/hyperlink" Target="http://docs.caltrack.org/en/latest/methods.html" TargetMode="External"/><Relationship Id="rId6" Type="http://schemas.openxmlformats.org/officeDocument/2006/relationships/hyperlink" Target="http://docs.cpuc.ca.gov/publisheddocs/published/g000/m232/k459/232459122.pdf" TargetMode="External"/><Relationship Id="rId11" Type="http://schemas.openxmlformats.org/officeDocument/2006/relationships/hyperlink" Target="https://www.publichealth.columbia.edu/research/population-health-methods/difference-difference-estimation" TargetMode="External"/><Relationship Id="rId5" Type="http://schemas.openxmlformats.org/officeDocument/2006/relationships/hyperlink" Target="https://evo-world.org/en/products-services-mainmenu-en/protocols/ipmvp" TargetMode="External"/><Relationship Id="rId10" Type="http://schemas.openxmlformats.org/officeDocument/2006/relationships/hyperlink" Target="https://xgboost.readthedocs.io/en/stable/python/" TargetMode="External"/><Relationship Id="rId4" Type="http://schemas.openxmlformats.org/officeDocument/2006/relationships/hyperlink" Target="https://www.ashrae.org/technical-resources/standards-and-guidelines/titles-purposes-and-scopes" TargetMode="External"/><Relationship Id="rId9" Type="http://schemas.openxmlformats.org/officeDocument/2006/relationships/hyperlink" Target="https://docs.caltrack.org/en/latest/methods.html" TargetMode="External"/><Relationship Id="rId14" Type="http://schemas.openxmlformats.org/officeDocument/2006/relationships/hyperlink" Target="https://www.cpuc.ca.gov/General.aspx?id=644245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870e7c11-ae1f-4d3d-a559-665563d266b8" xsi:nil="true"/>
    <_ip_UnifiedCompliancePolicyProperties xmlns="http://schemas.microsoft.com/sharepoint/v3" xsi:nil="true"/>
    <Test_x0020_notes xmlns="870e7c11-ae1f-4d3d-a559-665563d266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DED26DBB77D14CBDD35401EA8BA69A" ma:contentTypeVersion="22" ma:contentTypeDescription="Create a new document." ma:contentTypeScope="" ma:versionID="0fa853deb6074650b1958d413ddcbdbf">
  <xsd:schema xmlns:xsd="http://www.w3.org/2001/XMLSchema" xmlns:xs="http://www.w3.org/2001/XMLSchema" xmlns:p="http://schemas.microsoft.com/office/2006/metadata/properties" xmlns:ns1="http://schemas.microsoft.com/sharepoint/v3" xmlns:ns2="da71d01b-0173-42d4-bd9e-03574c50f54f" xmlns:ns3="870e7c11-ae1f-4d3d-a559-665563d266b8" targetNamespace="http://schemas.microsoft.com/office/2006/metadata/properties" ma:root="true" ma:fieldsID="362e351b73102c347e12c95509cc5a29" ns1:_="" ns2:_="" ns3:_="">
    <xsd:import namespace="http://schemas.microsoft.com/sharepoint/v3"/>
    <xsd:import namespace="da71d01b-0173-42d4-bd9e-03574c50f54f"/>
    <xsd:import namespace="870e7c11-ae1f-4d3d-a559-665563d266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est_x0020_notes" minOccurs="0"/>
                <xsd:element ref="ns3:MediaServiceAutoKeyPoints" minOccurs="0"/>
                <xsd:element ref="ns3:MediaServiceKeyPoints" minOccurs="0"/>
                <xsd:element ref="ns3:MediaLengthInSeconds" minOccurs="0"/>
                <xsd:element ref="ns3:_Flow_SignoffStatu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1d01b-0173-42d4-bd9e-03574c50f5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0e7c11-ae1f-4d3d-a559-665563d266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est_x0020_notes" ma:index="20" nillable="true" ma:displayName="Test notes" ma:internalName="Test_x0020_notes">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2EBEB-A184-4AF9-86BE-91C4156D1ECC}">
  <ds:schemaRefs>
    <ds:schemaRef ds:uri="http://schemas.microsoft.com/office/2006/metadata/properties"/>
    <ds:schemaRef ds:uri="http://schemas.microsoft.com/office/infopath/2007/PartnerControls"/>
    <ds:schemaRef ds:uri="http://schemas.microsoft.com/sharepoint/v3"/>
    <ds:schemaRef ds:uri="870e7c11-ae1f-4d3d-a559-665563d266b8"/>
  </ds:schemaRefs>
</ds:datastoreItem>
</file>

<file path=customXml/itemProps2.xml><?xml version="1.0" encoding="utf-8"?>
<ds:datastoreItem xmlns:ds="http://schemas.openxmlformats.org/officeDocument/2006/customXml" ds:itemID="{982FA939-3B88-4897-98F3-4FE3584535A4}">
  <ds:schemaRefs>
    <ds:schemaRef ds:uri="http://schemas.openxmlformats.org/officeDocument/2006/bibliography"/>
  </ds:schemaRefs>
</ds:datastoreItem>
</file>

<file path=customXml/itemProps3.xml><?xml version="1.0" encoding="utf-8"?>
<ds:datastoreItem xmlns:ds="http://schemas.openxmlformats.org/officeDocument/2006/customXml" ds:itemID="{12024740-0BB0-413A-88AB-3414E4C40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71d01b-0173-42d4-bd9e-03574c50f54f"/>
    <ds:schemaRef ds:uri="870e7c11-ae1f-4d3d-a559-665563d2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873B9-924A-4A80-9A92-EC59317E2CE8}">
  <ds:schemaRefs>
    <ds:schemaRef ds:uri="http://schemas.microsoft.com/sharepoint/v3/contenttype/forms"/>
  </ds:schemaRefs>
</ds:datastoreItem>
</file>

<file path=docMetadata/LabelInfo.xml><?xml version="1.0" encoding="utf-8"?>
<clbl:labelList xmlns:clbl="http://schemas.microsoft.com/office/2020/mipLabelMetadata">
  <clbl:label id="{746d2a3f-4d51-44da-b226-f025675a294d}" enabled="1" method="Privileged" siteId="{44ae661a-ece6-41aa-bc96-7c2c85a0894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11388</Words>
  <Characters>64913</Characters>
  <Application>Microsoft Office Word</Application>
  <DocSecurity>0</DocSecurity>
  <Lines>540</Lines>
  <Paragraphs>152</Paragraphs>
  <ScaleCrop>false</ScaleCrop>
  <Company/>
  <LinksUpToDate>false</LinksUpToDate>
  <CharactersWithSpaces>76149</CharactersWithSpaces>
  <SharedDoc>false</SharedDoc>
  <HLinks>
    <vt:vector size="108" baseType="variant">
      <vt:variant>
        <vt:i4>7733351</vt:i4>
      </vt:variant>
      <vt:variant>
        <vt:i4>39</vt:i4>
      </vt:variant>
      <vt:variant>
        <vt:i4>0</vt:i4>
      </vt:variant>
      <vt:variant>
        <vt:i4>5</vt:i4>
      </vt:variant>
      <vt:variant>
        <vt:lpwstr>https://www.cpuc.ca.gov/General.aspx?id=6442456320</vt:lpwstr>
      </vt:variant>
      <vt:variant>
        <vt:lpwstr/>
      </vt:variant>
      <vt:variant>
        <vt:i4>4653070</vt:i4>
      </vt:variant>
      <vt:variant>
        <vt:i4>36</vt:i4>
      </vt:variant>
      <vt:variant>
        <vt:i4>0</vt:i4>
      </vt:variant>
      <vt:variant>
        <vt:i4>5</vt:i4>
      </vt:variant>
      <vt:variant>
        <vt:lpwstr>http://docs.cpuc.ca.gov/publisheddocs/published/g000/m232/k459/232459122.pdf</vt:lpwstr>
      </vt:variant>
      <vt:variant>
        <vt:lpwstr/>
      </vt:variant>
      <vt:variant>
        <vt:i4>7602210</vt:i4>
      </vt:variant>
      <vt:variant>
        <vt:i4>33</vt:i4>
      </vt:variant>
      <vt:variant>
        <vt:i4>0</vt:i4>
      </vt:variant>
      <vt:variant>
        <vt:i4>5</vt:i4>
      </vt:variant>
      <vt:variant>
        <vt:lpwstr>https://www.calmac.org/publications/PGE0476.01.pdf</vt:lpwstr>
      </vt:variant>
      <vt:variant>
        <vt:lpwstr/>
      </vt:variant>
      <vt:variant>
        <vt:i4>4456463</vt:i4>
      </vt:variant>
      <vt:variant>
        <vt:i4>30</vt:i4>
      </vt:variant>
      <vt:variant>
        <vt:i4>0</vt:i4>
      </vt:variant>
      <vt:variant>
        <vt:i4>5</vt:i4>
      </vt:variant>
      <vt:variant>
        <vt:lpwstr>https://www.publichealth.columbia.edu/research/population-health-methods/difference-difference-estimation</vt:lpwstr>
      </vt:variant>
      <vt:variant>
        <vt:lpwstr/>
      </vt:variant>
      <vt:variant>
        <vt:i4>1441881</vt:i4>
      </vt:variant>
      <vt:variant>
        <vt:i4>27</vt:i4>
      </vt:variant>
      <vt:variant>
        <vt:i4>0</vt:i4>
      </vt:variant>
      <vt:variant>
        <vt:i4>5</vt:i4>
      </vt:variant>
      <vt:variant>
        <vt:lpwstr>https://xgboost.readthedocs.io/en/stable/python/</vt:lpwstr>
      </vt:variant>
      <vt:variant>
        <vt:lpwstr/>
      </vt:variant>
      <vt:variant>
        <vt:i4>1376324</vt:i4>
      </vt:variant>
      <vt:variant>
        <vt:i4>24</vt:i4>
      </vt:variant>
      <vt:variant>
        <vt:i4>0</vt:i4>
      </vt:variant>
      <vt:variant>
        <vt:i4>5</vt:i4>
      </vt:variant>
      <vt:variant>
        <vt:lpwstr>https://docs.caltrack.org/en/latest/methods.html</vt:lpwstr>
      </vt:variant>
      <vt:variant>
        <vt:lpwstr/>
      </vt:variant>
      <vt:variant>
        <vt:i4>7733369</vt:i4>
      </vt:variant>
      <vt:variant>
        <vt:i4>21</vt:i4>
      </vt:variant>
      <vt:variant>
        <vt:i4>0</vt:i4>
      </vt:variant>
      <vt:variant>
        <vt:i4>5</vt:i4>
      </vt:variant>
      <vt:variant>
        <vt:lpwstr>https://github.com/openeemeter/eemeter</vt:lpwstr>
      </vt:variant>
      <vt:variant>
        <vt:lpwstr/>
      </vt:variant>
      <vt:variant>
        <vt:i4>4</vt:i4>
      </vt:variant>
      <vt:variant>
        <vt:i4>18</vt:i4>
      </vt:variant>
      <vt:variant>
        <vt:i4>0</vt:i4>
      </vt:variant>
      <vt:variant>
        <vt:i4>5</vt:i4>
      </vt:variant>
      <vt:variant>
        <vt:lpwstr>https://webstore.ansi.org/standards/ashrae/ashraeguideline142023</vt:lpwstr>
      </vt:variant>
      <vt:variant>
        <vt:lpwstr/>
      </vt:variant>
      <vt:variant>
        <vt:i4>4653070</vt:i4>
      </vt:variant>
      <vt:variant>
        <vt:i4>15</vt:i4>
      </vt:variant>
      <vt:variant>
        <vt:i4>0</vt:i4>
      </vt:variant>
      <vt:variant>
        <vt:i4>5</vt:i4>
      </vt:variant>
      <vt:variant>
        <vt:lpwstr>http://docs.cpuc.ca.gov/publisheddocs/published/g000/m232/k459/232459122.pdf</vt:lpwstr>
      </vt:variant>
      <vt:variant>
        <vt:lpwstr/>
      </vt:variant>
      <vt:variant>
        <vt:i4>3670074</vt:i4>
      </vt:variant>
      <vt:variant>
        <vt:i4>12</vt:i4>
      </vt:variant>
      <vt:variant>
        <vt:i4>0</vt:i4>
      </vt:variant>
      <vt:variant>
        <vt:i4>5</vt:i4>
      </vt:variant>
      <vt:variant>
        <vt:lpwstr>https://evo-world.org/en/products-services-mainmenu-en/protocols/ipmvp</vt:lpwstr>
      </vt:variant>
      <vt:variant>
        <vt:lpwstr/>
      </vt:variant>
      <vt:variant>
        <vt:i4>8126561</vt:i4>
      </vt:variant>
      <vt:variant>
        <vt:i4>9</vt:i4>
      </vt:variant>
      <vt:variant>
        <vt:i4>0</vt:i4>
      </vt:variant>
      <vt:variant>
        <vt:i4>5</vt:i4>
      </vt:variant>
      <vt:variant>
        <vt:lpwstr>https://www.ashrae.org/technical-resources/standards-and-guidelines/titles-purposes-and-scopes</vt:lpwstr>
      </vt:variant>
      <vt:variant>
        <vt:lpwstr/>
      </vt:variant>
      <vt:variant>
        <vt:i4>3080289</vt:i4>
      </vt:variant>
      <vt:variant>
        <vt:i4>6</vt:i4>
      </vt:variant>
      <vt:variant>
        <vt:i4>0</vt:i4>
      </vt:variant>
      <vt:variant>
        <vt:i4>5</vt:i4>
      </vt:variant>
      <vt:variant>
        <vt:lpwstr>http://docs.caltrack.org/en/latest/methods.html</vt:lpwstr>
      </vt:variant>
      <vt:variant>
        <vt:lpwstr/>
      </vt:variant>
      <vt:variant>
        <vt:i4>3080289</vt:i4>
      </vt:variant>
      <vt:variant>
        <vt:i4>3</vt:i4>
      </vt:variant>
      <vt:variant>
        <vt:i4>0</vt:i4>
      </vt:variant>
      <vt:variant>
        <vt:i4>5</vt:i4>
      </vt:variant>
      <vt:variant>
        <vt:lpwstr>http://docs.caltrack.org/en/latest/methods.html</vt:lpwstr>
      </vt:variant>
      <vt:variant>
        <vt:lpwstr/>
      </vt:variant>
      <vt:variant>
        <vt:i4>3080289</vt:i4>
      </vt:variant>
      <vt:variant>
        <vt:i4>0</vt:i4>
      </vt:variant>
      <vt:variant>
        <vt:i4>0</vt:i4>
      </vt:variant>
      <vt:variant>
        <vt:i4>5</vt:i4>
      </vt:variant>
      <vt:variant>
        <vt:lpwstr>http://docs.caltrack.org/en/latest/methods.html</vt:lpwstr>
      </vt:variant>
      <vt:variant>
        <vt:lpwstr/>
      </vt:variant>
      <vt:variant>
        <vt:i4>1441897</vt:i4>
      </vt:variant>
      <vt:variant>
        <vt:i4>9</vt:i4>
      </vt:variant>
      <vt:variant>
        <vt:i4>0</vt:i4>
      </vt:variant>
      <vt:variant>
        <vt:i4>5</vt:i4>
      </vt:variant>
      <vt:variant>
        <vt:lpwstr>mailto:P6BC@pge.com</vt:lpwstr>
      </vt:variant>
      <vt:variant>
        <vt:lpwstr/>
      </vt:variant>
      <vt:variant>
        <vt:i4>3145796</vt:i4>
      </vt:variant>
      <vt:variant>
        <vt:i4>6</vt:i4>
      </vt:variant>
      <vt:variant>
        <vt:i4>0</vt:i4>
      </vt:variant>
      <vt:variant>
        <vt:i4>5</vt:i4>
      </vt:variant>
      <vt:variant>
        <vt:lpwstr>mailto:cbranson@aesc-inc.com</vt:lpwstr>
      </vt:variant>
      <vt:variant>
        <vt:lpwstr/>
      </vt:variant>
      <vt:variant>
        <vt:i4>1441897</vt:i4>
      </vt:variant>
      <vt:variant>
        <vt:i4>3</vt:i4>
      </vt:variant>
      <vt:variant>
        <vt:i4>0</vt:i4>
      </vt:variant>
      <vt:variant>
        <vt:i4>5</vt:i4>
      </vt:variant>
      <vt:variant>
        <vt:lpwstr>mailto:P6BC@pge.com</vt:lpwstr>
      </vt:variant>
      <vt:variant>
        <vt:lpwstr/>
      </vt:variant>
      <vt:variant>
        <vt:i4>1441897</vt:i4>
      </vt:variant>
      <vt:variant>
        <vt:i4>0</vt:i4>
      </vt:variant>
      <vt:variant>
        <vt:i4>0</vt:i4>
      </vt:variant>
      <vt:variant>
        <vt:i4>5</vt:i4>
      </vt:variant>
      <vt:variant>
        <vt:lpwstr>mailto:P6BC@pge.com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 Warren</dc:creator>
  <cp:keywords/>
  <dc:description/>
  <cp:lastModifiedBy>Csapo, Sebastien</cp:lastModifiedBy>
  <cp:revision>2</cp:revision>
  <cp:lastPrinted>2022-06-01T22:45:00Z</cp:lastPrinted>
  <dcterms:created xsi:type="dcterms:W3CDTF">2024-08-12T21:45:00Z</dcterms:created>
  <dcterms:modified xsi:type="dcterms:W3CDTF">2024-08-12T21:45:00Z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0x01010028DED26DBB77D14CBDD35401EA8BA69A</vt:lpwstr>
  </property>
  <property fmtid="{D5CDD505-2E9C-101B-9397-08002B2CF9AE}" pid="3" name="MediaServiceImageTags">
    <vt:lpwstr/>
  </property>
  <property fmtid="{D5CDD505-2E9C-101B-9397-08002B2CF9AE}" pid="4" name="pgeRecordCategory">
    <vt:lpwstr/>
  </property>
</Properties>
</file>