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337AA" w14:textId="6EBEF577" w:rsidR="00BD39DF" w:rsidRDefault="00B027B8" w:rsidP="005803ED">
      <w:pPr>
        <w:pStyle w:val="Title"/>
      </w:pPr>
      <w:r>
        <w:t>Small-medium business (</w:t>
      </w:r>
      <w:r w:rsidR="0009312C">
        <w:t>SMB</w:t>
      </w:r>
      <w:r>
        <w:t>)</w:t>
      </w:r>
      <w:r w:rsidR="0009312C">
        <w:t xml:space="preserve"> </w:t>
      </w:r>
      <w:r w:rsidR="00EA4E25">
        <w:t xml:space="preserve">Demarcation </w:t>
      </w:r>
      <w:r w:rsidR="0009312C">
        <w:t>Proposal</w:t>
      </w:r>
    </w:p>
    <w:p w14:paraId="1C76814E" w14:textId="4E97511F" w:rsidR="0009312C" w:rsidRDefault="0009312C">
      <w:r>
        <w:t xml:space="preserve">Draft for discussion at 10.13.2020 Underserved Workgroup </w:t>
      </w:r>
    </w:p>
    <w:p w14:paraId="2B3B0C9C" w14:textId="42ACE221" w:rsidR="0009312C" w:rsidRDefault="0009312C" w:rsidP="005803ED">
      <w:pPr>
        <w:pStyle w:val="Heading1"/>
      </w:pPr>
      <w:r>
        <w:t>Background</w:t>
      </w:r>
    </w:p>
    <w:p w14:paraId="670BBA7F" w14:textId="1D56A6BE" w:rsidR="005803ED" w:rsidRDefault="005803ED" w:rsidP="005803ED">
      <w:r>
        <w:t xml:space="preserve">The CAEECC Underserved Work Group </w:t>
      </w:r>
      <w:r w:rsidR="00821DAE">
        <w:t xml:space="preserve">is overseeing analysis on small business </w:t>
      </w:r>
      <w:r w:rsidR="00B027B8">
        <w:t>customers</w:t>
      </w:r>
      <w:r w:rsidR="00821DAE">
        <w:t xml:space="preserve">. </w:t>
      </w:r>
    </w:p>
    <w:p w14:paraId="1BB4F3E2" w14:textId="4DFDED48" w:rsidR="0009312C" w:rsidRPr="005803ED" w:rsidRDefault="00B027B8" w:rsidP="005803ED">
      <w:r>
        <w:t>The definition of SMB sets the parameters for the analysis. E</w:t>
      </w:r>
      <w:r w:rsidRPr="00F844A2">
        <w:t>ach IOU</w:t>
      </w:r>
      <w:r>
        <w:t xml:space="preserve"> defines </w:t>
      </w:r>
      <w:r w:rsidRPr="00F844A2">
        <w:t>small, medium, and large commercial customer class</w:t>
      </w:r>
      <w:r>
        <w:t xml:space="preserve"> slightly differently</w:t>
      </w:r>
      <w:r w:rsidRPr="00F844A2">
        <w:t>, per their 2017 Business Plan</w:t>
      </w:r>
      <w:r w:rsidR="007D434B">
        <w:t>s</w:t>
      </w:r>
      <w:r>
        <w:t>.</w:t>
      </w:r>
    </w:p>
    <w:p w14:paraId="745FFF9D" w14:textId="7D6BECDE" w:rsidR="0009312C" w:rsidRDefault="0009312C" w:rsidP="005803ED">
      <w:pPr>
        <w:pStyle w:val="Heading1"/>
      </w:pPr>
      <w:r>
        <w:t>Goal</w:t>
      </w:r>
    </w:p>
    <w:p w14:paraId="67F8B37D" w14:textId="6676955F" w:rsidR="0009312C" w:rsidRDefault="0009312C" w:rsidP="005803ED">
      <w:r>
        <w:t xml:space="preserve">A definition of small-to-mid sized business that </w:t>
      </w:r>
      <w:r w:rsidRPr="0009312C">
        <w:t>propel</w:t>
      </w:r>
      <w:r>
        <w:t>s</w:t>
      </w:r>
      <w:r w:rsidRPr="0009312C">
        <w:t xml:space="preserve"> the analysis toward</w:t>
      </w:r>
      <w:r>
        <w:t>s data-driven</w:t>
      </w:r>
      <w:r w:rsidRPr="0009312C">
        <w:t xml:space="preserve"> policy recommendations</w:t>
      </w:r>
      <w:r>
        <w:t>, with an ultimate goal of finding ways to better serve underserved SMB customers.</w:t>
      </w:r>
    </w:p>
    <w:p w14:paraId="741B7242" w14:textId="5EBC5079" w:rsidR="0009312C" w:rsidRDefault="0009312C" w:rsidP="005803ED">
      <w:pPr>
        <w:pStyle w:val="Heading1"/>
        <w:rPr>
          <w:rFonts w:eastAsia="Times New Roman"/>
        </w:rPr>
      </w:pPr>
      <w:r>
        <w:rPr>
          <w:rFonts w:eastAsia="Times New Roman"/>
        </w:rPr>
        <w:t>Challenge</w:t>
      </w:r>
      <w:r w:rsidR="00821DAE">
        <w:rPr>
          <w:rFonts w:eastAsia="Times New Roman"/>
        </w:rPr>
        <w:t>s</w:t>
      </w:r>
    </w:p>
    <w:p w14:paraId="4F197B27" w14:textId="209FDF8C" w:rsidR="00821DAE" w:rsidRPr="005803ED" w:rsidRDefault="00821DAE" w:rsidP="005803ED">
      <w:r>
        <w:t>Ideally, the definition will align with</w:t>
      </w:r>
      <w:r w:rsidR="0009312C" w:rsidRPr="0009312C">
        <w:t xml:space="preserve"> various data sources AND program design frameworks</w:t>
      </w:r>
      <w:r w:rsidR="00B027B8">
        <w:t>. I</w:t>
      </w:r>
      <w:r>
        <w:t xml:space="preserve">n practice, </w:t>
      </w:r>
      <w:r w:rsidR="00B027B8">
        <w:t xml:space="preserve">however, </w:t>
      </w:r>
      <w:r>
        <w:t>these may not align</w:t>
      </w:r>
      <w:r w:rsidR="00B027B8">
        <w:t xml:space="preserve">. For example, claims </w:t>
      </w:r>
      <w:r w:rsidR="00B027B8" w:rsidRPr="0009312C">
        <w:t xml:space="preserve">data </w:t>
      </w:r>
      <w:r w:rsidR="007D434B">
        <w:t>demarcates commercial customers using</w:t>
      </w:r>
      <w:r w:rsidR="00B027B8" w:rsidRPr="0009312C">
        <w:t xml:space="preserve"> rate class</w:t>
      </w:r>
      <w:r w:rsidR="00B027B8">
        <w:t xml:space="preserve">, while </w:t>
      </w:r>
      <w:r w:rsidR="00B027B8" w:rsidRPr="0009312C">
        <w:t xml:space="preserve">IOU Business Plans </w:t>
      </w:r>
      <w:r w:rsidR="007D434B">
        <w:t>demarcates based on</w:t>
      </w:r>
      <w:r w:rsidR="00B027B8">
        <w:t xml:space="preserve"> energy usage, and </w:t>
      </w:r>
      <w:r w:rsidR="00B027B8" w:rsidRPr="0009312C">
        <w:t xml:space="preserve">each </w:t>
      </w:r>
      <w:r w:rsidR="00B027B8">
        <w:t xml:space="preserve">IOU </w:t>
      </w:r>
      <w:r w:rsidR="00B027B8" w:rsidRPr="0009312C">
        <w:t>define</w:t>
      </w:r>
      <w:r w:rsidR="00B027B8">
        <w:t>s</w:t>
      </w:r>
      <w:r w:rsidR="00B027B8" w:rsidRPr="0009312C">
        <w:t xml:space="preserve"> SMB </w:t>
      </w:r>
      <w:r w:rsidR="00B027B8">
        <w:t>slightly differently. T</w:t>
      </w:r>
      <w:r>
        <w:t>he research team, with the CAEECC’s guidance, will need to evaluate how to reconcile different definitions</w:t>
      </w:r>
      <w:r w:rsidR="007D434B">
        <w:t xml:space="preserve"> with the data available, recognizing the importance of aligning the analysis with program design frameworks</w:t>
      </w:r>
      <w:r>
        <w:t xml:space="preserve">. </w:t>
      </w:r>
    </w:p>
    <w:p w14:paraId="164F0D7D" w14:textId="1340660D" w:rsidR="0009312C" w:rsidRDefault="0009312C" w:rsidP="005803ED">
      <w:pPr>
        <w:pStyle w:val="Heading1"/>
        <w:rPr>
          <w:rFonts w:eastAsia="Times New Roman"/>
        </w:rPr>
      </w:pPr>
      <w:r>
        <w:rPr>
          <w:rFonts w:eastAsia="Times New Roman"/>
        </w:rPr>
        <w:t>Proposal</w:t>
      </w:r>
    </w:p>
    <w:p w14:paraId="4CEC0FE9" w14:textId="04422502" w:rsidR="0009312C" w:rsidRDefault="0009312C" w:rsidP="0009312C">
      <w:pPr>
        <w:pStyle w:val="ListParagraph"/>
        <w:numPr>
          <w:ilvl w:val="0"/>
          <w:numId w:val="1"/>
        </w:numPr>
      </w:pPr>
      <w:r>
        <w:t xml:space="preserve">Identify which rate classes </w:t>
      </w:r>
      <w:r w:rsidR="005803ED">
        <w:t xml:space="preserve">in Claims data </w:t>
      </w:r>
      <w:r>
        <w:t>correlate to “small” vs. “medium” businesses</w:t>
      </w:r>
      <w:r w:rsidR="005803ED">
        <w:t xml:space="preserve"> as defined by IOUs in their 2017 Business Plans</w:t>
      </w:r>
    </w:p>
    <w:p w14:paraId="33CA9F43" w14:textId="642559E4" w:rsidR="0009312C" w:rsidRPr="0009312C" w:rsidRDefault="0009312C" w:rsidP="0009312C">
      <w:pPr>
        <w:pStyle w:val="ListParagraph"/>
        <w:numPr>
          <w:ilvl w:val="1"/>
          <w:numId w:val="1"/>
        </w:numPr>
      </w:pPr>
      <w:r>
        <w:t xml:space="preserve">For “small”, use </w:t>
      </w:r>
      <w:r w:rsidR="00B027B8">
        <w:t xml:space="preserve">energy demand </w:t>
      </w:r>
      <w:r>
        <w:t xml:space="preserve">CPUC </w:t>
      </w:r>
      <w:r w:rsidRPr="00821DAE">
        <w:t>Resolution E-4939</w:t>
      </w:r>
      <w:r w:rsidRPr="0009312C">
        <w:rPr>
          <w:rFonts w:ascii="Times" w:eastAsia="Times New Roman" w:hAnsi="Times" w:cs="Times New Roman"/>
          <w:color w:val="000000"/>
          <w:sz w:val="20"/>
          <w:szCs w:val="20"/>
        </w:rPr>
        <w:t xml:space="preserve"> </w:t>
      </w:r>
    </w:p>
    <w:p w14:paraId="5B121824" w14:textId="654036FF" w:rsidR="0009312C" w:rsidRPr="0009312C" w:rsidRDefault="0009312C" w:rsidP="0009312C">
      <w:pPr>
        <w:pStyle w:val="ListParagraph"/>
        <w:numPr>
          <w:ilvl w:val="1"/>
          <w:numId w:val="1"/>
        </w:numPr>
      </w:pPr>
      <w:r w:rsidRPr="005803ED">
        <w:t xml:space="preserve">For “medium”, </w:t>
      </w:r>
      <w:r w:rsidR="00B027B8">
        <w:t>use</w:t>
      </w:r>
      <w:r w:rsidR="005803ED" w:rsidRPr="005803ED">
        <w:t xml:space="preserve"> an average of the </w:t>
      </w:r>
      <w:r w:rsidR="00B027B8">
        <w:t xml:space="preserve">IOU’s </w:t>
      </w:r>
      <w:r w:rsidR="005803ED" w:rsidRPr="005803ED">
        <w:t xml:space="preserve">energy </w:t>
      </w:r>
      <w:r w:rsidR="00B027B8">
        <w:t xml:space="preserve">demand thresholds </w:t>
      </w:r>
    </w:p>
    <w:p w14:paraId="7F5589C1" w14:textId="22FB1F58" w:rsidR="00821DAE" w:rsidRDefault="00821DAE" w:rsidP="00821DAE">
      <w:pPr>
        <w:pStyle w:val="ListParagraph"/>
        <w:numPr>
          <w:ilvl w:val="0"/>
          <w:numId w:val="1"/>
        </w:numPr>
      </w:pPr>
      <w:r>
        <w:t xml:space="preserve">Conduct detailed </w:t>
      </w:r>
      <w:r w:rsidR="005803ED">
        <w:t>analysis on small commercial</w:t>
      </w:r>
      <w:r>
        <w:t xml:space="preserve"> </w:t>
      </w:r>
    </w:p>
    <w:p w14:paraId="7253AB65" w14:textId="1167A076" w:rsidR="005803ED" w:rsidRDefault="00821DAE" w:rsidP="005803ED">
      <w:pPr>
        <w:pStyle w:val="ListParagraph"/>
        <w:numPr>
          <w:ilvl w:val="1"/>
          <w:numId w:val="1"/>
        </w:numPr>
      </w:pPr>
      <w:r>
        <w:t xml:space="preserve">Variables to include </w:t>
      </w:r>
      <w:r w:rsidR="00B027B8">
        <w:t>p</w:t>
      </w:r>
      <w:r w:rsidR="005803ED">
        <w:t>articipation levels</w:t>
      </w:r>
      <w:r>
        <w:t>, incentives, measure cost, and other variables listed in the Workplan available on google drive</w:t>
      </w:r>
    </w:p>
    <w:p w14:paraId="24CB32BE" w14:textId="3B0BCC6E" w:rsidR="00B027B8" w:rsidRDefault="00B027B8" w:rsidP="005803ED">
      <w:pPr>
        <w:pStyle w:val="ListParagraph"/>
        <w:numPr>
          <w:ilvl w:val="0"/>
          <w:numId w:val="1"/>
        </w:numPr>
      </w:pPr>
      <w:r>
        <w:t>Conduct a high-level analysis on medium commercial</w:t>
      </w:r>
    </w:p>
    <w:p w14:paraId="4EAE5CD2" w14:textId="4F8377C7" w:rsidR="00B027B8" w:rsidRDefault="00B027B8" w:rsidP="00B027B8">
      <w:pPr>
        <w:pStyle w:val="ListParagraph"/>
        <w:numPr>
          <w:ilvl w:val="1"/>
          <w:numId w:val="1"/>
        </w:numPr>
      </w:pPr>
      <w:r>
        <w:t>Focus on participation levels</w:t>
      </w:r>
    </w:p>
    <w:p w14:paraId="0196EDE1" w14:textId="29E92014" w:rsidR="00B027B8" w:rsidRDefault="00B027B8" w:rsidP="00B027B8">
      <w:pPr>
        <w:pStyle w:val="ListParagraph"/>
        <w:numPr>
          <w:ilvl w:val="1"/>
          <w:numId w:val="1"/>
        </w:numPr>
      </w:pPr>
      <w:r>
        <w:t>Add additional variables if preliminary analysis suggests medium is “underserved”</w:t>
      </w:r>
    </w:p>
    <w:p w14:paraId="28E2EECB" w14:textId="652DB024" w:rsidR="0009312C" w:rsidRDefault="005803ED" w:rsidP="005803ED">
      <w:pPr>
        <w:pStyle w:val="ListParagraph"/>
        <w:numPr>
          <w:ilvl w:val="0"/>
          <w:numId w:val="1"/>
        </w:numPr>
      </w:pPr>
      <w:r>
        <w:t>C</w:t>
      </w:r>
      <w:r w:rsidR="00B027B8">
        <w:t>onduct a c</w:t>
      </w:r>
      <w:r>
        <w:t>omparative analysis of small and medium customer classes</w:t>
      </w:r>
    </w:p>
    <w:p w14:paraId="14B0C814" w14:textId="02E208AC" w:rsidR="00821DAE" w:rsidRDefault="00B027B8" w:rsidP="00821DAE">
      <w:pPr>
        <w:pStyle w:val="ListParagraph"/>
        <w:numPr>
          <w:ilvl w:val="1"/>
          <w:numId w:val="1"/>
        </w:numPr>
      </w:pPr>
      <w:r>
        <w:t>This will be limited to whatever variables are conducted for both classes</w:t>
      </w:r>
    </w:p>
    <w:p w14:paraId="2A1287C4" w14:textId="6CC9CFF1" w:rsidR="00B027B8" w:rsidRDefault="005803ED" w:rsidP="00B027B8">
      <w:pPr>
        <w:pStyle w:val="Heading1"/>
      </w:pPr>
      <w:r>
        <w:t>Outstanding questions</w:t>
      </w:r>
    </w:p>
    <w:p w14:paraId="58A83AFC" w14:textId="358F8045" w:rsidR="00B027B8" w:rsidRDefault="00B027B8" w:rsidP="005803ED">
      <w:pPr>
        <w:pStyle w:val="ListParagraph"/>
        <w:numPr>
          <w:ilvl w:val="0"/>
          <w:numId w:val="2"/>
        </w:numPr>
      </w:pPr>
      <w:r>
        <w:t>How do rate class correlate with energy usage or demand?</w:t>
      </w:r>
    </w:p>
    <w:p w14:paraId="0DA770DA" w14:textId="1D9AD9F5" w:rsidR="005803ED" w:rsidRDefault="005803ED" w:rsidP="005803ED">
      <w:pPr>
        <w:pStyle w:val="ListParagraph"/>
        <w:numPr>
          <w:ilvl w:val="0"/>
          <w:numId w:val="2"/>
        </w:numPr>
      </w:pPr>
      <w:r>
        <w:lastRenderedPageBreak/>
        <w:t>Are “medium” customers as defined by IOU’s in their 2017 Business Plans underserved? Should they be in this analysis? If so…</w:t>
      </w:r>
    </w:p>
    <w:p w14:paraId="0A509875" w14:textId="3C734B08" w:rsidR="005803ED" w:rsidRDefault="005803ED" w:rsidP="005803ED">
      <w:pPr>
        <w:pStyle w:val="ListParagraph"/>
        <w:numPr>
          <w:ilvl w:val="1"/>
          <w:numId w:val="2"/>
        </w:numPr>
      </w:pPr>
      <w:r>
        <w:t>What should the definition of “medium” business be given the ranges of energy usage thresholds?</w:t>
      </w:r>
    </w:p>
    <w:p w14:paraId="128C5E47" w14:textId="355FDCB8" w:rsidR="0009312C" w:rsidRDefault="005803ED" w:rsidP="00B027B8">
      <w:pPr>
        <w:pStyle w:val="ListParagraph"/>
        <w:numPr>
          <w:ilvl w:val="0"/>
          <w:numId w:val="2"/>
        </w:numPr>
      </w:pPr>
      <w:r>
        <w:t>Would the definition focus on kW, kWh, or therms? (Likely dependent on data sources)</w:t>
      </w:r>
    </w:p>
    <w:p w14:paraId="39A34E45" w14:textId="31698D57" w:rsidR="004B4A17" w:rsidRDefault="004B4A17" w:rsidP="004B4A17">
      <w:pPr>
        <w:pStyle w:val="ListParagraph"/>
        <w:numPr>
          <w:ilvl w:val="0"/>
          <w:numId w:val="2"/>
        </w:numPr>
      </w:pPr>
      <w:r w:rsidRPr="004B4A17">
        <w:t>Can we identify what characteristics (demographic, business type, locational) of SMBs lead to being particularly underserved to help guide better segmentation for policy targets?</w:t>
      </w:r>
    </w:p>
    <w:p w14:paraId="3D510F27" w14:textId="5AFD43A5" w:rsidR="0009312C" w:rsidRDefault="005803ED" w:rsidP="005803ED">
      <w:pPr>
        <w:pStyle w:val="Heading1"/>
      </w:pPr>
      <w:r>
        <w:t>Reference Definitions from CPUC and IOUs</w:t>
      </w:r>
    </w:p>
    <w:p w14:paraId="73FBFAAA" w14:textId="72CC565F" w:rsidR="0009312C" w:rsidRDefault="0009312C" w:rsidP="005803ED">
      <w:pPr>
        <w:pStyle w:val="Heading2"/>
      </w:pPr>
      <w:r w:rsidRPr="005803ED">
        <w:t xml:space="preserve">CPUC </w:t>
      </w:r>
      <w:r w:rsidR="005803ED" w:rsidRPr="005803ED">
        <w:t>definition</w:t>
      </w:r>
    </w:p>
    <w:tbl>
      <w:tblPr>
        <w:tblStyle w:val="TableGrid"/>
        <w:tblW w:w="0" w:type="auto"/>
        <w:tblLook w:val="04A0" w:firstRow="1" w:lastRow="0" w:firstColumn="1" w:lastColumn="0" w:noHBand="0" w:noVBand="1"/>
      </w:tblPr>
      <w:tblGrid>
        <w:gridCol w:w="2337"/>
        <w:gridCol w:w="2337"/>
      </w:tblGrid>
      <w:tr w:rsidR="0009312C" w:rsidRPr="00C01B6C" w14:paraId="25F48217" w14:textId="77777777" w:rsidTr="00CB5477">
        <w:tc>
          <w:tcPr>
            <w:tcW w:w="2337" w:type="dxa"/>
          </w:tcPr>
          <w:p w14:paraId="20406174" w14:textId="77777777" w:rsidR="0009312C" w:rsidRPr="00F844A2" w:rsidRDefault="0009312C" w:rsidP="00CB5477">
            <w:pPr>
              <w:rPr>
                <w:rFonts w:ascii="Times" w:hAnsi="Times"/>
                <w:sz w:val="20"/>
                <w:szCs w:val="20"/>
              </w:rPr>
            </w:pPr>
            <w:r w:rsidRPr="00F844A2">
              <w:rPr>
                <w:rFonts w:ascii="Times" w:hAnsi="Times"/>
                <w:sz w:val="20"/>
                <w:szCs w:val="20"/>
              </w:rPr>
              <w:t>Official adopted definition per Resolution E-4939</w:t>
            </w:r>
            <w:r w:rsidRPr="00F844A2">
              <w:rPr>
                <w:rStyle w:val="FootnoteReference"/>
                <w:rFonts w:ascii="Times" w:hAnsi="Times"/>
                <w:sz w:val="20"/>
                <w:szCs w:val="20"/>
              </w:rPr>
              <w:footnoteReference w:id="1"/>
            </w:r>
          </w:p>
        </w:tc>
        <w:tc>
          <w:tcPr>
            <w:tcW w:w="2337" w:type="dxa"/>
          </w:tcPr>
          <w:p w14:paraId="60E756A9" w14:textId="77777777" w:rsidR="0009312C" w:rsidRPr="00C01B6C" w:rsidRDefault="0009312C" w:rsidP="00CB5477">
            <w:pPr>
              <w:rPr>
                <w:rFonts w:ascii="Times" w:hAnsi="Times"/>
                <w:sz w:val="20"/>
                <w:szCs w:val="20"/>
              </w:rPr>
            </w:pPr>
            <w:r w:rsidRPr="00C01B6C">
              <w:rPr>
                <w:rFonts w:ascii="Times" w:hAnsi="Times"/>
                <w:sz w:val="20"/>
                <w:szCs w:val="20"/>
              </w:rPr>
              <w:t>≤40,000 kWh; ≤20 kW; ≤10,000 therms</w:t>
            </w:r>
          </w:p>
        </w:tc>
      </w:tr>
    </w:tbl>
    <w:p w14:paraId="7B08EB86" w14:textId="77777777" w:rsidR="0009312C" w:rsidRDefault="0009312C" w:rsidP="0009312C"/>
    <w:p w14:paraId="2D8DA2FF" w14:textId="2DB2EC20" w:rsidR="0009312C" w:rsidRDefault="0009312C" w:rsidP="0009312C"/>
    <w:p w14:paraId="7BD37BB5" w14:textId="4AF76ACB" w:rsidR="0009312C" w:rsidRPr="00F844A2" w:rsidRDefault="0009312C" w:rsidP="005803ED">
      <w:pPr>
        <w:pStyle w:val="Heading2"/>
      </w:pPr>
      <w:r w:rsidRPr="00F844A2">
        <w:t>IOU definition of commercial customer classes</w:t>
      </w:r>
    </w:p>
    <w:tbl>
      <w:tblPr>
        <w:tblStyle w:val="TableGrid"/>
        <w:tblW w:w="0" w:type="auto"/>
        <w:tblLook w:val="04A0" w:firstRow="1" w:lastRow="0" w:firstColumn="1" w:lastColumn="0" w:noHBand="0" w:noVBand="1"/>
      </w:tblPr>
      <w:tblGrid>
        <w:gridCol w:w="2337"/>
        <w:gridCol w:w="2337"/>
        <w:gridCol w:w="2338"/>
        <w:gridCol w:w="2338"/>
      </w:tblGrid>
      <w:tr w:rsidR="0009312C" w:rsidRPr="00F844A2" w14:paraId="4874524E" w14:textId="77777777" w:rsidTr="00CB5477">
        <w:tc>
          <w:tcPr>
            <w:tcW w:w="2337" w:type="dxa"/>
          </w:tcPr>
          <w:p w14:paraId="7B3DD76B" w14:textId="77777777" w:rsidR="0009312C" w:rsidRPr="00F844A2" w:rsidRDefault="0009312C" w:rsidP="00CB5477">
            <w:pPr>
              <w:rPr>
                <w:rFonts w:ascii="Times" w:hAnsi="Times"/>
                <w:b/>
                <w:bCs/>
                <w:sz w:val="20"/>
                <w:szCs w:val="20"/>
              </w:rPr>
            </w:pPr>
            <w:r w:rsidRPr="00F844A2">
              <w:rPr>
                <w:rFonts w:ascii="Times" w:hAnsi="Times"/>
                <w:b/>
                <w:bCs/>
                <w:sz w:val="20"/>
                <w:szCs w:val="20"/>
              </w:rPr>
              <w:t>Utility</w:t>
            </w:r>
          </w:p>
        </w:tc>
        <w:tc>
          <w:tcPr>
            <w:tcW w:w="2337" w:type="dxa"/>
          </w:tcPr>
          <w:p w14:paraId="0E7E3011" w14:textId="77777777" w:rsidR="0009312C" w:rsidRPr="00F844A2" w:rsidRDefault="0009312C" w:rsidP="00CB5477">
            <w:pPr>
              <w:rPr>
                <w:rFonts w:ascii="Times" w:hAnsi="Times"/>
                <w:b/>
                <w:bCs/>
                <w:sz w:val="20"/>
                <w:szCs w:val="20"/>
              </w:rPr>
            </w:pPr>
            <w:r w:rsidRPr="00F844A2">
              <w:rPr>
                <w:rFonts w:ascii="Times" w:hAnsi="Times"/>
                <w:b/>
                <w:bCs/>
                <w:sz w:val="20"/>
                <w:szCs w:val="20"/>
              </w:rPr>
              <w:t>Small</w:t>
            </w:r>
          </w:p>
        </w:tc>
        <w:tc>
          <w:tcPr>
            <w:tcW w:w="2338" w:type="dxa"/>
          </w:tcPr>
          <w:p w14:paraId="1A06A9F6" w14:textId="77777777" w:rsidR="0009312C" w:rsidRPr="00F844A2" w:rsidRDefault="0009312C" w:rsidP="00CB5477">
            <w:pPr>
              <w:rPr>
                <w:rFonts w:ascii="Times" w:hAnsi="Times"/>
                <w:b/>
                <w:bCs/>
                <w:sz w:val="20"/>
                <w:szCs w:val="20"/>
              </w:rPr>
            </w:pPr>
            <w:r w:rsidRPr="00F844A2">
              <w:rPr>
                <w:rFonts w:ascii="Times" w:hAnsi="Times"/>
                <w:b/>
                <w:bCs/>
                <w:sz w:val="20"/>
                <w:szCs w:val="20"/>
              </w:rPr>
              <w:t>Medium</w:t>
            </w:r>
          </w:p>
        </w:tc>
        <w:tc>
          <w:tcPr>
            <w:tcW w:w="2338" w:type="dxa"/>
          </w:tcPr>
          <w:p w14:paraId="0CB2F52C" w14:textId="77777777" w:rsidR="0009312C" w:rsidRPr="00F844A2" w:rsidRDefault="0009312C" w:rsidP="00CB5477">
            <w:pPr>
              <w:rPr>
                <w:rFonts w:ascii="Times" w:hAnsi="Times"/>
                <w:b/>
                <w:bCs/>
                <w:sz w:val="20"/>
                <w:szCs w:val="20"/>
              </w:rPr>
            </w:pPr>
            <w:r w:rsidRPr="00F844A2">
              <w:rPr>
                <w:rFonts w:ascii="Times" w:hAnsi="Times"/>
                <w:b/>
                <w:bCs/>
                <w:sz w:val="20"/>
                <w:szCs w:val="20"/>
              </w:rPr>
              <w:t>Large</w:t>
            </w:r>
          </w:p>
        </w:tc>
      </w:tr>
      <w:tr w:rsidR="0009312C" w:rsidRPr="00F844A2" w14:paraId="7EEEEBD0" w14:textId="77777777" w:rsidTr="00CB5477">
        <w:tc>
          <w:tcPr>
            <w:tcW w:w="2337" w:type="dxa"/>
          </w:tcPr>
          <w:p w14:paraId="31865274" w14:textId="77777777" w:rsidR="0009312C" w:rsidRPr="00F844A2" w:rsidRDefault="0009312C" w:rsidP="00CB5477">
            <w:pPr>
              <w:rPr>
                <w:rFonts w:ascii="Times" w:hAnsi="Times"/>
                <w:sz w:val="20"/>
                <w:szCs w:val="20"/>
              </w:rPr>
            </w:pPr>
            <w:r w:rsidRPr="00F844A2">
              <w:rPr>
                <w:rFonts w:ascii="Times" w:hAnsi="Times"/>
                <w:sz w:val="20"/>
                <w:szCs w:val="20"/>
              </w:rPr>
              <w:t>SCE</w:t>
            </w:r>
          </w:p>
        </w:tc>
        <w:tc>
          <w:tcPr>
            <w:tcW w:w="2337" w:type="dxa"/>
          </w:tcPr>
          <w:p w14:paraId="0915F6FF" w14:textId="77777777" w:rsidR="0009312C" w:rsidRPr="00F844A2" w:rsidRDefault="0009312C" w:rsidP="00CB5477">
            <w:pPr>
              <w:rPr>
                <w:rFonts w:ascii="Times" w:hAnsi="Times"/>
                <w:sz w:val="20"/>
                <w:szCs w:val="20"/>
              </w:rPr>
            </w:pPr>
            <w:r w:rsidRPr="00F844A2">
              <w:rPr>
                <w:rFonts w:ascii="Times" w:hAnsi="Times"/>
                <w:spacing w:val="-1"/>
                <w:sz w:val="20"/>
                <w:szCs w:val="20"/>
              </w:rPr>
              <w:t>&lt;5</w:t>
            </w:r>
            <w:r w:rsidRPr="00F844A2">
              <w:rPr>
                <w:rFonts w:ascii="Times" w:hAnsi="Times"/>
                <w:sz w:val="20"/>
                <w:szCs w:val="20"/>
              </w:rPr>
              <w:t xml:space="preserve">0 </w:t>
            </w:r>
            <w:r w:rsidRPr="00F844A2">
              <w:rPr>
                <w:rFonts w:ascii="Times" w:hAnsi="Times"/>
                <w:spacing w:val="-1"/>
                <w:sz w:val="20"/>
                <w:szCs w:val="20"/>
              </w:rPr>
              <w:t>kW; 7,000 accounts</w:t>
            </w:r>
          </w:p>
        </w:tc>
        <w:tc>
          <w:tcPr>
            <w:tcW w:w="2338" w:type="dxa"/>
          </w:tcPr>
          <w:p w14:paraId="2AB159B9" w14:textId="77777777" w:rsidR="0009312C" w:rsidRPr="00F844A2" w:rsidRDefault="0009312C" w:rsidP="00CB5477">
            <w:pPr>
              <w:rPr>
                <w:rFonts w:ascii="Times" w:hAnsi="Times"/>
                <w:sz w:val="20"/>
                <w:szCs w:val="20"/>
              </w:rPr>
            </w:pPr>
            <w:r w:rsidRPr="00F844A2">
              <w:rPr>
                <w:rFonts w:ascii="Times" w:hAnsi="Times"/>
                <w:sz w:val="20"/>
                <w:szCs w:val="20"/>
              </w:rPr>
              <w:t>≥</w:t>
            </w:r>
            <w:r w:rsidRPr="00F844A2">
              <w:rPr>
                <w:rFonts w:ascii="Times" w:hAnsi="Times"/>
                <w:spacing w:val="-1"/>
                <w:sz w:val="20"/>
                <w:szCs w:val="20"/>
              </w:rPr>
              <w:t>5</w:t>
            </w:r>
            <w:r w:rsidRPr="00F844A2">
              <w:rPr>
                <w:rFonts w:ascii="Times" w:hAnsi="Times"/>
                <w:sz w:val="20"/>
                <w:szCs w:val="20"/>
              </w:rPr>
              <w:t xml:space="preserve">0 </w:t>
            </w:r>
            <w:r w:rsidRPr="00F844A2">
              <w:rPr>
                <w:rFonts w:ascii="Times" w:hAnsi="Times"/>
                <w:spacing w:val="-1"/>
                <w:sz w:val="20"/>
                <w:szCs w:val="20"/>
              </w:rPr>
              <w:t>k</w:t>
            </w:r>
            <w:r w:rsidRPr="00F844A2">
              <w:rPr>
                <w:rFonts w:ascii="Times" w:hAnsi="Times"/>
                <w:sz w:val="20"/>
                <w:szCs w:val="20"/>
              </w:rPr>
              <w:t xml:space="preserve">W, &lt; </w:t>
            </w:r>
            <w:r w:rsidRPr="00F844A2">
              <w:rPr>
                <w:rFonts w:ascii="Times" w:hAnsi="Times"/>
                <w:spacing w:val="-1"/>
                <w:sz w:val="20"/>
                <w:szCs w:val="20"/>
              </w:rPr>
              <w:t>25</w:t>
            </w:r>
            <w:r w:rsidRPr="00F844A2">
              <w:rPr>
                <w:rFonts w:ascii="Times" w:hAnsi="Times"/>
                <w:sz w:val="20"/>
                <w:szCs w:val="20"/>
              </w:rPr>
              <w:t xml:space="preserve">0 </w:t>
            </w:r>
            <w:r w:rsidRPr="00F844A2">
              <w:rPr>
                <w:rFonts w:ascii="Times" w:hAnsi="Times"/>
                <w:spacing w:val="-1"/>
                <w:sz w:val="20"/>
                <w:szCs w:val="20"/>
              </w:rPr>
              <w:t>kW; 33,000 accounts</w:t>
            </w:r>
          </w:p>
        </w:tc>
        <w:tc>
          <w:tcPr>
            <w:tcW w:w="2338" w:type="dxa"/>
          </w:tcPr>
          <w:p w14:paraId="70CBD3D0" w14:textId="77777777" w:rsidR="0009312C" w:rsidRPr="00F844A2" w:rsidRDefault="0009312C" w:rsidP="00CB5477">
            <w:pPr>
              <w:rPr>
                <w:rFonts w:ascii="Times" w:hAnsi="Times"/>
                <w:sz w:val="20"/>
                <w:szCs w:val="20"/>
              </w:rPr>
            </w:pPr>
            <w:r w:rsidRPr="00F844A2">
              <w:rPr>
                <w:rFonts w:ascii="Times" w:hAnsi="Times"/>
                <w:sz w:val="20"/>
                <w:szCs w:val="20"/>
              </w:rPr>
              <w:t>≥</w:t>
            </w:r>
            <w:r w:rsidRPr="00F844A2">
              <w:rPr>
                <w:rFonts w:ascii="Times" w:hAnsi="Times"/>
                <w:spacing w:val="-1"/>
                <w:sz w:val="20"/>
                <w:szCs w:val="20"/>
              </w:rPr>
              <w:t>25</w:t>
            </w:r>
            <w:r w:rsidRPr="00F844A2">
              <w:rPr>
                <w:rFonts w:ascii="Times" w:hAnsi="Times"/>
                <w:sz w:val="20"/>
                <w:szCs w:val="20"/>
              </w:rPr>
              <w:t xml:space="preserve">0 </w:t>
            </w:r>
            <w:r w:rsidRPr="00F844A2">
              <w:rPr>
                <w:rFonts w:ascii="Times" w:hAnsi="Times"/>
                <w:spacing w:val="-1"/>
                <w:sz w:val="20"/>
                <w:szCs w:val="20"/>
              </w:rPr>
              <w:t>kW; 478,000 accounts</w:t>
            </w:r>
          </w:p>
          <w:p w14:paraId="5689C8F3" w14:textId="77777777" w:rsidR="0009312C" w:rsidRPr="00F844A2" w:rsidRDefault="0009312C" w:rsidP="00CB5477">
            <w:pPr>
              <w:rPr>
                <w:rFonts w:ascii="Times" w:hAnsi="Times"/>
                <w:sz w:val="20"/>
                <w:szCs w:val="20"/>
              </w:rPr>
            </w:pPr>
          </w:p>
        </w:tc>
      </w:tr>
      <w:tr w:rsidR="0009312C" w:rsidRPr="00F844A2" w14:paraId="555BE960" w14:textId="77777777" w:rsidTr="00CB5477">
        <w:tc>
          <w:tcPr>
            <w:tcW w:w="2337" w:type="dxa"/>
          </w:tcPr>
          <w:p w14:paraId="2ED98D17" w14:textId="77777777" w:rsidR="0009312C" w:rsidRPr="00F844A2" w:rsidRDefault="0009312C" w:rsidP="00CB5477">
            <w:pPr>
              <w:rPr>
                <w:rFonts w:ascii="Times" w:hAnsi="Times"/>
                <w:sz w:val="20"/>
                <w:szCs w:val="20"/>
              </w:rPr>
            </w:pPr>
            <w:r w:rsidRPr="00F844A2">
              <w:rPr>
                <w:rFonts w:ascii="Times" w:hAnsi="Times"/>
                <w:sz w:val="20"/>
                <w:szCs w:val="20"/>
              </w:rPr>
              <w:t>PG&amp;E</w:t>
            </w:r>
          </w:p>
        </w:tc>
        <w:tc>
          <w:tcPr>
            <w:tcW w:w="2337" w:type="dxa"/>
          </w:tcPr>
          <w:p w14:paraId="6B066F03" w14:textId="77777777" w:rsidR="0009312C" w:rsidRPr="00F844A2" w:rsidRDefault="0009312C" w:rsidP="00CB5477">
            <w:pPr>
              <w:rPr>
                <w:rFonts w:ascii="Times" w:hAnsi="Times"/>
                <w:sz w:val="20"/>
                <w:szCs w:val="20"/>
              </w:rPr>
            </w:pPr>
            <w:r w:rsidRPr="00F844A2">
              <w:rPr>
                <w:rFonts w:ascii="Times" w:hAnsi="Times"/>
                <w:sz w:val="20"/>
                <w:szCs w:val="20"/>
              </w:rPr>
              <w:t>&lt;40,000 kWh; &lt;10,000 therms</w:t>
            </w:r>
          </w:p>
        </w:tc>
        <w:tc>
          <w:tcPr>
            <w:tcW w:w="2338" w:type="dxa"/>
          </w:tcPr>
          <w:p w14:paraId="70DDC71D" w14:textId="77777777" w:rsidR="0009312C" w:rsidRPr="00F844A2" w:rsidRDefault="0009312C" w:rsidP="00CB5477">
            <w:pPr>
              <w:rPr>
                <w:rFonts w:ascii="Times" w:hAnsi="Times"/>
                <w:sz w:val="20"/>
                <w:szCs w:val="20"/>
              </w:rPr>
            </w:pPr>
            <w:r w:rsidRPr="00F844A2">
              <w:rPr>
                <w:rFonts w:ascii="Times" w:hAnsi="Times"/>
                <w:sz w:val="20"/>
                <w:szCs w:val="20"/>
              </w:rPr>
              <w:t>40,000-500,000 kWh; 10,000-250,000 therms</w:t>
            </w:r>
          </w:p>
        </w:tc>
        <w:tc>
          <w:tcPr>
            <w:tcW w:w="2338" w:type="dxa"/>
          </w:tcPr>
          <w:p w14:paraId="072C9BA6" w14:textId="77777777" w:rsidR="0009312C" w:rsidRPr="00F844A2" w:rsidRDefault="0009312C" w:rsidP="00CB5477">
            <w:pPr>
              <w:rPr>
                <w:rFonts w:ascii="Times" w:hAnsi="Times"/>
                <w:sz w:val="20"/>
                <w:szCs w:val="20"/>
              </w:rPr>
            </w:pPr>
            <w:r w:rsidRPr="00F844A2">
              <w:rPr>
                <w:rFonts w:ascii="Times" w:hAnsi="Times"/>
                <w:sz w:val="20"/>
                <w:szCs w:val="20"/>
              </w:rPr>
              <w:t>≥500,000 kWh; ≥250,000 therms</w:t>
            </w:r>
          </w:p>
        </w:tc>
      </w:tr>
      <w:tr w:rsidR="0009312C" w:rsidRPr="00F844A2" w14:paraId="2D0EC7EE" w14:textId="77777777" w:rsidTr="00CB5477">
        <w:tc>
          <w:tcPr>
            <w:tcW w:w="2337" w:type="dxa"/>
          </w:tcPr>
          <w:p w14:paraId="4214D8F3" w14:textId="77777777" w:rsidR="0009312C" w:rsidRPr="00F844A2" w:rsidRDefault="0009312C" w:rsidP="00CB5477">
            <w:pPr>
              <w:rPr>
                <w:rFonts w:ascii="Times" w:hAnsi="Times"/>
                <w:sz w:val="20"/>
                <w:szCs w:val="20"/>
              </w:rPr>
            </w:pPr>
            <w:r w:rsidRPr="00F844A2">
              <w:rPr>
                <w:rFonts w:ascii="Times" w:hAnsi="Times"/>
                <w:sz w:val="20"/>
                <w:szCs w:val="20"/>
              </w:rPr>
              <w:t>SDG&amp;E</w:t>
            </w:r>
            <w:r w:rsidRPr="00F844A2">
              <w:rPr>
                <w:rStyle w:val="FootnoteReference"/>
                <w:rFonts w:ascii="Times" w:hAnsi="Times"/>
                <w:sz w:val="20"/>
                <w:szCs w:val="20"/>
              </w:rPr>
              <w:footnoteReference w:id="2"/>
            </w:r>
          </w:p>
        </w:tc>
        <w:tc>
          <w:tcPr>
            <w:tcW w:w="2337" w:type="dxa"/>
          </w:tcPr>
          <w:p w14:paraId="34D3AA49" w14:textId="77777777" w:rsidR="0009312C" w:rsidRPr="00F844A2" w:rsidRDefault="0009312C" w:rsidP="00CB5477">
            <w:pPr>
              <w:rPr>
                <w:rFonts w:ascii="Times" w:hAnsi="Times"/>
                <w:sz w:val="20"/>
                <w:szCs w:val="20"/>
              </w:rPr>
            </w:pPr>
            <w:r w:rsidRPr="00F844A2">
              <w:rPr>
                <w:rFonts w:ascii="Times" w:hAnsi="Times"/>
                <w:sz w:val="20"/>
                <w:szCs w:val="20"/>
              </w:rPr>
              <w:t>&lt;20 kW; &lt;10,000 therms</w:t>
            </w:r>
          </w:p>
        </w:tc>
        <w:tc>
          <w:tcPr>
            <w:tcW w:w="2338" w:type="dxa"/>
          </w:tcPr>
          <w:p w14:paraId="37387B5A" w14:textId="77777777" w:rsidR="0009312C" w:rsidRPr="00F844A2" w:rsidRDefault="0009312C" w:rsidP="00CB5477">
            <w:pPr>
              <w:rPr>
                <w:rFonts w:ascii="Times" w:hAnsi="Times"/>
                <w:sz w:val="20"/>
                <w:szCs w:val="20"/>
              </w:rPr>
            </w:pPr>
            <w:r w:rsidRPr="00F844A2">
              <w:rPr>
                <w:rFonts w:ascii="Times" w:hAnsi="Times"/>
                <w:sz w:val="20"/>
                <w:szCs w:val="20"/>
              </w:rPr>
              <w:t>20-199 kW</w:t>
            </w:r>
          </w:p>
        </w:tc>
        <w:tc>
          <w:tcPr>
            <w:tcW w:w="2338" w:type="dxa"/>
          </w:tcPr>
          <w:p w14:paraId="0CE0F474" w14:textId="77777777" w:rsidR="0009312C" w:rsidRPr="00F844A2" w:rsidRDefault="0009312C" w:rsidP="00CB5477">
            <w:pPr>
              <w:rPr>
                <w:rFonts w:ascii="Times" w:hAnsi="Times"/>
                <w:sz w:val="20"/>
                <w:szCs w:val="20"/>
              </w:rPr>
            </w:pPr>
            <w:r w:rsidRPr="00F844A2">
              <w:rPr>
                <w:rFonts w:ascii="Times" w:hAnsi="Times"/>
                <w:sz w:val="20"/>
                <w:szCs w:val="20"/>
              </w:rPr>
              <w:t>&gt;200 kW; &gt;10,000 therms</w:t>
            </w:r>
          </w:p>
        </w:tc>
      </w:tr>
      <w:tr w:rsidR="0009312C" w:rsidRPr="00F844A2" w14:paraId="30009F48" w14:textId="77777777" w:rsidTr="00CB5477">
        <w:tc>
          <w:tcPr>
            <w:tcW w:w="2337" w:type="dxa"/>
          </w:tcPr>
          <w:p w14:paraId="2B18BB5F" w14:textId="77777777" w:rsidR="0009312C" w:rsidRPr="00F844A2" w:rsidRDefault="0009312C" w:rsidP="00CB5477">
            <w:pPr>
              <w:rPr>
                <w:rFonts w:ascii="Times" w:hAnsi="Times"/>
                <w:sz w:val="20"/>
                <w:szCs w:val="20"/>
              </w:rPr>
            </w:pPr>
            <w:r w:rsidRPr="00F844A2">
              <w:rPr>
                <w:rFonts w:ascii="Times" w:hAnsi="Times"/>
                <w:sz w:val="20"/>
                <w:szCs w:val="20"/>
              </w:rPr>
              <w:t>SCG</w:t>
            </w:r>
          </w:p>
        </w:tc>
        <w:tc>
          <w:tcPr>
            <w:tcW w:w="2337" w:type="dxa"/>
          </w:tcPr>
          <w:p w14:paraId="6ED8F10B" w14:textId="77777777" w:rsidR="0009312C" w:rsidRPr="00F844A2" w:rsidRDefault="0009312C" w:rsidP="00CB5477">
            <w:pPr>
              <w:rPr>
                <w:rFonts w:ascii="Times" w:hAnsi="Times"/>
                <w:sz w:val="20"/>
                <w:szCs w:val="20"/>
              </w:rPr>
            </w:pPr>
            <w:r w:rsidRPr="00F844A2">
              <w:rPr>
                <w:rFonts w:ascii="Times" w:hAnsi="Times"/>
                <w:sz w:val="20"/>
                <w:szCs w:val="20"/>
              </w:rPr>
              <w:t>&lt;10,000 therms</w:t>
            </w:r>
          </w:p>
        </w:tc>
        <w:tc>
          <w:tcPr>
            <w:tcW w:w="2338" w:type="dxa"/>
          </w:tcPr>
          <w:p w14:paraId="13A4226B" w14:textId="77777777" w:rsidR="0009312C" w:rsidRPr="00F844A2" w:rsidRDefault="0009312C" w:rsidP="00CB5477">
            <w:pPr>
              <w:rPr>
                <w:rFonts w:ascii="Times" w:hAnsi="Times"/>
                <w:sz w:val="20"/>
                <w:szCs w:val="20"/>
              </w:rPr>
            </w:pPr>
            <w:r w:rsidRPr="00F844A2">
              <w:rPr>
                <w:rFonts w:ascii="Times" w:hAnsi="Times"/>
                <w:sz w:val="20"/>
                <w:szCs w:val="20"/>
              </w:rPr>
              <w:t>10,000-50,000 therms</w:t>
            </w:r>
          </w:p>
        </w:tc>
        <w:tc>
          <w:tcPr>
            <w:tcW w:w="2338" w:type="dxa"/>
          </w:tcPr>
          <w:p w14:paraId="1AC91A3F" w14:textId="77777777" w:rsidR="0009312C" w:rsidRPr="00F844A2" w:rsidRDefault="0009312C" w:rsidP="00CB5477">
            <w:pPr>
              <w:rPr>
                <w:rFonts w:ascii="Times" w:hAnsi="Times"/>
                <w:sz w:val="20"/>
                <w:szCs w:val="20"/>
              </w:rPr>
            </w:pPr>
            <w:r w:rsidRPr="00F844A2">
              <w:rPr>
                <w:rFonts w:ascii="Times" w:hAnsi="Times"/>
                <w:sz w:val="20"/>
                <w:szCs w:val="20"/>
              </w:rPr>
              <w:t>&gt;50,000 therms</w:t>
            </w:r>
          </w:p>
        </w:tc>
      </w:tr>
    </w:tbl>
    <w:p w14:paraId="44195926" w14:textId="77777777" w:rsidR="0009312C" w:rsidRDefault="0009312C" w:rsidP="0009312C"/>
    <w:sectPr w:rsidR="0009312C" w:rsidSect="00DE16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BB91F" w14:textId="77777777" w:rsidR="00E461A9" w:rsidRDefault="00E461A9" w:rsidP="0009312C">
      <w:r>
        <w:separator/>
      </w:r>
    </w:p>
  </w:endnote>
  <w:endnote w:type="continuationSeparator" w:id="0">
    <w:p w14:paraId="7DDEAB09" w14:textId="77777777" w:rsidR="00E461A9" w:rsidRDefault="00E461A9" w:rsidP="0009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428129"/>
      <w:docPartObj>
        <w:docPartGallery w:val="Page Numbers (Bottom of Page)"/>
        <w:docPartUnique/>
      </w:docPartObj>
    </w:sdtPr>
    <w:sdtEndPr>
      <w:rPr>
        <w:rStyle w:val="PageNumber"/>
      </w:rPr>
    </w:sdtEndPr>
    <w:sdtContent>
      <w:p w14:paraId="72153354" w14:textId="069C46AA" w:rsidR="005803ED" w:rsidRDefault="005803ED" w:rsidP="008C27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7E2D1" w14:textId="77777777" w:rsidR="005803ED" w:rsidRDefault="005803ED" w:rsidP="00580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103999"/>
      <w:docPartObj>
        <w:docPartGallery w:val="Page Numbers (Bottom of Page)"/>
        <w:docPartUnique/>
      </w:docPartObj>
    </w:sdtPr>
    <w:sdtEndPr>
      <w:rPr>
        <w:rStyle w:val="PageNumber"/>
      </w:rPr>
    </w:sdtEndPr>
    <w:sdtContent>
      <w:p w14:paraId="69B94383" w14:textId="5F12CF47" w:rsidR="005803ED" w:rsidRDefault="005803ED" w:rsidP="008C27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41C899" w14:textId="77777777" w:rsidR="005803ED" w:rsidRDefault="005803ED" w:rsidP="005803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3C82" w14:textId="77777777" w:rsidR="00E461A9" w:rsidRDefault="00E461A9" w:rsidP="0009312C">
      <w:r>
        <w:separator/>
      </w:r>
    </w:p>
  </w:footnote>
  <w:footnote w:type="continuationSeparator" w:id="0">
    <w:p w14:paraId="63F724EF" w14:textId="77777777" w:rsidR="00E461A9" w:rsidRDefault="00E461A9" w:rsidP="0009312C">
      <w:r>
        <w:continuationSeparator/>
      </w:r>
    </w:p>
  </w:footnote>
  <w:footnote w:id="1">
    <w:p w14:paraId="302F6707" w14:textId="77777777" w:rsidR="0009312C" w:rsidRPr="00AD6813" w:rsidRDefault="0009312C" w:rsidP="0009312C">
      <w:pPr>
        <w:shd w:val="clear" w:color="auto" w:fill="FFFFFF"/>
        <w:spacing w:before="100" w:beforeAutospacing="1" w:after="100" w:afterAutospacing="1"/>
        <w:rPr>
          <w:sz w:val="20"/>
          <w:szCs w:val="20"/>
        </w:rPr>
      </w:pPr>
      <w:r w:rsidRPr="00AD6813">
        <w:rPr>
          <w:rStyle w:val="FootnoteReference"/>
          <w:sz w:val="20"/>
          <w:szCs w:val="20"/>
        </w:rPr>
        <w:footnoteRef/>
      </w:r>
      <w:r w:rsidRPr="00AD6813">
        <w:rPr>
          <w:sz w:val="20"/>
          <w:szCs w:val="20"/>
        </w:rPr>
        <w:t xml:space="preserve"> The official adopted definition is as follows as adopted in Resolution E-4939</w:t>
      </w:r>
      <w:r>
        <w:rPr>
          <w:sz w:val="20"/>
          <w:szCs w:val="20"/>
        </w:rPr>
        <w:t xml:space="preserve">: </w:t>
      </w:r>
      <w:r w:rsidRPr="00AD6813">
        <w:rPr>
          <w:sz w:val="20"/>
          <w:szCs w:val="20"/>
        </w:rPr>
        <w:t>“A small business customer is defined as a non-residential customer with an annual electric usage of 40,000 kilowatt hours (kWh) or less, or an energy demand of 20 kilowatt (kW) or less, or annual consumption of 10,000 therms of gas or less. Alternatively, a small business customer is a customer who meets the definition of “micro-business” in California Government Code Section 14837 (Section 14837). Section 14837 defines a micro-business as a business, together with affiliates, that has average annual gross receipts of $3,500,000 or less over the previous three years, or is a manufacturer, as defined in Section 14837 subdivision (c), with 25 or fewer employees. The California Department of General Services is authorized to amend the gross receipt amount. In January 2010 DGS increased the gross receipt amount from $2,750,000 to the current amount of $3,500,000. (see, California Office of Administrative Law, Regulatory Action Number 2000-1110-01S.) This definition does not include fixed usage or unmetered rate schedule customers.”</w:t>
      </w:r>
      <w:r>
        <w:rPr>
          <w:sz w:val="20"/>
          <w:szCs w:val="20"/>
        </w:rPr>
        <w:t xml:space="preserve"> (Per email communication with Laurie Porter, SDG&amp;E Contract Management Office, 9/18/2020)</w:t>
      </w:r>
    </w:p>
  </w:footnote>
  <w:footnote w:id="2">
    <w:p w14:paraId="0EC91B8D" w14:textId="77777777" w:rsidR="0009312C" w:rsidRPr="00AD6813" w:rsidRDefault="0009312C" w:rsidP="0009312C">
      <w:pPr>
        <w:pStyle w:val="FootnoteText"/>
      </w:pPr>
      <w:r w:rsidRPr="00AD6813">
        <w:rPr>
          <w:rStyle w:val="FootnoteReference"/>
        </w:rPr>
        <w:footnoteRef/>
      </w:r>
      <w:r w:rsidRPr="00AD6813">
        <w:t xml:space="preserve"> SDG&amp;E eligibility for commercial programs is based on electrical consumption only, per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01B1E"/>
    <w:multiLevelType w:val="hybridMultilevel"/>
    <w:tmpl w:val="0BAC2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676F1"/>
    <w:multiLevelType w:val="hybridMultilevel"/>
    <w:tmpl w:val="9844E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2C"/>
    <w:rsid w:val="0009312C"/>
    <w:rsid w:val="002501D1"/>
    <w:rsid w:val="004B4A17"/>
    <w:rsid w:val="005803ED"/>
    <w:rsid w:val="006C6A38"/>
    <w:rsid w:val="007A360E"/>
    <w:rsid w:val="007D434B"/>
    <w:rsid w:val="00821DAE"/>
    <w:rsid w:val="00B027B8"/>
    <w:rsid w:val="00BD39DF"/>
    <w:rsid w:val="00DE1689"/>
    <w:rsid w:val="00E461A9"/>
    <w:rsid w:val="00EA4E25"/>
    <w:rsid w:val="00F4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E94BE"/>
  <w15:chartTrackingRefBased/>
  <w15:docId w15:val="{DCFE5305-42C0-CD4E-9C83-DD5B8DAD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3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03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1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312C"/>
    <w:rPr>
      <w:rFonts w:ascii="Times New Roman" w:hAnsi="Times New Roman" w:cs="Times New Roman"/>
      <w:sz w:val="18"/>
      <w:szCs w:val="18"/>
    </w:rPr>
  </w:style>
  <w:style w:type="paragraph" w:styleId="ListParagraph">
    <w:name w:val="List Paragraph"/>
    <w:basedOn w:val="Normal"/>
    <w:uiPriority w:val="34"/>
    <w:qFormat/>
    <w:rsid w:val="0009312C"/>
    <w:pPr>
      <w:ind w:left="720"/>
      <w:contextualSpacing/>
    </w:pPr>
  </w:style>
  <w:style w:type="character" w:styleId="CommentReference">
    <w:name w:val="annotation reference"/>
    <w:basedOn w:val="DefaultParagraphFont"/>
    <w:uiPriority w:val="99"/>
    <w:semiHidden/>
    <w:unhideWhenUsed/>
    <w:rsid w:val="0009312C"/>
    <w:rPr>
      <w:sz w:val="16"/>
      <w:szCs w:val="16"/>
    </w:rPr>
  </w:style>
  <w:style w:type="paragraph" w:styleId="CommentText">
    <w:name w:val="annotation text"/>
    <w:basedOn w:val="Normal"/>
    <w:link w:val="CommentTextChar"/>
    <w:uiPriority w:val="99"/>
    <w:semiHidden/>
    <w:unhideWhenUsed/>
    <w:rsid w:val="0009312C"/>
    <w:rPr>
      <w:rFonts w:eastAsiaTheme="minorEastAsia"/>
      <w:sz w:val="20"/>
      <w:szCs w:val="20"/>
    </w:rPr>
  </w:style>
  <w:style w:type="character" w:customStyle="1" w:styleId="CommentTextChar">
    <w:name w:val="Comment Text Char"/>
    <w:basedOn w:val="DefaultParagraphFont"/>
    <w:link w:val="CommentText"/>
    <w:uiPriority w:val="99"/>
    <w:semiHidden/>
    <w:rsid w:val="0009312C"/>
    <w:rPr>
      <w:rFonts w:eastAsiaTheme="minorEastAsia"/>
      <w:sz w:val="20"/>
      <w:szCs w:val="20"/>
    </w:rPr>
  </w:style>
  <w:style w:type="table" w:styleId="TableGrid">
    <w:name w:val="Table Grid"/>
    <w:basedOn w:val="TableNormal"/>
    <w:uiPriority w:val="39"/>
    <w:rsid w:val="000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312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931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9312C"/>
    <w:rPr>
      <w:vertAlign w:val="superscript"/>
    </w:rPr>
  </w:style>
  <w:style w:type="paragraph" w:styleId="CommentSubject">
    <w:name w:val="annotation subject"/>
    <w:basedOn w:val="CommentText"/>
    <w:next w:val="CommentText"/>
    <w:link w:val="CommentSubjectChar"/>
    <w:uiPriority w:val="99"/>
    <w:semiHidden/>
    <w:unhideWhenUsed/>
    <w:rsid w:val="005803ED"/>
    <w:rPr>
      <w:rFonts w:eastAsiaTheme="minorHAnsi"/>
      <w:b/>
      <w:bCs/>
    </w:rPr>
  </w:style>
  <w:style w:type="character" w:customStyle="1" w:styleId="CommentSubjectChar">
    <w:name w:val="Comment Subject Char"/>
    <w:basedOn w:val="CommentTextChar"/>
    <w:link w:val="CommentSubject"/>
    <w:uiPriority w:val="99"/>
    <w:semiHidden/>
    <w:rsid w:val="005803ED"/>
    <w:rPr>
      <w:rFonts w:eastAsiaTheme="minorEastAsia"/>
      <w:b/>
      <w:bCs/>
      <w:sz w:val="20"/>
      <w:szCs w:val="20"/>
    </w:rPr>
  </w:style>
  <w:style w:type="character" w:customStyle="1" w:styleId="Heading1Char">
    <w:name w:val="Heading 1 Char"/>
    <w:basedOn w:val="DefaultParagraphFont"/>
    <w:link w:val="Heading1"/>
    <w:uiPriority w:val="9"/>
    <w:rsid w:val="005803E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803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3E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03E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5803ED"/>
    <w:pPr>
      <w:tabs>
        <w:tab w:val="center" w:pos="4680"/>
        <w:tab w:val="right" w:pos="9360"/>
      </w:tabs>
    </w:pPr>
  </w:style>
  <w:style w:type="character" w:customStyle="1" w:styleId="FooterChar">
    <w:name w:val="Footer Char"/>
    <w:basedOn w:val="DefaultParagraphFont"/>
    <w:link w:val="Footer"/>
    <w:uiPriority w:val="99"/>
    <w:rsid w:val="005803ED"/>
  </w:style>
  <w:style w:type="character" w:styleId="PageNumber">
    <w:name w:val="page number"/>
    <w:basedOn w:val="DefaultParagraphFont"/>
    <w:uiPriority w:val="99"/>
    <w:semiHidden/>
    <w:unhideWhenUsed/>
    <w:rsid w:val="0058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7241">
      <w:bodyDiv w:val="1"/>
      <w:marLeft w:val="0"/>
      <w:marRight w:val="0"/>
      <w:marTop w:val="0"/>
      <w:marBottom w:val="0"/>
      <w:divBdr>
        <w:top w:val="none" w:sz="0" w:space="0" w:color="auto"/>
        <w:left w:val="none" w:sz="0" w:space="0" w:color="auto"/>
        <w:bottom w:val="none" w:sz="0" w:space="0" w:color="auto"/>
        <w:right w:val="none" w:sz="0" w:space="0" w:color="auto"/>
      </w:divBdr>
    </w:div>
    <w:div w:id="853491707">
      <w:bodyDiv w:val="1"/>
      <w:marLeft w:val="0"/>
      <w:marRight w:val="0"/>
      <w:marTop w:val="0"/>
      <w:marBottom w:val="0"/>
      <w:divBdr>
        <w:top w:val="none" w:sz="0" w:space="0" w:color="auto"/>
        <w:left w:val="none" w:sz="0" w:space="0" w:color="auto"/>
        <w:bottom w:val="none" w:sz="0" w:space="0" w:color="auto"/>
        <w:right w:val="none" w:sz="0" w:space="0" w:color="auto"/>
      </w:divBdr>
    </w:div>
    <w:div w:id="12630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4</cp:revision>
  <dcterms:created xsi:type="dcterms:W3CDTF">2020-10-09T19:28:00Z</dcterms:created>
  <dcterms:modified xsi:type="dcterms:W3CDTF">2020-10-09T21:03:00Z</dcterms:modified>
</cp:coreProperties>
</file>