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6440" w14:textId="77777777" w:rsidR="00AC6588" w:rsidRDefault="00AC6588" w:rsidP="008F0356">
      <w:pPr>
        <w:jc w:val="center"/>
        <w:rPr>
          <w:rFonts w:ascii="Times New Roman" w:hAnsi="Times New Roman" w:cs="Times New Roman"/>
          <w:sz w:val="24"/>
          <w:szCs w:val="24"/>
        </w:rPr>
      </w:pPr>
    </w:p>
    <w:p w14:paraId="7DA8F968" w14:textId="77777777" w:rsidR="00AC6588" w:rsidRDefault="00AC6588" w:rsidP="008F0356">
      <w:pPr>
        <w:jc w:val="center"/>
        <w:rPr>
          <w:rFonts w:ascii="Times New Roman" w:hAnsi="Times New Roman" w:cs="Times New Roman"/>
          <w:sz w:val="24"/>
          <w:szCs w:val="24"/>
        </w:rPr>
      </w:pPr>
    </w:p>
    <w:p w14:paraId="3FD96CDE" w14:textId="351EE7A2" w:rsidR="005F60C5" w:rsidRPr="00A60B21" w:rsidRDefault="008F0356" w:rsidP="008F0356">
      <w:pPr>
        <w:jc w:val="center"/>
        <w:rPr>
          <w:rFonts w:ascii="Times New Roman" w:hAnsi="Times New Roman" w:cs="Times New Roman"/>
          <w:sz w:val="24"/>
          <w:szCs w:val="24"/>
        </w:rPr>
      </w:pPr>
      <w:r w:rsidRPr="00A60B21">
        <w:rPr>
          <w:rFonts w:ascii="Times New Roman" w:hAnsi="Times New Roman" w:cs="Times New Roman"/>
          <w:sz w:val="24"/>
          <w:szCs w:val="24"/>
        </w:rPr>
        <w:t>September 4, 2018</w:t>
      </w:r>
    </w:p>
    <w:p w14:paraId="133249A2"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California Public Utilities Commission</w:t>
      </w:r>
    </w:p>
    <w:p w14:paraId="0B3F7C2F"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Energy Division Tariff Unit</w:t>
      </w:r>
    </w:p>
    <w:p w14:paraId="1D8BD09F"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505 Van Ness Ave.</w:t>
      </w:r>
    </w:p>
    <w:p w14:paraId="17CF2A6C"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Fourth Floor</w:t>
      </w:r>
    </w:p>
    <w:p w14:paraId="019B2FBB"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San Francisco, CA 94102-3298</w:t>
      </w:r>
    </w:p>
    <w:p w14:paraId="66F78BB3" w14:textId="77777777" w:rsidR="008F0356" w:rsidRPr="00A60B21" w:rsidRDefault="008F0356" w:rsidP="008F0356">
      <w:pPr>
        <w:rPr>
          <w:rFonts w:ascii="Times New Roman" w:hAnsi="Times New Roman" w:cs="Times New Roman"/>
          <w:b/>
          <w:sz w:val="24"/>
          <w:szCs w:val="24"/>
        </w:rPr>
      </w:pPr>
      <w:r w:rsidRPr="00A60B21">
        <w:rPr>
          <w:rFonts w:ascii="Times New Roman" w:hAnsi="Times New Roman" w:cs="Times New Roman"/>
          <w:b/>
          <w:sz w:val="24"/>
          <w:szCs w:val="24"/>
        </w:rPr>
        <w:t>Advice Letter</w:t>
      </w:r>
      <w:r w:rsidR="005A1608" w:rsidRPr="00A60B21">
        <w:rPr>
          <w:rFonts w:ascii="Times New Roman" w:hAnsi="Times New Roman" w:cs="Times New Roman"/>
          <w:b/>
          <w:sz w:val="24"/>
          <w:szCs w:val="24"/>
        </w:rPr>
        <w:t xml:space="preserve"> </w:t>
      </w:r>
      <w:r w:rsidRPr="00A60B21">
        <w:rPr>
          <w:rFonts w:ascii="Times New Roman" w:hAnsi="Times New Roman" w:cs="Times New Roman"/>
          <w:b/>
          <w:sz w:val="24"/>
          <w:szCs w:val="24"/>
        </w:rPr>
        <w:t>9-E</w:t>
      </w:r>
    </w:p>
    <w:p w14:paraId="41B73C6D" w14:textId="77777777" w:rsidR="008F0356" w:rsidRPr="00A60B21" w:rsidRDefault="008F0356" w:rsidP="008F0356">
      <w:pPr>
        <w:rPr>
          <w:rFonts w:ascii="Times New Roman" w:hAnsi="Times New Roman" w:cs="Times New Roman"/>
          <w:sz w:val="24"/>
          <w:szCs w:val="24"/>
        </w:rPr>
      </w:pPr>
      <w:r w:rsidRPr="00A60B21">
        <w:rPr>
          <w:rFonts w:ascii="Times New Roman" w:hAnsi="Times New Roman" w:cs="Times New Roman"/>
          <w:sz w:val="24"/>
          <w:szCs w:val="24"/>
        </w:rPr>
        <w:t>(BayREN ID #941)</w:t>
      </w:r>
    </w:p>
    <w:p w14:paraId="2D95F8BE" w14:textId="77777777" w:rsidR="008F0356" w:rsidRPr="00A60B21" w:rsidRDefault="008F0356" w:rsidP="008F0356">
      <w:pPr>
        <w:jc w:val="both"/>
        <w:rPr>
          <w:rFonts w:ascii="Times New Roman" w:hAnsi="Times New Roman" w:cs="Times New Roman"/>
          <w:sz w:val="24"/>
          <w:szCs w:val="24"/>
        </w:rPr>
      </w:pPr>
      <w:r w:rsidRPr="00A60B21">
        <w:rPr>
          <w:rFonts w:ascii="Times New Roman" w:hAnsi="Times New Roman" w:cs="Times New Roman"/>
          <w:b/>
          <w:sz w:val="24"/>
          <w:szCs w:val="24"/>
        </w:rPr>
        <w:t>Subject:</w:t>
      </w:r>
      <w:r w:rsidRPr="00A60B21">
        <w:rPr>
          <w:rFonts w:ascii="Times New Roman" w:hAnsi="Times New Roman" w:cs="Times New Roman"/>
          <w:sz w:val="24"/>
          <w:szCs w:val="24"/>
        </w:rPr>
        <w:t xml:space="preserve">  </w:t>
      </w:r>
    </w:p>
    <w:p w14:paraId="6D744E03" w14:textId="77777777" w:rsidR="008F0356" w:rsidRPr="00A60B21" w:rsidRDefault="008F0356" w:rsidP="008F0356">
      <w:pPr>
        <w:jc w:val="both"/>
        <w:rPr>
          <w:rFonts w:ascii="Times New Roman" w:hAnsi="Times New Roman" w:cs="Times New Roman"/>
          <w:sz w:val="24"/>
          <w:szCs w:val="24"/>
        </w:rPr>
      </w:pPr>
      <w:r w:rsidRPr="00A60B21">
        <w:rPr>
          <w:rFonts w:ascii="Times New Roman" w:hAnsi="Times New Roman" w:cs="Times New Roman"/>
          <w:sz w:val="24"/>
          <w:szCs w:val="24"/>
        </w:rPr>
        <w:t>BayREN 2019 Annual Energy Efficiency Program and Portfolio Budget Request</w:t>
      </w:r>
    </w:p>
    <w:p w14:paraId="21E1C3C0" w14:textId="77777777" w:rsidR="008F0356" w:rsidRPr="00A60B21" w:rsidRDefault="008F0356" w:rsidP="008F0356">
      <w:pPr>
        <w:jc w:val="both"/>
        <w:rPr>
          <w:rFonts w:ascii="Times New Roman" w:hAnsi="Times New Roman" w:cs="Times New Roman"/>
          <w:b/>
          <w:sz w:val="24"/>
          <w:szCs w:val="24"/>
        </w:rPr>
      </w:pPr>
      <w:r w:rsidRPr="00A60B21">
        <w:rPr>
          <w:rFonts w:ascii="Times New Roman" w:hAnsi="Times New Roman" w:cs="Times New Roman"/>
          <w:b/>
          <w:sz w:val="24"/>
          <w:szCs w:val="24"/>
        </w:rPr>
        <w:t>Purpose</w:t>
      </w:r>
    </w:p>
    <w:p w14:paraId="6D1F5D90" w14:textId="77777777" w:rsidR="008F0356" w:rsidRPr="00A60B21" w:rsidRDefault="008F0356" w:rsidP="008F0356">
      <w:pPr>
        <w:jc w:val="both"/>
        <w:rPr>
          <w:rFonts w:ascii="Times New Roman" w:hAnsi="Times New Roman" w:cs="Times New Roman"/>
          <w:sz w:val="24"/>
          <w:szCs w:val="24"/>
        </w:rPr>
      </w:pPr>
      <w:r w:rsidRPr="00A60B21">
        <w:rPr>
          <w:rFonts w:ascii="Times New Roman" w:hAnsi="Times New Roman" w:cs="Times New Roman"/>
          <w:sz w:val="24"/>
          <w:szCs w:val="24"/>
        </w:rPr>
        <w:t xml:space="preserve">The purpose of this advice filing is to seek approval for the 2019 Annual Energy Efficiency Program and Portfolio Budget request for the San Francisco Bay Area Regional Energy Network (“BayREN”).  </w:t>
      </w:r>
    </w:p>
    <w:p w14:paraId="67553BB8" w14:textId="77777777" w:rsidR="008F0356" w:rsidRPr="00A60B21" w:rsidRDefault="008F0356" w:rsidP="008F0356">
      <w:pPr>
        <w:jc w:val="both"/>
        <w:rPr>
          <w:rFonts w:ascii="Times New Roman" w:hAnsi="Times New Roman" w:cs="Times New Roman"/>
          <w:sz w:val="24"/>
          <w:szCs w:val="24"/>
        </w:rPr>
      </w:pPr>
      <w:r w:rsidRPr="00A60B21">
        <w:rPr>
          <w:rFonts w:ascii="Times New Roman" w:hAnsi="Times New Roman" w:cs="Times New Roman"/>
          <w:sz w:val="24"/>
          <w:szCs w:val="24"/>
        </w:rPr>
        <w:t xml:space="preserve">The BayREN is a collaboration of the nine counties that make up the San Francisco Bay Area.  </w:t>
      </w:r>
      <w:r w:rsidRPr="00A60B21">
        <w:rPr>
          <w:rFonts w:ascii="Times New Roman" w:hAnsi="Times New Roman" w:cs="Times New Roman"/>
          <w:color w:val="151515"/>
          <w:sz w:val="24"/>
          <w:szCs w:val="24"/>
        </w:rPr>
        <w:t>Led by the Association of Bay Area Governments</w:t>
      </w:r>
      <w:r w:rsidRPr="00A60B21">
        <w:rPr>
          <w:rStyle w:val="FootnoteReference"/>
          <w:rFonts w:ascii="Times New Roman" w:hAnsi="Times New Roman" w:cs="Times New Roman"/>
          <w:color w:val="151515"/>
          <w:sz w:val="24"/>
          <w:szCs w:val="24"/>
        </w:rPr>
        <w:footnoteReference w:id="2"/>
      </w:r>
      <w:r w:rsidRPr="00A60B21">
        <w:rPr>
          <w:rFonts w:ascii="Times New Roman" w:hAnsi="Times New Roman" w:cs="Times New Roman"/>
          <w:color w:val="151515"/>
          <w:sz w:val="24"/>
          <w:szCs w:val="24"/>
        </w:rPr>
        <w:t>, the BayREN implements effective energy saving programs on a regional level and draws on the expertise, experience, and proven track record of Bay Area local governments to develop and administer successful climate, resource, and sustainability programs.</w:t>
      </w:r>
      <w:r w:rsidRPr="00A60B21">
        <w:rPr>
          <w:rStyle w:val="apple-converted-space"/>
          <w:rFonts w:ascii="Times New Roman" w:hAnsi="Times New Roman" w:cs="Times New Roman"/>
          <w:color w:val="151515"/>
          <w:sz w:val="24"/>
          <w:szCs w:val="24"/>
        </w:rPr>
        <w:t xml:space="preserve">  </w:t>
      </w:r>
      <w:r w:rsidRPr="00A60B21">
        <w:rPr>
          <w:rFonts w:ascii="Times New Roman" w:hAnsi="Times New Roman" w:cs="Times New Roman"/>
          <w:sz w:val="24"/>
          <w:szCs w:val="24"/>
        </w:rPr>
        <w:t xml:space="preserve">Since its inception, the BayREN has been addressing the three areas indicated by Decision 12-11-015 in the formation and implementation of programs: filling gaps that the investor-owned utilities (“IOUs”) are not serving; developing programs for hard-to-reach markets; and piloting new approaches to programs that have the potential to scale and offer innovative avenues to energy savings.  </w:t>
      </w:r>
    </w:p>
    <w:p w14:paraId="1154E0D4" w14:textId="77777777" w:rsidR="008F0356" w:rsidRPr="00A60B21" w:rsidRDefault="008F0356" w:rsidP="008F0356">
      <w:pPr>
        <w:jc w:val="both"/>
        <w:rPr>
          <w:rFonts w:ascii="Times New Roman" w:hAnsi="Times New Roman" w:cs="Times New Roman"/>
          <w:b/>
          <w:sz w:val="24"/>
          <w:szCs w:val="24"/>
        </w:rPr>
      </w:pPr>
      <w:r w:rsidRPr="00A60B21">
        <w:rPr>
          <w:rFonts w:ascii="Times New Roman" w:hAnsi="Times New Roman" w:cs="Times New Roman"/>
          <w:b/>
          <w:sz w:val="24"/>
          <w:szCs w:val="24"/>
        </w:rPr>
        <w:t>Background</w:t>
      </w:r>
    </w:p>
    <w:p w14:paraId="0041E3BC" w14:textId="77777777" w:rsidR="008F0356" w:rsidRPr="00A60B21" w:rsidRDefault="008F0356" w:rsidP="008F0356">
      <w:pPr>
        <w:jc w:val="both"/>
        <w:rPr>
          <w:rFonts w:ascii="Times New Roman" w:hAnsi="Times New Roman" w:cs="Times New Roman"/>
          <w:b/>
          <w:sz w:val="24"/>
          <w:szCs w:val="24"/>
        </w:rPr>
      </w:pPr>
      <w:r w:rsidRPr="00A60B21">
        <w:rPr>
          <w:rFonts w:ascii="Times New Roman" w:hAnsi="Times New Roman" w:cs="Times New Roman"/>
          <w:sz w:val="24"/>
          <w:szCs w:val="24"/>
        </w:rPr>
        <w:t>In D. 14-10-046, the Commission approved the Rolling Portfolio funding, and  provided that 2015 is “</w:t>
      </w:r>
      <w:proofErr w:type="spellStart"/>
      <w:r w:rsidRPr="00A60B21">
        <w:rPr>
          <w:rFonts w:ascii="Times New Roman" w:hAnsi="Times New Roman" w:cs="Times New Roman"/>
          <w:sz w:val="24"/>
          <w:szCs w:val="24"/>
        </w:rPr>
        <w:t>ʽyear</w:t>
      </w:r>
      <w:proofErr w:type="spellEnd"/>
      <w:r w:rsidRPr="00A60B21">
        <w:rPr>
          <w:rFonts w:ascii="Times New Roman" w:hAnsi="Times New Roman" w:cs="Times New Roman"/>
          <w:sz w:val="24"/>
          <w:szCs w:val="24"/>
        </w:rPr>
        <w:t xml:space="preserve"> zero’ insofar as we are leaving 2015 programs and funding in place until the earlier of when we provide superseding direction, or 2025.”</w:t>
      </w:r>
      <w:r w:rsidRPr="00A60B21">
        <w:rPr>
          <w:rStyle w:val="FootnoteReference"/>
          <w:rFonts w:ascii="Times New Roman" w:hAnsi="Times New Roman" w:cs="Times New Roman"/>
          <w:sz w:val="24"/>
          <w:szCs w:val="24"/>
        </w:rPr>
        <w:footnoteReference w:id="3"/>
      </w:r>
      <w:r w:rsidRPr="00A60B21">
        <w:rPr>
          <w:rFonts w:ascii="Times New Roman" w:hAnsi="Times New Roman" w:cs="Times New Roman"/>
          <w:sz w:val="24"/>
          <w:szCs w:val="24"/>
        </w:rPr>
        <w:t xml:space="preserve">   In addition, funding for various financing programs, including BayREN’s Multifamily Capital Advance Program (“BAMCAP”), was previously approved in D.13-09-044.</w:t>
      </w:r>
      <w:r w:rsidRPr="00A60B21">
        <w:rPr>
          <w:rStyle w:val="FootnoteReference"/>
          <w:rFonts w:ascii="Times New Roman" w:hAnsi="Times New Roman" w:cs="Times New Roman"/>
          <w:sz w:val="24"/>
          <w:szCs w:val="24"/>
        </w:rPr>
        <w:footnoteReference w:id="4"/>
      </w:r>
      <w:r w:rsidRPr="00A60B21">
        <w:rPr>
          <w:rFonts w:ascii="Times New Roman" w:hAnsi="Times New Roman" w:cs="Times New Roman"/>
          <w:sz w:val="24"/>
          <w:szCs w:val="24"/>
        </w:rPr>
        <w:t xml:space="preserve">  REN funding for 2018 was articulated in D.16-08-019: </w:t>
      </w:r>
      <w:r w:rsidRPr="00A60B21">
        <w:rPr>
          <w:rFonts w:ascii="Times New Roman" w:hAnsi="Times New Roman" w:cs="Times New Roman"/>
          <w:sz w:val="24"/>
          <w:szCs w:val="24"/>
        </w:rPr>
        <w:lastRenderedPageBreak/>
        <w:t>“[E]</w:t>
      </w:r>
      <w:proofErr w:type="spellStart"/>
      <w:r w:rsidRPr="00A60B21">
        <w:rPr>
          <w:rFonts w:ascii="Times New Roman" w:hAnsi="Times New Roman" w:cs="Times New Roman"/>
          <w:sz w:val="24"/>
          <w:szCs w:val="24"/>
        </w:rPr>
        <w:t>xisting</w:t>
      </w:r>
      <w:proofErr w:type="spellEnd"/>
      <w:r w:rsidRPr="00A60B21">
        <w:rPr>
          <w:rFonts w:ascii="Times New Roman" w:hAnsi="Times New Roman" w:cs="Times New Roman"/>
          <w:sz w:val="24"/>
          <w:szCs w:val="24"/>
        </w:rPr>
        <w:t xml:space="preserve"> approved activities [of the RENs] may have ongoing funding that was previously approved.”</w:t>
      </w:r>
      <w:r w:rsidRPr="00A60B21">
        <w:rPr>
          <w:rStyle w:val="FootnoteReference"/>
          <w:rFonts w:ascii="Times New Roman" w:hAnsi="Times New Roman" w:cs="Times New Roman"/>
          <w:sz w:val="24"/>
          <w:szCs w:val="24"/>
        </w:rPr>
        <w:t xml:space="preserve"> </w:t>
      </w:r>
      <w:r w:rsidRPr="00A60B21">
        <w:rPr>
          <w:rStyle w:val="FootnoteReference"/>
          <w:rFonts w:ascii="Times New Roman" w:hAnsi="Times New Roman" w:cs="Times New Roman"/>
          <w:sz w:val="24"/>
          <w:szCs w:val="24"/>
        </w:rPr>
        <w:footnoteReference w:id="5"/>
      </w:r>
      <w:r w:rsidR="00C006A9" w:rsidRPr="00A60B21">
        <w:rPr>
          <w:rFonts w:ascii="Times New Roman" w:hAnsi="Times New Roman" w:cs="Times New Roman"/>
          <w:sz w:val="24"/>
          <w:szCs w:val="24"/>
        </w:rPr>
        <w:t xml:space="preserve">  Recently, in D.18-05-041, BayREN’s Business Plan and Budgets for the term of the Rolling Portfolio was approved with slight modifications.</w:t>
      </w:r>
    </w:p>
    <w:p w14:paraId="7ACA580B" w14:textId="77777777" w:rsidR="008F0356" w:rsidRPr="00A60B21" w:rsidRDefault="008F0356" w:rsidP="008F0356">
      <w:pPr>
        <w:spacing w:after="200"/>
        <w:jc w:val="both"/>
        <w:rPr>
          <w:rFonts w:ascii="Times New Roman" w:hAnsi="Times New Roman" w:cs="Times New Roman"/>
          <w:sz w:val="24"/>
          <w:szCs w:val="24"/>
        </w:rPr>
      </w:pPr>
      <w:r w:rsidRPr="00A60B21">
        <w:rPr>
          <w:rFonts w:ascii="Times New Roman" w:hAnsi="Times New Roman" w:cs="Times New Roman"/>
          <w:sz w:val="24"/>
          <w:szCs w:val="24"/>
        </w:rPr>
        <w:t>D.15-10-028 established that on the first business day in September, each PA will file a Tier 2 advice letter for continued collection of Energy Efficiency (EE) funding from ratepayers.  This filing, which envisions ministerial review, is intended to formalize the Program Administrator’s annualized budget which shall remain in place until superseded by Commission or Commission Staff action on the new budget.</w:t>
      </w:r>
      <w:r w:rsidRPr="00A60B21">
        <w:rPr>
          <w:rStyle w:val="FootnoteReference"/>
          <w:rFonts w:ascii="Times New Roman" w:hAnsi="Times New Roman" w:cs="Times New Roman"/>
          <w:sz w:val="24"/>
          <w:szCs w:val="24"/>
        </w:rPr>
        <w:footnoteReference w:id="6"/>
      </w:r>
      <w:r w:rsidRPr="00A60B21">
        <w:rPr>
          <w:rFonts w:ascii="Times New Roman" w:hAnsi="Times New Roman" w:cs="Times New Roman"/>
          <w:sz w:val="24"/>
          <w:szCs w:val="24"/>
        </w:rPr>
        <w:t xml:space="preserve">  </w:t>
      </w:r>
      <w:r w:rsidR="00C006A9" w:rsidRPr="00A60B21">
        <w:rPr>
          <w:rFonts w:ascii="Times New Roman" w:hAnsi="Times New Roman" w:cs="Times New Roman"/>
          <w:sz w:val="24"/>
          <w:szCs w:val="24"/>
        </w:rPr>
        <w:t>D</w:t>
      </w:r>
      <w:r w:rsidR="00B11B23" w:rsidRPr="00A60B21">
        <w:rPr>
          <w:rFonts w:ascii="Times New Roman" w:hAnsi="Times New Roman" w:cs="Times New Roman"/>
          <w:sz w:val="24"/>
          <w:szCs w:val="24"/>
        </w:rPr>
        <w:t xml:space="preserve">.18-05-041 provided the required components of the Annual Budget Advice Letter (ABAL) and directed Program Administrators to file </w:t>
      </w:r>
      <w:r w:rsidR="00C006A9" w:rsidRPr="00A60B21">
        <w:rPr>
          <w:rFonts w:ascii="Times New Roman" w:hAnsi="Times New Roman" w:cs="Times New Roman"/>
          <w:sz w:val="24"/>
          <w:szCs w:val="24"/>
        </w:rPr>
        <w:t>the 2019 A</w:t>
      </w:r>
      <w:r w:rsidR="00B11B23" w:rsidRPr="00A60B21">
        <w:rPr>
          <w:rFonts w:ascii="Times New Roman" w:hAnsi="Times New Roman" w:cs="Times New Roman"/>
          <w:sz w:val="24"/>
          <w:szCs w:val="24"/>
        </w:rPr>
        <w:t>BAL by September 4, 2018.</w:t>
      </w:r>
      <w:r w:rsidR="00B11B23" w:rsidRPr="00A60B21">
        <w:rPr>
          <w:rStyle w:val="FootnoteReference"/>
          <w:rFonts w:ascii="Times New Roman" w:hAnsi="Times New Roman" w:cs="Times New Roman"/>
          <w:sz w:val="24"/>
          <w:szCs w:val="24"/>
        </w:rPr>
        <w:footnoteReference w:id="7"/>
      </w:r>
      <w:r w:rsidR="00B11B23" w:rsidRPr="00A60B21">
        <w:rPr>
          <w:rFonts w:ascii="Times New Roman" w:hAnsi="Times New Roman" w:cs="Times New Roman"/>
          <w:sz w:val="24"/>
          <w:szCs w:val="24"/>
        </w:rPr>
        <w:t xml:space="preserve">  </w:t>
      </w:r>
      <w:r w:rsidRPr="00A60B21">
        <w:rPr>
          <w:rFonts w:ascii="Times New Roman" w:hAnsi="Times New Roman" w:cs="Times New Roman"/>
          <w:sz w:val="24"/>
          <w:szCs w:val="24"/>
        </w:rPr>
        <w:t xml:space="preserve"> </w:t>
      </w:r>
    </w:p>
    <w:p w14:paraId="3FA09968" w14:textId="77777777" w:rsidR="008F0356" w:rsidRPr="00A60B21" w:rsidRDefault="008F0356" w:rsidP="008F0356">
      <w:pPr>
        <w:spacing w:after="200"/>
        <w:jc w:val="both"/>
        <w:rPr>
          <w:rFonts w:ascii="Times New Roman" w:hAnsi="Times New Roman" w:cs="Times New Roman"/>
          <w:sz w:val="24"/>
          <w:szCs w:val="24"/>
        </w:rPr>
      </w:pPr>
      <w:r w:rsidRPr="00A60B21">
        <w:rPr>
          <w:rFonts w:ascii="Times New Roman" w:hAnsi="Times New Roman" w:cs="Times New Roman"/>
          <w:sz w:val="24"/>
          <w:szCs w:val="24"/>
        </w:rPr>
        <w:t xml:space="preserve">As directed by </w:t>
      </w:r>
      <w:r w:rsidR="00B11B23" w:rsidRPr="00A60B21">
        <w:rPr>
          <w:rFonts w:ascii="Times New Roman" w:hAnsi="Times New Roman" w:cs="Times New Roman"/>
          <w:sz w:val="24"/>
          <w:szCs w:val="24"/>
        </w:rPr>
        <w:t>D.18-05</w:t>
      </w:r>
      <w:r w:rsidRPr="00A60B21">
        <w:rPr>
          <w:rFonts w:ascii="Times New Roman" w:hAnsi="Times New Roman" w:cs="Times New Roman"/>
          <w:sz w:val="24"/>
          <w:szCs w:val="24"/>
        </w:rPr>
        <w:t>-0</w:t>
      </w:r>
      <w:r w:rsidR="00B11B23" w:rsidRPr="00A60B21">
        <w:rPr>
          <w:rFonts w:ascii="Times New Roman" w:hAnsi="Times New Roman" w:cs="Times New Roman"/>
          <w:sz w:val="24"/>
          <w:szCs w:val="24"/>
        </w:rPr>
        <w:t>41</w:t>
      </w:r>
      <w:r w:rsidRPr="00A60B21">
        <w:rPr>
          <w:rFonts w:ascii="Times New Roman" w:hAnsi="Times New Roman" w:cs="Times New Roman"/>
          <w:sz w:val="24"/>
          <w:szCs w:val="24"/>
        </w:rPr>
        <w:t xml:space="preserve"> and additional guidance provided by Commission staff, BayREN has submitted via CEDARS-FM the 201</w:t>
      </w:r>
      <w:r w:rsidR="00B11B23" w:rsidRPr="00A60B21">
        <w:rPr>
          <w:rFonts w:ascii="Times New Roman" w:hAnsi="Times New Roman" w:cs="Times New Roman"/>
          <w:sz w:val="24"/>
          <w:szCs w:val="24"/>
        </w:rPr>
        <w:t>9</w:t>
      </w:r>
      <w:r w:rsidRPr="00A60B21">
        <w:rPr>
          <w:rFonts w:ascii="Times New Roman" w:hAnsi="Times New Roman" w:cs="Times New Roman"/>
          <w:sz w:val="24"/>
          <w:szCs w:val="24"/>
        </w:rPr>
        <w:t xml:space="preserve"> BayREN Budget Filing Detail Report; the confirmation receipt is attached hereto. </w:t>
      </w:r>
    </w:p>
    <w:p w14:paraId="09AF638A" w14:textId="77777777" w:rsidR="00AC6588" w:rsidRDefault="00AC6588" w:rsidP="008F0356">
      <w:pPr>
        <w:jc w:val="both"/>
        <w:rPr>
          <w:rFonts w:ascii="Times New Roman" w:hAnsi="Times New Roman" w:cs="Times New Roman"/>
          <w:b/>
          <w:sz w:val="24"/>
          <w:szCs w:val="24"/>
        </w:rPr>
      </w:pPr>
    </w:p>
    <w:p w14:paraId="5EA42846" w14:textId="77777777" w:rsidR="00AC6588" w:rsidRDefault="00AC6588" w:rsidP="008F0356">
      <w:pPr>
        <w:jc w:val="both"/>
        <w:rPr>
          <w:rFonts w:ascii="Times New Roman" w:hAnsi="Times New Roman" w:cs="Times New Roman"/>
          <w:b/>
          <w:sz w:val="24"/>
          <w:szCs w:val="24"/>
        </w:rPr>
      </w:pPr>
    </w:p>
    <w:p w14:paraId="4373D9E4" w14:textId="77777777" w:rsidR="00AC6588" w:rsidRDefault="00AC6588" w:rsidP="008F0356">
      <w:pPr>
        <w:jc w:val="both"/>
        <w:rPr>
          <w:rFonts w:ascii="Times New Roman" w:hAnsi="Times New Roman" w:cs="Times New Roman"/>
          <w:b/>
          <w:sz w:val="24"/>
          <w:szCs w:val="24"/>
        </w:rPr>
      </w:pPr>
    </w:p>
    <w:p w14:paraId="5AEEBBEE" w14:textId="77777777" w:rsidR="00AC6588" w:rsidRDefault="00AC6588" w:rsidP="008F0356">
      <w:pPr>
        <w:jc w:val="both"/>
        <w:rPr>
          <w:rFonts w:ascii="Times New Roman" w:hAnsi="Times New Roman" w:cs="Times New Roman"/>
          <w:b/>
          <w:sz w:val="24"/>
          <w:szCs w:val="24"/>
        </w:rPr>
      </w:pPr>
    </w:p>
    <w:p w14:paraId="599C64F9" w14:textId="77777777" w:rsidR="00AC6588" w:rsidRDefault="00AC6588" w:rsidP="008F0356">
      <w:pPr>
        <w:jc w:val="both"/>
        <w:rPr>
          <w:rFonts w:ascii="Times New Roman" w:hAnsi="Times New Roman" w:cs="Times New Roman"/>
          <w:b/>
          <w:sz w:val="24"/>
          <w:szCs w:val="24"/>
        </w:rPr>
      </w:pPr>
    </w:p>
    <w:p w14:paraId="5BB90074" w14:textId="77777777" w:rsidR="00AC6588" w:rsidRDefault="00AC6588" w:rsidP="008F0356">
      <w:pPr>
        <w:jc w:val="both"/>
        <w:rPr>
          <w:rFonts w:ascii="Times New Roman" w:hAnsi="Times New Roman" w:cs="Times New Roman"/>
          <w:b/>
          <w:sz w:val="24"/>
          <w:szCs w:val="24"/>
        </w:rPr>
      </w:pPr>
    </w:p>
    <w:p w14:paraId="0CD48AFA" w14:textId="77777777" w:rsidR="00AC6588" w:rsidRDefault="00AC6588" w:rsidP="008F0356">
      <w:pPr>
        <w:jc w:val="both"/>
        <w:rPr>
          <w:rFonts w:ascii="Times New Roman" w:hAnsi="Times New Roman" w:cs="Times New Roman"/>
          <w:b/>
          <w:sz w:val="24"/>
          <w:szCs w:val="24"/>
        </w:rPr>
      </w:pPr>
    </w:p>
    <w:p w14:paraId="63103D1B" w14:textId="77777777" w:rsidR="00AC6588" w:rsidRDefault="00AC6588" w:rsidP="008F0356">
      <w:pPr>
        <w:jc w:val="both"/>
        <w:rPr>
          <w:rFonts w:ascii="Times New Roman" w:hAnsi="Times New Roman" w:cs="Times New Roman"/>
          <w:b/>
          <w:sz w:val="24"/>
          <w:szCs w:val="24"/>
        </w:rPr>
      </w:pPr>
    </w:p>
    <w:p w14:paraId="3B62F8B7" w14:textId="77777777" w:rsidR="00AC6588" w:rsidRDefault="00AC6588" w:rsidP="008F0356">
      <w:pPr>
        <w:jc w:val="both"/>
        <w:rPr>
          <w:rFonts w:ascii="Times New Roman" w:hAnsi="Times New Roman" w:cs="Times New Roman"/>
          <w:b/>
          <w:sz w:val="24"/>
          <w:szCs w:val="24"/>
        </w:rPr>
      </w:pPr>
    </w:p>
    <w:p w14:paraId="2EB7383C" w14:textId="77777777" w:rsidR="00AC6588" w:rsidRDefault="00AC6588" w:rsidP="008F0356">
      <w:pPr>
        <w:jc w:val="both"/>
        <w:rPr>
          <w:rFonts w:ascii="Times New Roman" w:hAnsi="Times New Roman" w:cs="Times New Roman"/>
          <w:b/>
          <w:sz w:val="24"/>
          <w:szCs w:val="24"/>
        </w:rPr>
      </w:pPr>
    </w:p>
    <w:p w14:paraId="67D88CEA" w14:textId="77777777" w:rsidR="00AC6588" w:rsidRDefault="00AC6588" w:rsidP="008F0356">
      <w:pPr>
        <w:jc w:val="both"/>
        <w:rPr>
          <w:rFonts w:ascii="Times New Roman" w:hAnsi="Times New Roman" w:cs="Times New Roman"/>
          <w:b/>
          <w:sz w:val="24"/>
          <w:szCs w:val="24"/>
        </w:rPr>
      </w:pPr>
    </w:p>
    <w:p w14:paraId="773A0767" w14:textId="77777777" w:rsidR="00AC6588" w:rsidRDefault="00AC6588" w:rsidP="008F0356">
      <w:pPr>
        <w:jc w:val="both"/>
        <w:rPr>
          <w:rFonts w:ascii="Times New Roman" w:hAnsi="Times New Roman" w:cs="Times New Roman"/>
          <w:b/>
          <w:sz w:val="24"/>
          <w:szCs w:val="24"/>
        </w:rPr>
      </w:pPr>
    </w:p>
    <w:p w14:paraId="58A50368" w14:textId="77777777" w:rsidR="00AC6588" w:rsidRDefault="00AC6588" w:rsidP="008F0356">
      <w:pPr>
        <w:jc w:val="both"/>
        <w:rPr>
          <w:rFonts w:ascii="Times New Roman" w:hAnsi="Times New Roman" w:cs="Times New Roman"/>
          <w:b/>
          <w:sz w:val="24"/>
          <w:szCs w:val="24"/>
        </w:rPr>
      </w:pPr>
    </w:p>
    <w:p w14:paraId="6912A725" w14:textId="77777777" w:rsidR="00AC6588" w:rsidRDefault="00AC6588" w:rsidP="008F0356">
      <w:pPr>
        <w:jc w:val="both"/>
        <w:rPr>
          <w:rFonts w:ascii="Times New Roman" w:hAnsi="Times New Roman" w:cs="Times New Roman"/>
          <w:b/>
          <w:sz w:val="24"/>
          <w:szCs w:val="24"/>
        </w:rPr>
      </w:pPr>
    </w:p>
    <w:p w14:paraId="0F29F2F1" w14:textId="1E66CEA7" w:rsidR="008F0356" w:rsidRPr="00A60B21" w:rsidRDefault="008F0356" w:rsidP="008F0356">
      <w:pPr>
        <w:jc w:val="both"/>
        <w:rPr>
          <w:rFonts w:ascii="Times New Roman" w:hAnsi="Times New Roman" w:cs="Times New Roman"/>
          <w:b/>
          <w:sz w:val="24"/>
          <w:szCs w:val="24"/>
        </w:rPr>
      </w:pPr>
      <w:r w:rsidRPr="00A60B21">
        <w:rPr>
          <w:rFonts w:ascii="Times New Roman" w:hAnsi="Times New Roman" w:cs="Times New Roman"/>
          <w:b/>
          <w:sz w:val="24"/>
          <w:szCs w:val="24"/>
        </w:rPr>
        <w:lastRenderedPageBreak/>
        <w:t>Discussion</w:t>
      </w:r>
    </w:p>
    <w:p w14:paraId="5759B7F4" w14:textId="77777777" w:rsidR="008F0356" w:rsidRPr="00A60B21" w:rsidRDefault="008F0356" w:rsidP="008F0356">
      <w:pPr>
        <w:pStyle w:val="ListParagraph"/>
        <w:numPr>
          <w:ilvl w:val="0"/>
          <w:numId w:val="4"/>
        </w:numPr>
        <w:jc w:val="both"/>
        <w:rPr>
          <w:rFonts w:ascii="Times New Roman" w:hAnsi="Times New Roman" w:cs="Times New Roman"/>
          <w:szCs w:val="24"/>
          <w:u w:val="single"/>
        </w:rPr>
      </w:pPr>
      <w:r w:rsidRPr="00A60B21">
        <w:rPr>
          <w:rFonts w:ascii="Times New Roman" w:hAnsi="Times New Roman" w:cs="Times New Roman"/>
          <w:b/>
          <w:szCs w:val="24"/>
          <w:u w:val="single"/>
        </w:rPr>
        <w:t>BayREN 201</w:t>
      </w:r>
      <w:r w:rsidR="00A5465B" w:rsidRPr="00A60B21">
        <w:rPr>
          <w:rFonts w:ascii="Times New Roman" w:hAnsi="Times New Roman" w:cs="Times New Roman"/>
          <w:b/>
          <w:szCs w:val="24"/>
          <w:u w:val="single"/>
        </w:rPr>
        <w:t>9</w:t>
      </w:r>
      <w:r w:rsidRPr="00A60B21">
        <w:rPr>
          <w:rFonts w:ascii="Times New Roman" w:hAnsi="Times New Roman" w:cs="Times New Roman"/>
          <w:b/>
          <w:szCs w:val="24"/>
          <w:u w:val="single"/>
        </w:rPr>
        <w:t xml:space="preserve"> Budget Request</w:t>
      </w:r>
      <w:r w:rsidR="00141364" w:rsidRPr="00A60B21">
        <w:rPr>
          <w:rFonts w:ascii="Times New Roman" w:hAnsi="Times New Roman" w:cs="Times New Roman"/>
          <w:b/>
          <w:szCs w:val="24"/>
          <w:u w:val="single"/>
        </w:rPr>
        <w:t xml:space="preserve"> </w:t>
      </w:r>
    </w:p>
    <w:p w14:paraId="5EF8DE71" w14:textId="65DE449A" w:rsidR="00AC6588" w:rsidRPr="00AC6588" w:rsidRDefault="008F0356" w:rsidP="00AC6588">
      <w:pPr>
        <w:jc w:val="both"/>
        <w:rPr>
          <w:rFonts w:ascii="Times New Roman" w:hAnsi="Times New Roman" w:cs="Times New Roman"/>
          <w:sz w:val="24"/>
          <w:szCs w:val="24"/>
        </w:rPr>
      </w:pPr>
      <w:r w:rsidRPr="00A60B21">
        <w:rPr>
          <w:rFonts w:ascii="Times New Roman" w:hAnsi="Times New Roman" w:cs="Times New Roman"/>
          <w:sz w:val="24"/>
          <w:szCs w:val="24"/>
        </w:rPr>
        <w:t>BayREN requests a total portfolio and Evaluation, Measurement and Verification (“EM&amp;V”) budget of $</w:t>
      </w:r>
      <w:r w:rsidR="00AC6588">
        <w:rPr>
          <w:rFonts w:ascii="Times New Roman" w:hAnsi="Times New Roman" w:cs="Times New Roman"/>
          <w:sz w:val="24"/>
          <w:szCs w:val="24"/>
        </w:rPr>
        <w:t>23,021,858</w:t>
      </w:r>
      <w:r w:rsidR="00116E12" w:rsidRPr="00A60B21">
        <w:rPr>
          <w:rFonts w:ascii="Times New Roman" w:hAnsi="Times New Roman" w:cs="Times New Roman"/>
          <w:sz w:val="24"/>
          <w:szCs w:val="24"/>
        </w:rPr>
        <w:t>.</w:t>
      </w:r>
      <w:r w:rsidRPr="00A60B21">
        <w:rPr>
          <w:rFonts w:ascii="Times New Roman" w:hAnsi="Times New Roman" w:cs="Times New Roman"/>
          <w:sz w:val="24"/>
          <w:szCs w:val="24"/>
        </w:rPr>
        <w:t xml:space="preserve">  </w:t>
      </w:r>
    </w:p>
    <w:p w14:paraId="1897826D" w14:textId="6689F9D9" w:rsidR="00822662" w:rsidRPr="00A60B21" w:rsidRDefault="00822662" w:rsidP="00822662">
      <w:pPr>
        <w:ind w:firstLine="720"/>
        <w:contextualSpacing/>
        <w:rPr>
          <w:rFonts w:ascii="Times New Roman" w:hAnsi="Times New Roman" w:cs="Times New Roman"/>
          <w:b/>
          <w:sz w:val="24"/>
          <w:szCs w:val="24"/>
        </w:rPr>
      </w:pPr>
      <w:r w:rsidRPr="00A60B21">
        <w:rPr>
          <w:rFonts w:ascii="Times New Roman" w:hAnsi="Times New Roman" w:cs="Times New Roman"/>
          <w:b/>
          <w:sz w:val="24"/>
          <w:szCs w:val="24"/>
        </w:rPr>
        <w:t>Table 1: BayREN 2019 Budget</w:t>
      </w:r>
      <w:r w:rsidR="000B0423">
        <w:rPr>
          <w:rFonts w:ascii="Times New Roman" w:hAnsi="Times New Roman" w:cs="Times New Roman"/>
          <w:b/>
          <w:sz w:val="24"/>
          <w:szCs w:val="24"/>
        </w:rPr>
        <w:t xml:space="preserve"> and Savings</w:t>
      </w:r>
    </w:p>
    <w:p w14:paraId="0773524A" w14:textId="77777777" w:rsidR="00822662" w:rsidRPr="00A60B21" w:rsidRDefault="00822662" w:rsidP="00822662">
      <w:pPr>
        <w:ind w:firstLine="720"/>
        <w:contextualSpacing/>
        <w:rPr>
          <w:rFonts w:ascii="Times New Roman" w:hAnsi="Times New Roman" w:cs="Times New Roman"/>
          <w:b/>
          <w:sz w:val="24"/>
          <w:szCs w:val="24"/>
        </w:rPr>
      </w:pPr>
    </w:p>
    <w:p w14:paraId="618FC4D3" w14:textId="44FA1E4D" w:rsidR="008F0356" w:rsidRPr="00A60B21" w:rsidRDefault="00340687" w:rsidP="008F0356">
      <w:pPr>
        <w:rPr>
          <w:rFonts w:ascii="Times New Roman" w:hAnsi="Times New Roman" w:cs="Times New Roman"/>
          <w:sz w:val="24"/>
          <w:szCs w:val="24"/>
        </w:rPr>
      </w:pPr>
      <w:r w:rsidRPr="00340687">
        <w:rPr>
          <w:noProof/>
        </w:rPr>
        <w:drawing>
          <wp:inline distT="0" distB="0" distL="0" distR="0" wp14:anchorId="2409AC48" wp14:editId="0FF7F3EE">
            <wp:extent cx="5943600" cy="3875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75090"/>
                    </a:xfrm>
                    <a:prstGeom prst="rect">
                      <a:avLst/>
                    </a:prstGeom>
                    <a:noFill/>
                    <a:ln>
                      <a:noFill/>
                    </a:ln>
                  </pic:spPr>
                </pic:pic>
              </a:graphicData>
            </a:graphic>
          </wp:inline>
        </w:drawing>
      </w:r>
    </w:p>
    <w:p w14:paraId="637EB2DC" w14:textId="77777777" w:rsidR="008F0356" w:rsidRPr="00A60B21" w:rsidRDefault="008F0356" w:rsidP="006B09F8">
      <w:pPr>
        <w:rPr>
          <w:rFonts w:ascii="Times New Roman" w:hAnsi="Times New Roman" w:cs="Times New Roman"/>
          <w:sz w:val="24"/>
          <w:szCs w:val="24"/>
        </w:rPr>
      </w:pPr>
    </w:p>
    <w:p w14:paraId="515066AF" w14:textId="77777777" w:rsidR="00FA21A8" w:rsidRDefault="00FA21A8" w:rsidP="006B09F8">
      <w:pPr>
        <w:rPr>
          <w:rFonts w:ascii="Times New Roman" w:hAnsi="Times New Roman" w:cs="Times New Roman"/>
          <w:b/>
          <w:sz w:val="24"/>
          <w:szCs w:val="24"/>
        </w:rPr>
      </w:pPr>
    </w:p>
    <w:p w14:paraId="15409D9C" w14:textId="77777777" w:rsidR="00FA21A8" w:rsidRDefault="00FA21A8" w:rsidP="006B09F8">
      <w:pPr>
        <w:rPr>
          <w:rFonts w:ascii="Times New Roman" w:hAnsi="Times New Roman" w:cs="Times New Roman"/>
          <w:b/>
          <w:sz w:val="24"/>
          <w:szCs w:val="24"/>
        </w:rPr>
      </w:pPr>
    </w:p>
    <w:p w14:paraId="58C72C9B" w14:textId="77777777" w:rsidR="00FA21A8" w:rsidRDefault="00FA21A8" w:rsidP="006B09F8">
      <w:pPr>
        <w:rPr>
          <w:rFonts w:ascii="Times New Roman" w:hAnsi="Times New Roman" w:cs="Times New Roman"/>
          <w:b/>
          <w:sz w:val="24"/>
          <w:szCs w:val="24"/>
        </w:rPr>
      </w:pPr>
    </w:p>
    <w:p w14:paraId="66930D02" w14:textId="77777777" w:rsidR="00FA21A8" w:rsidRDefault="00FA21A8" w:rsidP="006B09F8">
      <w:pPr>
        <w:rPr>
          <w:rFonts w:ascii="Times New Roman" w:hAnsi="Times New Roman" w:cs="Times New Roman"/>
          <w:b/>
          <w:sz w:val="24"/>
          <w:szCs w:val="24"/>
        </w:rPr>
      </w:pPr>
    </w:p>
    <w:p w14:paraId="3327E67B" w14:textId="77777777" w:rsidR="00FA21A8" w:rsidRDefault="00FA21A8" w:rsidP="006B09F8">
      <w:pPr>
        <w:rPr>
          <w:rFonts w:ascii="Times New Roman" w:hAnsi="Times New Roman" w:cs="Times New Roman"/>
          <w:b/>
          <w:sz w:val="24"/>
          <w:szCs w:val="24"/>
        </w:rPr>
      </w:pPr>
    </w:p>
    <w:p w14:paraId="538EE181" w14:textId="77777777" w:rsidR="00FA21A8" w:rsidRDefault="00FA21A8" w:rsidP="006B09F8">
      <w:pPr>
        <w:rPr>
          <w:rFonts w:ascii="Times New Roman" w:hAnsi="Times New Roman" w:cs="Times New Roman"/>
          <w:b/>
          <w:sz w:val="24"/>
          <w:szCs w:val="24"/>
        </w:rPr>
      </w:pPr>
    </w:p>
    <w:p w14:paraId="77857E3F" w14:textId="02A26671" w:rsidR="00FA21A8" w:rsidRDefault="00FA21A8" w:rsidP="006B09F8">
      <w:pPr>
        <w:rPr>
          <w:rFonts w:ascii="Times New Roman" w:hAnsi="Times New Roman" w:cs="Times New Roman"/>
          <w:b/>
          <w:sz w:val="24"/>
          <w:szCs w:val="24"/>
        </w:rPr>
      </w:pPr>
    </w:p>
    <w:p w14:paraId="2B40C030" w14:textId="77777777" w:rsidR="00340687" w:rsidRDefault="00340687" w:rsidP="006B09F8">
      <w:pPr>
        <w:rPr>
          <w:rFonts w:ascii="Times New Roman" w:hAnsi="Times New Roman" w:cs="Times New Roman"/>
          <w:b/>
          <w:sz w:val="24"/>
          <w:szCs w:val="24"/>
        </w:rPr>
      </w:pPr>
    </w:p>
    <w:p w14:paraId="0790D6A9" w14:textId="265352B7" w:rsidR="00444192" w:rsidRPr="00AC0FC4" w:rsidRDefault="00444192" w:rsidP="00AC0FC4">
      <w:pPr>
        <w:pStyle w:val="ListParagraph"/>
        <w:numPr>
          <w:ilvl w:val="0"/>
          <w:numId w:val="4"/>
        </w:numPr>
        <w:rPr>
          <w:rFonts w:ascii="Times New Roman" w:hAnsi="Times New Roman" w:cs="Times New Roman"/>
          <w:b/>
          <w:szCs w:val="24"/>
        </w:rPr>
      </w:pPr>
      <w:proofErr w:type="spellStart"/>
      <w:r w:rsidRPr="00AC0FC4">
        <w:rPr>
          <w:rFonts w:ascii="Times New Roman" w:hAnsi="Times New Roman" w:cs="Times New Roman"/>
          <w:b/>
          <w:szCs w:val="24"/>
        </w:rPr>
        <w:lastRenderedPageBreak/>
        <w:t>BayREN</w:t>
      </w:r>
      <w:proofErr w:type="spellEnd"/>
      <w:r w:rsidRPr="00AC0FC4">
        <w:rPr>
          <w:rFonts w:ascii="Times New Roman" w:hAnsi="Times New Roman" w:cs="Times New Roman"/>
          <w:b/>
          <w:szCs w:val="24"/>
        </w:rPr>
        <w:t xml:space="preserve"> Portfolio Energy Savings</w:t>
      </w:r>
    </w:p>
    <w:p w14:paraId="2AF2EC85" w14:textId="127B6F0D" w:rsidR="00444192" w:rsidRPr="00444192" w:rsidRDefault="00444192" w:rsidP="006B09F8">
      <w:pPr>
        <w:rPr>
          <w:rFonts w:ascii="Times New Roman" w:hAnsi="Times New Roman" w:cs="Times New Roman"/>
          <w:sz w:val="24"/>
          <w:szCs w:val="24"/>
        </w:rPr>
      </w:pPr>
      <w:r>
        <w:rPr>
          <w:rFonts w:ascii="Times New Roman" w:hAnsi="Times New Roman" w:cs="Times New Roman"/>
          <w:sz w:val="24"/>
          <w:szCs w:val="24"/>
        </w:rPr>
        <w:t>BayREN</w:t>
      </w:r>
      <w:r w:rsidR="00FA21A8">
        <w:rPr>
          <w:rFonts w:ascii="Times New Roman" w:hAnsi="Times New Roman" w:cs="Times New Roman"/>
          <w:sz w:val="24"/>
          <w:szCs w:val="24"/>
        </w:rPr>
        <w:t xml:space="preserve">’s portfolio budget </w:t>
      </w:r>
      <w:r>
        <w:rPr>
          <w:rFonts w:ascii="Times New Roman" w:hAnsi="Times New Roman" w:cs="Times New Roman"/>
          <w:sz w:val="24"/>
          <w:szCs w:val="24"/>
        </w:rPr>
        <w:t>forecast true-up is provided in Tables</w:t>
      </w:r>
      <w:r w:rsidR="00FA21A8">
        <w:rPr>
          <w:rFonts w:ascii="Times New Roman" w:hAnsi="Times New Roman" w:cs="Times New Roman"/>
          <w:sz w:val="24"/>
          <w:szCs w:val="24"/>
        </w:rPr>
        <w:t xml:space="preserve"> 2 below.</w:t>
      </w:r>
    </w:p>
    <w:p w14:paraId="28B9A140" w14:textId="0AF95F9F" w:rsidR="000B0423" w:rsidRDefault="00444192" w:rsidP="00DD6790">
      <w:pPr>
        <w:jc w:val="center"/>
        <w:rPr>
          <w:rFonts w:ascii="Times New Roman" w:hAnsi="Times New Roman" w:cs="Times New Roman"/>
          <w:b/>
          <w:sz w:val="24"/>
          <w:szCs w:val="24"/>
        </w:rPr>
      </w:pPr>
      <w:r w:rsidRPr="00444192">
        <w:rPr>
          <w:rFonts w:ascii="Times New Roman" w:hAnsi="Times New Roman" w:cs="Times New Roman"/>
          <w:b/>
          <w:sz w:val="24"/>
          <w:szCs w:val="24"/>
        </w:rPr>
        <w:t>Table 2: A</w:t>
      </w:r>
      <w:r w:rsidR="000B0423" w:rsidRPr="00444192">
        <w:rPr>
          <w:rFonts w:ascii="Times New Roman" w:hAnsi="Times New Roman" w:cs="Times New Roman"/>
          <w:b/>
          <w:sz w:val="24"/>
          <w:szCs w:val="24"/>
        </w:rPr>
        <w:t>nnual R</w:t>
      </w:r>
      <w:r w:rsidRPr="00444192">
        <w:rPr>
          <w:rFonts w:ascii="Times New Roman" w:hAnsi="Times New Roman" w:cs="Times New Roman"/>
          <w:b/>
          <w:sz w:val="24"/>
          <w:szCs w:val="24"/>
        </w:rPr>
        <w:t>olling Port</w:t>
      </w:r>
      <w:r w:rsidR="000B0423" w:rsidRPr="00444192">
        <w:rPr>
          <w:rFonts w:ascii="Times New Roman" w:hAnsi="Times New Roman" w:cs="Times New Roman"/>
          <w:b/>
          <w:sz w:val="24"/>
          <w:szCs w:val="24"/>
        </w:rPr>
        <w:t>folio Budget Forecast True-Up</w:t>
      </w:r>
    </w:p>
    <w:p w14:paraId="26D4E873" w14:textId="1A142870" w:rsidR="00AC6588" w:rsidRDefault="00340687" w:rsidP="00DD6790">
      <w:pPr>
        <w:jc w:val="center"/>
      </w:pPr>
      <w:r w:rsidRPr="00340687">
        <w:rPr>
          <w:noProof/>
        </w:rPr>
        <w:drawing>
          <wp:inline distT="0" distB="0" distL="0" distR="0" wp14:anchorId="13966D9A" wp14:editId="1811EC49">
            <wp:extent cx="6429339" cy="346009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5098"/>
                    <a:stretch/>
                  </pic:blipFill>
                  <pic:spPr bwMode="auto">
                    <a:xfrm>
                      <a:off x="0" y="0"/>
                      <a:ext cx="6433381" cy="3462265"/>
                    </a:xfrm>
                    <a:prstGeom prst="rect">
                      <a:avLst/>
                    </a:prstGeom>
                    <a:noFill/>
                    <a:ln>
                      <a:noFill/>
                    </a:ln>
                    <a:extLst>
                      <a:ext uri="{53640926-AAD7-44D8-BBD7-CCE9431645EC}">
                        <a14:shadowObscured xmlns:a14="http://schemas.microsoft.com/office/drawing/2010/main"/>
                      </a:ext>
                    </a:extLst>
                  </pic:spPr>
                </pic:pic>
              </a:graphicData>
            </a:graphic>
          </wp:inline>
        </w:drawing>
      </w:r>
    </w:p>
    <w:p w14:paraId="1BD61135" w14:textId="65049319" w:rsidR="00FA21A8" w:rsidRDefault="00FA21A8" w:rsidP="00DD6790">
      <w:pPr>
        <w:jc w:val="center"/>
        <w:rPr>
          <w:rFonts w:ascii="Times New Roman" w:hAnsi="Times New Roman" w:cs="Times New Roman"/>
          <w:sz w:val="24"/>
          <w:szCs w:val="24"/>
        </w:rPr>
      </w:pPr>
    </w:p>
    <w:p w14:paraId="1357AF23" w14:textId="35ADA123" w:rsidR="00FA21A8" w:rsidRPr="00AC6588" w:rsidRDefault="00FA21A8" w:rsidP="00FA21A8">
      <w:pPr>
        <w:rPr>
          <w:rFonts w:ascii="Times New Roman" w:hAnsi="Times New Roman" w:cs="Times New Roman"/>
          <w:sz w:val="24"/>
          <w:szCs w:val="24"/>
        </w:rPr>
      </w:pPr>
      <w:r w:rsidRPr="00AC6588">
        <w:rPr>
          <w:rFonts w:ascii="Times New Roman" w:hAnsi="Times New Roman" w:cs="Times New Roman"/>
          <w:sz w:val="24"/>
          <w:szCs w:val="24"/>
        </w:rPr>
        <w:t>BayREN’s portfolio savings forecast true-up is provided in Tables 3</w:t>
      </w:r>
      <w:r w:rsidR="00AC6588" w:rsidRPr="00AC6588">
        <w:rPr>
          <w:rFonts w:ascii="Times New Roman" w:hAnsi="Times New Roman" w:cs="Times New Roman"/>
          <w:sz w:val="24"/>
          <w:szCs w:val="24"/>
        </w:rPr>
        <w:t>, 4 and 5 below.</w:t>
      </w:r>
    </w:p>
    <w:p w14:paraId="029F192A" w14:textId="24600976" w:rsidR="000B0423" w:rsidRDefault="00444192" w:rsidP="00DD6790">
      <w:pPr>
        <w:jc w:val="center"/>
        <w:rPr>
          <w:rFonts w:ascii="Times New Roman" w:hAnsi="Times New Roman" w:cs="Times New Roman"/>
          <w:b/>
          <w:sz w:val="24"/>
          <w:szCs w:val="24"/>
        </w:rPr>
      </w:pPr>
      <w:r w:rsidRPr="00444192">
        <w:rPr>
          <w:rFonts w:ascii="Times New Roman" w:hAnsi="Times New Roman" w:cs="Times New Roman"/>
          <w:b/>
          <w:sz w:val="24"/>
          <w:szCs w:val="24"/>
        </w:rPr>
        <w:t>Table 3: Annual Rolling Portfolio Savings Forecast True-Up (kWh)</w:t>
      </w:r>
    </w:p>
    <w:p w14:paraId="6E56B778" w14:textId="43E359EB" w:rsidR="00FA21A8" w:rsidRPr="00444192" w:rsidRDefault="00FA21A8" w:rsidP="00DD6790">
      <w:pPr>
        <w:jc w:val="center"/>
        <w:rPr>
          <w:rFonts w:ascii="Times New Roman" w:hAnsi="Times New Roman" w:cs="Times New Roman"/>
          <w:b/>
          <w:sz w:val="24"/>
          <w:szCs w:val="24"/>
        </w:rPr>
      </w:pPr>
      <w:r w:rsidRPr="00FA21A8">
        <w:rPr>
          <w:noProof/>
        </w:rPr>
        <w:drawing>
          <wp:inline distT="0" distB="0" distL="0" distR="0" wp14:anchorId="041872F2" wp14:editId="469B8735">
            <wp:extent cx="5942965" cy="2461098"/>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824" cy="2465595"/>
                    </a:xfrm>
                    <a:prstGeom prst="rect">
                      <a:avLst/>
                    </a:prstGeom>
                    <a:noFill/>
                    <a:ln>
                      <a:noFill/>
                    </a:ln>
                  </pic:spPr>
                </pic:pic>
              </a:graphicData>
            </a:graphic>
          </wp:inline>
        </w:drawing>
      </w:r>
    </w:p>
    <w:p w14:paraId="61AAD387" w14:textId="579EE5FA" w:rsidR="00AC6588" w:rsidRDefault="00AC6588" w:rsidP="00AC6588">
      <w:pPr>
        <w:rPr>
          <w:rFonts w:ascii="Times New Roman" w:hAnsi="Times New Roman" w:cs="Times New Roman"/>
          <w:b/>
          <w:sz w:val="24"/>
          <w:szCs w:val="24"/>
        </w:rPr>
      </w:pPr>
    </w:p>
    <w:p w14:paraId="05E98CFA" w14:textId="77777777" w:rsidR="00AC6588" w:rsidRDefault="00AC6588" w:rsidP="00AC6588">
      <w:pPr>
        <w:rPr>
          <w:rFonts w:ascii="Times New Roman" w:hAnsi="Times New Roman" w:cs="Times New Roman"/>
          <w:b/>
          <w:sz w:val="24"/>
          <w:szCs w:val="24"/>
        </w:rPr>
      </w:pPr>
    </w:p>
    <w:p w14:paraId="1F4B803B" w14:textId="2FD6E20D" w:rsidR="00444192" w:rsidRDefault="00DD6790" w:rsidP="00AC6588">
      <w:pPr>
        <w:jc w:val="center"/>
        <w:rPr>
          <w:rFonts w:ascii="Times New Roman" w:hAnsi="Times New Roman" w:cs="Times New Roman"/>
          <w:b/>
          <w:sz w:val="24"/>
          <w:szCs w:val="24"/>
        </w:rPr>
      </w:pPr>
      <w:r w:rsidRPr="00DD6790">
        <w:rPr>
          <w:rFonts w:ascii="Times New Roman" w:hAnsi="Times New Roman" w:cs="Times New Roman"/>
          <w:b/>
          <w:sz w:val="24"/>
          <w:szCs w:val="24"/>
        </w:rPr>
        <w:t xml:space="preserve">Table 4:  </w:t>
      </w:r>
      <w:r w:rsidR="00444192" w:rsidRPr="00DD6790">
        <w:rPr>
          <w:rFonts w:ascii="Times New Roman" w:hAnsi="Times New Roman" w:cs="Times New Roman"/>
          <w:b/>
          <w:sz w:val="24"/>
          <w:szCs w:val="24"/>
        </w:rPr>
        <w:t>Annual Rolling Portfolio Savings Forecast True-Up (kW)</w:t>
      </w:r>
    </w:p>
    <w:p w14:paraId="2C58081C" w14:textId="2184FD44" w:rsidR="00FA21A8" w:rsidRPr="00DD6790" w:rsidRDefault="00FA21A8" w:rsidP="00DD6790">
      <w:pPr>
        <w:jc w:val="center"/>
        <w:rPr>
          <w:rFonts w:ascii="Times New Roman" w:hAnsi="Times New Roman" w:cs="Times New Roman"/>
          <w:b/>
          <w:sz w:val="24"/>
          <w:szCs w:val="24"/>
        </w:rPr>
      </w:pPr>
      <w:r w:rsidRPr="00FA21A8">
        <w:rPr>
          <w:noProof/>
        </w:rPr>
        <w:drawing>
          <wp:inline distT="0" distB="0" distL="0" distR="0" wp14:anchorId="4499D6C3" wp14:editId="13FB8F77">
            <wp:extent cx="5941695" cy="2334639"/>
            <wp:effectExtent l="0" t="0" r="190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6050" cy="2336350"/>
                    </a:xfrm>
                    <a:prstGeom prst="rect">
                      <a:avLst/>
                    </a:prstGeom>
                    <a:noFill/>
                    <a:ln>
                      <a:noFill/>
                    </a:ln>
                  </pic:spPr>
                </pic:pic>
              </a:graphicData>
            </a:graphic>
          </wp:inline>
        </w:drawing>
      </w:r>
    </w:p>
    <w:p w14:paraId="13B644E2" w14:textId="7047B919" w:rsidR="00444192" w:rsidRPr="00DD6790" w:rsidRDefault="00DD6790" w:rsidP="00DD6790">
      <w:pPr>
        <w:jc w:val="center"/>
        <w:rPr>
          <w:rFonts w:ascii="Times New Roman" w:hAnsi="Times New Roman" w:cs="Times New Roman"/>
          <w:b/>
          <w:sz w:val="24"/>
          <w:szCs w:val="24"/>
        </w:rPr>
      </w:pPr>
      <w:r w:rsidRPr="00DD6790">
        <w:rPr>
          <w:rFonts w:ascii="Times New Roman" w:hAnsi="Times New Roman" w:cs="Times New Roman"/>
          <w:b/>
          <w:sz w:val="24"/>
          <w:szCs w:val="24"/>
        </w:rPr>
        <w:t xml:space="preserve">Table 5:  </w:t>
      </w:r>
      <w:r w:rsidR="00444192" w:rsidRPr="00DD6790">
        <w:rPr>
          <w:rFonts w:ascii="Times New Roman" w:hAnsi="Times New Roman" w:cs="Times New Roman"/>
          <w:b/>
          <w:sz w:val="24"/>
          <w:szCs w:val="24"/>
        </w:rPr>
        <w:t>Annual Rolling Portfolio Savings Forecast True-Up (therms)</w:t>
      </w:r>
    </w:p>
    <w:p w14:paraId="1E5EBCCB" w14:textId="0DB5F08D" w:rsidR="00444192" w:rsidRPr="000B0423" w:rsidRDefault="00FA21A8" w:rsidP="00FA21A8">
      <w:pPr>
        <w:jc w:val="center"/>
        <w:rPr>
          <w:rFonts w:ascii="Times New Roman" w:hAnsi="Times New Roman" w:cs="Times New Roman"/>
          <w:sz w:val="24"/>
          <w:szCs w:val="24"/>
        </w:rPr>
      </w:pPr>
      <w:r w:rsidRPr="00FA21A8">
        <w:rPr>
          <w:noProof/>
        </w:rPr>
        <w:drawing>
          <wp:inline distT="0" distB="0" distL="0" distR="0" wp14:anchorId="52091C76" wp14:editId="1E73C888">
            <wp:extent cx="5942330" cy="2480553"/>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6199" cy="2482168"/>
                    </a:xfrm>
                    <a:prstGeom prst="rect">
                      <a:avLst/>
                    </a:prstGeom>
                    <a:noFill/>
                    <a:ln>
                      <a:noFill/>
                    </a:ln>
                  </pic:spPr>
                </pic:pic>
              </a:graphicData>
            </a:graphic>
          </wp:inline>
        </w:drawing>
      </w:r>
    </w:p>
    <w:p w14:paraId="44D9320D" w14:textId="7217B02D" w:rsidR="000415C0" w:rsidRPr="00AC0FC4" w:rsidRDefault="00A5465B" w:rsidP="00AC0FC4">
      <w:pPr>
        <w:pStyle w:val="ListParagraph"/>
        <w:numPr>
          <w:ilvl w:val="0"/>
          <w:numId w:val="4"/>
        </w:numPr>
        <w:rPr>
          <w:rFonts w:ascii="Times New Roman" w:hAnsi="Times New Roman" w:cs="Times New Roman"/>
          <w:b/>
          <w:szCs w:val="24"/>
        </w:rPr>
      </w:pPr>
      <w:r w:rsidRPr="00AC0FC4">
        <w:rPr>
          <w:rFonts w:ascii="Times New Roman" w:hAnsi="Times New Roman" w:cs="Times New Roman"/>
          <w:b/>
          <w:szCs w:val="24"/>
        </w:rPr>
        <w:t>Discussion of Proposed Program and Portfolio Changes</w:t>
      </w:r>
    </w:p>
    <w:p w14:paraId="5B61F5BC" w14:textId="77777777" w:rsidR="000415C0" w:rsidRPr="00A60B21" w:rsidRDefault="000415C0" w:rsidP="006B09F8">
      <w:pPr>
        <w:rPr>
          <w:rFonts w:ascii="Times New Roman" w:hAnsi="Times New Roman" w:cs="Times New Roman"/>
          <w:sz w:val="24"/>
          <w:szCs w:val="24"/>
        </w:rPr>
      </w:pPr>
      <w:r w:rsidRPr="00A60B21">
        <w:rPr>
          <w:rFonts w:ascii="Times New Roman" w:hAnsi="Times New Roman" w:cs="Times New Roman"/>
          <w:sz w:val="24"/>
          <w:szCs w:val="24"/>
        </w:rPr>
        <w:t xml:space="preserve">Except as discussed below, the BayREN portfolio of programs will remain primarily the same </w:t>
      </w:r>
      <w:r w:rsidR="0059651A" w:rsidRPr="00A60B21">
        <w:rPr>
          <w:rFonts w:ascii="Times New Roman" w:hAnsi="Times New Roman" w:cs="Times New Roman"/>
          <w:sz w:val="24"/>
          <w:szCs w:val="24"/>
        </w:rPr>
        <w:t xml:space="preserve">as 2018 offerings </w:t>
      </w:r>
      <w:r w:rsidRPr="00A60B21">
        <w:rPr>
          <w:rFonts w:ascii="Times New Roman" w:hAnsi="Times New Roman" w:cs="Times New Roman"/>
          <w:sz w:val="24"/>
          <w:szCs w:val="24"/>
        </w:rPr>
        <w:t xml:space="preserve">with an increase in current activities consistent with the slight increase in program budgets.  Two programs, Single Family and Commercial, will be revised to more </w:t>
      </w:r>
      <w:r w:rsidR="0059651A" w:rsidRPr="00A60B21">
        <w:rPr>
          <w:rFonts w:ascii="Times New Roman" w:hAnsi="Times New Roman" w:cs="Times New Roman"/>
          <w:sz w:val="24"/>
          <w:szCs w:val="24"/>
        </w:rPr>
        <w:t xml:space="preserve">closely align with the </w:t>
      </w:r>
      <w:r w:rsidRPr="00A60B21">
        <w:rPr>
          <w:rFonts w:ascii="Times New Roman" w:hAnsi="Times New Roman" w:cs="Times New Roman"/>
          <w:sz w:val="24"/>
          <w:szCs w:val="24"/>
        </w:rPr>
        <w:t>criteria established in D.12-11-005.</w:t>
      </w:r>
    </w:p>
    <w:p w14:paraId="581D2568" w14:textId="77777777" w:rsidR="000415C0" w:rsidRPr="00A60B21" w:rsidRDefault="000415C0" w:rsidP="006B09F8">
      <w:pPr>
        <w:rPr>
          <w:rFonts w:ascii="Times New Roman" w:hAnsi="Times New Roman" w:cs="Times New Roman"/>
          <w:sz w:val="24"/>
          <w:szCs w:val="24"/>
          <w:u w:val="single"/>
        </w:rPr>
      </w:pPr>
      <w:r w:rsidRPr="00A60B21">
        <w:rPr>
          <w:rFonts w:ascii="Times New Roman" w:hAnsi="Times New Roman" w:cs="Times New Roman"/>
          <w:sz w:val="24"/>
          <w:szCs w:val="24"/>
          <w:u w:val="single"/>
        </w:rPr>
        <w:t>Single Family</w:t>
      </w:r>
    </w:p>
    <w:p w14:paraId="7130E723" w14:textId="5073B274" w:rsidR="00A96718" w:rsidRPr="00A60B21" w:rsidRDefault="00A96718" w:rsidP="00A96718">
      <w:pPr>
        <w:rPr>
          <w:rFonts w:ascii="Times New Roman" w:hAnsi="Times New Roman" w:cs="Times New Roman"/>
          <w:sz w:val="24"/>
          <w:szCs w:val="24"/>
        </w:rPr>
      </w:pPr>
      <w:r w:rsidRPr="00A60B21">
        <w:rPr>
          <w:rFonts w:ascii="Times New Roman" w:hAnsi="Times New Roman" w:cs="Times New Roman"/>
          <w:sz w:val="24"/>
          <w:szCs w:val="24"/>
        </w:rPr>
        <w:t xml:space="preserve">BayREN </w:t>
      </w:r>
      <w:r w:rsidR="007C210F" w:rsidRPr="00A60B21">
        <w:rPr>
          <w:rFonts w:ascii="Times New Roman" w:hAnsi="Times New Roman" w:cs="Times New Roman"/>
          <w:sz w:val="24"/>
          <w:szCs w:val="24"/>
        </w:rPr>
        <w:t xml:space="preserve">will </w:t>
      </w:r>
      <w:r w:rsidRPr="00A60B21">
        <w:rPr>
          <w:rFonts w:ascii="Times New Roman" w:hAnsi="Times New Roman" w:cs="Times New Roman"/>
          <w:sz w:val="24"/>
          <w:szCs w:val="24"/>
        </w:rPr>
        <w:t>redesign the Single Family program by offering holistic solutions to both homeowners and renters to save energy,</w:t>
      </w:r>
      <w:r w:rsidR="007C210F" w:rsidRPr="00A60B21">
        <w:rPr>
          <w:rFonts w:ascii="Times New Roman" w:hAnsi="Times New Roman" w:cs="Times New Roman"/>
          <w:sz w:val="24"/>
          <w:szCs w:val="24"/>
        </w:rPr>
        <w:t xml:space="preserve"> while also </w:t>
      </w:r>
      <w:r w:rsidRPr="00A60B21">
        <w:rPr>
          <w:rFonts w:ascii="Times New Roman" w:hAnsi="Times New Roman" w:cs="Times New Roman"/>
          <w:sz w:val="24"/>
          <w:szCs w:val="24"/>
        </w:rPr>
        <w:t>improv</w:t>
      </w:r>
      <w:r w:rsidR="007C210F" w:rsidRPr="00A60B21">
        <w:rPr>
          <w:rFonts w:ascii="Times New Roman" w:hAnsi="Times New Roman" w:cs="Times New Roman"/>
          <w:sz w:val="24"/>
          <w:szCs w:val="24"/>
        </w:rPr>
        <w:t>ing</w:t>
      </w:r>
      <w:r w:rsidRPr="00A60B21">
        <w:rPr>
          <w:rFonts w:ascii="Times New Roman" w:hAnsi="Times New Roman" w:cs="Times New Roman"/>
          <w:sz w:val="24"/>
          <w:szCs w:val="24"/>
        </w:rPr>
        <w:t xml:space="preserve"> comfort and occupant health. The </w:t>
      </w:r>
      <w:r w:rsidRPr="00A60B21">
        <w:rPr>
          <w:rFonts w:ascii="Times New Roman" w:hAnsi="Times New Roman" w:cs="Times New Roman"/>
          <w:sz w:val="24"/>
          <w:szCs w:val="24"/>
        </w:rPr>
        <w:lastRenderedPageBreak/>
        <w:t>new program will focus on lower to middle income</w:t>
      </w:r>
      <w:r w:rsidRPr="00A60B21">
        <w:rPr>
          <w:rStyle w:val="FootnoteReference"/>
          <w:rFonts w:ascii="Times New Roman" w:hAnsi="Times New Roman" w:cs="Times New Roman"/>
          <w:sz w:val="24"/>
          <w:szCs w:val="24"/>
        </w:rPr>
        <w:footnoteReference w:id="8"/>
      </w:r>
      <w:r w:rsidRPr="00A60B21">
        <w:rPr>
          <w:rFonts w:ascii="Times New Roman" w:hAnsi="Times New Roman" w:cs="Times New Roman"/>
          <w:sz w:val="24"/>
          <w:szCs w:val="24"/>
        </w:rPr>
        <w:t xml:space="preserve"> hom</w:t>
      </w:r>
      <w:r w:rsidR="00AC0FC4">
        <w:rPr>
          <w:rFonts w:ascii="Times New Roman" w:hAnsi="Times New Roman" w:cs="Times New Roman"/>
          <w:sz w:val="24"/>
          <w:szCs w:val="24"/>
        </w:rPr>
        <w:t>eowners and renters in the Bay A</w:t>
      </w:r>
      <w:r w:rsidRPr="00A60B21">
        <w:rPr>
          <w:rFonts w:ascii="Times New Roman" w:hAnsi="Times New Roman" w:cs="Times New Roman"/>
          <w:sz w:val="24"/>
          <w:szCs w:val="24"/>
        </w:rPr>
        <w:t>rea, a population that is consistently under-represented in ratepayer energy efficiency programs in our territory a</w:t>
      </w:r>
      <w:r w:rsidR="00EB6136" w:rsidRPr="00A60B21">
        <w:rPr>
          <w:rFonts w:ascii="Times New Roman" w:hAnsi="Times New Roman" w:cs="Times New Roman"/>
          <w:sz w:val="24"/>
          <w:szCs w:val="24"/>
        </w:rPr>
        <w:t xml:space="preserve">s well as </w:t>
      </w:r>
      <w:r w:rsidRPr="00A60B21">
        <w:rPr>
          <w:rFonts w:ascii="Times New Roman" w:hAnsi="Times New Roman" w:cs="Times New Roman"/>
          <w:sz w:val="24"/>
          <w:szCs w:val="24"/>
        </w:rPr>
        <w:t xml:space="preserve">across the </w:t>
      </w:r>
      <w:r w:rsidR="00AC0FC4">
        <w:rPr>
          <w:rFonts w:ascii="Times New Roman" w:hAnsi="Times New Roman" w:cs="Times New Roman"/>
          <w:sz w:val="24"/>
          <w:szCs w:val="24"/>
        </w:rPr>
        <w:t>s</w:t>
      </w:r>
      <w:r w:rsidRPr="00A60B21">
        <w:rPr>
          <w:rFonts w:ascii="Times New Roman" w:hAnsi="Times New Roman" w:cs="Times New Roman"/>
          <w:sz w:val="24"/>
          <w:szCs w:val="24"/>
        </w:rPr>
        <w:t xml:space="preserve">tate. </w:t>
      </w:r>
      <w:r w:rsidR="007C210F" w:rsidRPr="00A60B21">
        <w:rPr>
          <w:rFonts w:ascii="Times New Roman" w:hAnsi="Times New Roman" w:cs="Times New Roman"/>
          <w:sz w:val="24"/>
          <w:szCs w:val="24"/>
        </w:rPr>
        <w:t xml:space="preserve">We will phase out implementation of </w:t>
      </w:r>
      <w:r w:rsidRPr="00A60B21">
        <w:rPr>
          <w:rFonts w:ascii="Times New Roman" w:hAnsi="Times New Roman" w:cs="Times New Roman"/>
          <w:sz w:val="24"/>
          <w:szCs w:val="24"/>
        </w:rPr>
        <w:t xml:space="preserve">Home Upgrade starting </w:t>
      </w:r>
      <w:r w:rsidR="007C210F" w:rsidRPr="00A60B21">
        <w:rPr>
          <w:rFonts w:ascii="Times New Roman" w:hAnsi="Times New Roman" w:cs="Times New Roman"/>
          <w:sz w:val="24"/>
          <w:szCs w:val="24"/>
        </w:rPr>
        <w:t xml:space="preserve">in </w:t>
      </w:r>
      <w:r w:rsidR="008A0DB6" w:rsidRPr="00A60B21">
        <w:rPr>
          <w:rFonts w:ascii="Times New Roman" w:hAnsi="Times New Roman" w:cs="Times New Roman"/>
          <w:sz w:val="24"/>
          <w:szCs w:val="24"/>
        </w:rPr>
        <w:t xml:space="preserve">Q1 </w:t>
      </w:r>
      <w:r w:rsidRPr="00A60B21">
        <w:rPr>
          <w:rFonts w:ascii="Times New Roman" w:hAnsi="Times New Roman" w:cs="Times New Roman"/>
          <w:sz w:val="24"/>
          <w:szCs w:val="24"/>
        </w:rPr>
        <w:t xml:space="preserve">2019. </w:t>
      </w:r>
      <w:r w:rsidR="007C210F" w:rsidRPr="00A60B21">
        <w:rPr>
          <w:rFonts w:ascii="Times New Roman" w:hAnsi="Times New Roman" w:cs="Times New Roman"/>
          <w:sz w:val="24"/>
          <w:szCs w:val="24"/>
        </w:rPr>
        <w:t xml:space="preserve">While Home Upgrade has allowed for deeper savings, </w:t>
      </w:r>
      <w:r w:rsidRPr="00A60B21">
        <w:rPr>
          <w:rFonts w:ascii="Times New Roman" w:hAnsi="Times New Roman" w:cs="Times New Roman"/>
          <w:sz w:val="24"/>
          <w:szCs w:val="24"/>
        </w:rPr>
        <w:t>the average project cost</w:t>
      </w:r>
      <w:r w:rsidR="007C210F" w:rsidRPr="00A60B21">
        <w:rPr>
          <w:rFonts w:ascii="Times New Roman" w:hAnsi="Times New Roman" w:cs="Times New Roman"/>
          <w:sz w:val="24"/>
          <w:szCs w:val="24"/>
        </w:rPr>
        <w:t xml:space="preserve"> of approximately $15,000 is cost </w:t>
      </w:r>
      <w:r w:rsidRPr="00A60B21">
        <w:rPr>
          <w:rFonts w:ascii="Times New Roman" w:hAnsi="Times New Roman" w:cs="Times New Roman"/>
          <w:sz w:val="24"/>
          <w:szCs w:val="24"/>
        </w:rPr>
        <w:t xml:space="preserve">prohibitive for many </w:t>
      </w:r>
      <w:r w:rsidR="008A0DB6" w:rsidRPr="00A60B21">
        <w:rPr>
          <w:rFonts w:ascii="Times New Roman" w:hAnsi="Times New Roman" w:cs="Times New Roman"/>
          <w:sz w:val="24"/>
          <w:szCs w:val="24"/>
        </w:rPr>
        <w:t>in</w:t>
      </w:r>
      <w:r w:rsidRPr="00A60B21">
        <w:rPr>
          <w:rFonts w:ascii="Times New Roman" w:hAnsi="Times New Roman" w:cs="Times New Roman"/>
          <w:sz w:val="24"/>
          <w:szCs w:val="24"/>
        </w:rPr>
        <w:t xml:space="preserve"> our targeted income group. </w:t>
      </w:r>
      <w:r w:rsidR="007C210F" w:rsidRPr="00A60B21">
        <w:rPr>
          <w:rFonts w:ascii="Times New Roman" w:hAnsi="Times New Roman" w:cs="Times New Roman"/>
          <w:sz w:val="24"/>
          <w:szCs w:val="24"/>
        </w:rPr>
        <w:t xml:space="preserve">Home Upgrade also does not address the </w:t>
      </w:r>
      <w:r w:rsidRPr="00A60B21">
        <w:rPr>
          <w:rFonts w:ascii="Times New Roman" w:hAnsi="Times New Roman" w:cs="Times New Roman"/>
          <w:sz w:val="24"/>
          <w:szCs w:val="24"/>
        </w:rPr>
        <w:t xml:space="preserve">32% of the </w:t>
      </w:r>
      <w:r w:rsidR="007C210F" w:rsidRPr="00A60B21">
        <w:rPr>
          <w:rFonts w:ascii="Times New Roman" w:hAnsi="Times New Roman" w:cs="Times New Roman"/>
          <w:sz w:val="24"/>
          <w:szCs w:val="24"/>
        </w:rPr>
        <w:t>B</w:t>
      </w:r>
      <w:r w:rsidRPr="00A60B21">
        <w:rPr>
          <w:rFonts w:ascii="Times New Roman" w:hAnsi="Times New Roman" w:cs="Times New Roman"/>
          <w:sz w:val="24"/>
          <w:szCs w:val="24"/>
        </w:rPr>
        <w:t xml:space="preserve">ay </w:t>
      </w:r>
      <w:r w:rsidR="007C210F" w:rsidRPr="00A60B21">
        <w:rPr>
          <w:rFonts w:ascii="Times New Roman" w:hAnsi="Times New Roman" w:cs="Times New Roman"/>
          <w:sz w:val="24"/>
          <w:szCs w:val="24"/>
        </w:rPr>
        <w:t>A</w:t>
      </w:r>
      <w:r w:rsidRPr="00A60B21">
        <w:rPr>
          <w:rFonts w:ascii="Times New Roman" w:hAnsi="Times New Roman" w:cs="Times New Roman"/>
          <w:sz w:val="24"/>
          <w:szCs w:val="24"/>
        </w:rPr>
        <w:t>rea renter population</w:t>
      </w:r>
      <w:r w:rsidR="008A0DB6" w:rsidRPr="00A60B21">
        <w:rPr>
          <w:rFonts w:ascii="Times New Roman" w:hAnsi="Times New Roman" w:cs="Times New Roman"/>
          <w:sz w:val="24"/>
          <w:szCs w:val="24"/>
        </w:rPr>
        <w:t xml:space="preserve"> within the middle income group</w:t>
      </w:r>
      <w:r w:rsidRPr="00A60B21">
        <w:rPr>
          <w:rFonts w:ascii="Times New Roman" w:hAnsi="Times New Roman" w:cs="Times New Roman"/>
          <w:sz w:val="24"/>
          <w:szCs w:val="24"/>
        </w:rPr>
        <w:t xml:space="preserve">. </w:t>
      </w:r>
      <w:r w:rsidR="007C210F" w:rsidRPr="00A60B21">
        <w:rPr>
          <w:rFonts w:ascii="Times New Roman" w:hAnsi="Times New Roman" w:cs="Times New Roman"/>
          <w:sz w:val="24"/>
          <w:szCs w:val="24"/>
        </w:rPr>
        <w:t xml:space="preserve">The </w:t>
      </w:r>
      <w:r w:rsidRPr="00A60B21">
        <w:rPr>
          <w:rFonts w:ascii="Times New Roman" w:hAnsi="Times New Roman" w:cs="Times New Roman"/>
          <w:sz w:val="24"/>
          <w:szCs w:val="24"/>
        </w:rPr>
        <w:t>program design will rely on the findings of the BayREN Single Family Moderate Income Market Characterization Study (scheduled to be complete by September 2018</w:t>
      </w:r>
      <w:r w:rsidR="007C210F" w:rsidRPr="00A60B21">
        <w:rPr>
          <w:rFonts w:ascii="Times New Roman" w:hAnsi="Times New Roman" w:cs="Times New Roman"/>
          <w:sz w:val="24"/>
          <w:szCs w:val="24"/>
        </w:rPr>
        <w:t>), so that the barriers of entry and the identified priorities of this market will be adequately addressed in the revised program</w:t>
      </w:r>
      <w:r w:rsidRPr="00A60B21">
        <w:rPr>
          <w:rFonts w:ascii="Times New Roman" w:hAnsi="Times New Roman" w:cs="Times New Roman"/>
          <w:sz w:val="24"/>
          <w:szCs w:val="24"/>
        </w:rPr>
        <w:t>.</w:t>
      </w:r>
    </w:p>
    <w:p w14:paraId="7C201A2E" w14:textId="77777777" w:rsidR="00A96718" w:rsidRPr="00A60B21" w:rsidRDefault="00961EF9" w:rsidP="00A96718">
      <w:pPr>
        <w:rPr>
          <w:rFonts w:ascii="Times New Roman" w:hAnsi="Times New Roman" w:cs="Times New Roman"/>
          <w:sz w:val="24"/>
          <w:szCs w:val="24"/>
        </w:rPr>
      </w:pPr>
      <w:r w:rsidRPr="00A60B21">
        <w:rPr>
          <w:rFonts w:ascii="Times New Roman" w:hAnsi="Times New Roman" w:cs="Times New Roman"/>
          <w:sz w:val="24"/>
          <w:szCs w:val="24"/>
        </w:rPr>
        <w:t xml:space="preserve">The key approach to the offering </w:t>
      </w:r>
      <w:r w:rsidR="00A96718" w:rsidRPr="00A60B21">
        <w:rPr>
          <w:rFonts w:ascii="Times New Roman" w:hAnsi="Times New Roman" w:cs="Times New Roman"/>
          <w:sz w:val="24"/>
          <w:szCs w:val="24"/>
        </w:rPr>
        <w:t>is to fill the gap</w:t>
      </w:r>
      <w:r w:rsidRPr="00A60B21">
        <w:rPr>
          <w:rFonts w:ascii="Times New Roman" w:hAnsi="Times New Roman" w:cs="Times New Roman"/>
          <w:sz w:val="24"/>
          <w:szCs w:val="24"/>
        </w:rPr>
        <w:t xml:space="preserve"> and </w:t>
      </w:r>
      <w:r w:rsidR="00A96718" w:rsidRPr="00A60B21">
        <w:rPr>
          <w:rFonts w:ascii="Times New Roman" w:hAnsi="Times New Roman" w:cs="Times New Roman"/>
          <w:sz w:val="24"/>
          <w:szCs w:val="24"/>
        </w:rPr>
        <w:t>to meet the lower to middle-income customer where they are</w:t>
      </w:r>
      <w:r w:rsidR="00C2538E" w:rsidRPr="00A60B21">
        <w:rPr>
          <w:rFonts w:ascii="Times New Roman" w:hAnsi="Times New Roman" w:cs="Times New Roman"/>
          <w:sz w:val="24"/>
          <w:szCs w:val="24"/>
        </w:rPr>
        <w:t xml:space="preserve">.  This will be done by </w:t>
      </w:r>
      <w:r w:rsidR="00A96718" w:rsidRPr="00A60B21">
        <w:rPr>
          <w:rFonts w:ascii="Times New Roman" w:hAnsi="Times New Roman" w:cs="Times New Roman"/>
          <w:sz w:val="24"/>
          <w:szCs w:val="24"/>
        </w:rPr>
        <w:t>offer</w:t>
      </w:r>
      <w:r w:rsidR="00C2538E" w:rsidRPr="00A60B21">
        <w:rPr>
          <w:rFonts w:ascii="Times New Roman" w:hAnsi="Times New Roman" w:cs="Times New Roman"/>
          <w:sz w:val="24"/>
          <w:szCs w:val="24"/>
        </w:rPr>
        <w:t>ing</w:t>
      </w:r>
      <w:r w:rsidR="00A96718" w:rsidRPr="00A60B21">
        <w:rPr>
          <w:rFonts w:ascii="Times New Roman" w:hAnsi="Times New Roman" w:cs="Times New Roman"/>
          <w:sz w:val="24"/>
          <w:szCs w:val="24"/>
        </w:rPr>
        <w:t xml:space="preserve"> incremental and affordable energy efficiency measures that are better aligned with their needs than </w:t>
      </w:r>
      <w:r w:rsidR="008A0DB6" w:rsidRPr="00A60B21">
        <w:rPr>
          <w:rFonts w:ascii="Times New Roman" w:hAnsi="Times New Roman" w:cs="Times New Roman"/>
          <w:sz w:val="24"/>
          <w:szCs w:val="24"/>
        </w:rPr>
        <w:t xml:space="preserve">are current energy efficiency programs. </w:t>
      </w:r>
      <w:r w:rsidR="00A96718" w:rsidRPr="00A60B21">
        <w:rPr>
          <w:rFonts w:ascii="Times New Roman" w:hAnsi="Times New Roman" w:cs="Times New Roman"/>
          <w:sz w:val="24"/>
          <w:szCs w:val="24"/>
        </w:rPr>
        <w:t xml:space="preserve">BayREN </w:t>
      </w:r>
      <w:r w:rsidR="00C2538E" w:rsidRPr="00A60B21">
        <w:rPr>
          <w:rFonts w:ascii="Times New Roman" w:hAnsi="Times New Roman" w:cs="Times New Roman"/>
          <w:sz w:val="24"/>
          <w:szCs w:val="24"/>
        </w:rPr>
        <w:t xml:space="preserve">will </w:t>
      </w:r>
      <w:r w:rsidR="00A96718" w:rsidRPr="00A60B21">
        <w:rPr>
          <w:rFonts w:ascii="Times New Roman" w:hAnsi="Times New Roman" w:cs="Times New Roman"/>
          <w:sz w:val="24"/>
          <w:szCs w:val="24"/>
        </w:rPr>
        <w:t xml:space="preserve">offer a wide range of measures to its customers (both homeowners and renters) to achieve deep savings over the </w:t>
      </w:r>
      <w:r w:rsidR="00C2538E" w:rsidRPr="00A60B21">
        <w:rPr>
          <w:rFonts w:ascii="Times New Roman" w:hAnsi="Times New Roman" w:cs="Times New Roman"/>
          <w:sz w:val="24"/>
          <w:szCs w:val="24"/>
        </w:rPr>
        <w:t xml:space="preserve">multiyear </w:t>
      </w:r>
      <w:r w:rsidR="00A96718" w:rsidRPr="00A60B21">
        <w:rPr>
          <w:rFonts w:ascii="Times New Roman" w:hAnsi="Times New Roman" w:cs="Times New Roman"/>
          <w:sz w:val="24"/>
          <w:szCs w:val="24"/>
        </w:rPr>
        <w:t>life of the program</w:t>
      </w:r>
      <w:r w:rsidR="00C2538E" w:rsidRPr="00A60B21">
        <w:rPr>
          <w:rFonts w:ascii="Times New Roman" w:hAnsi="Times New Roman" w:cs="Times New Roman"/>
          <w:sz w:val="24"/>
          <w:szCs w:val="24"/>
        </w:rPr>
        <w:t xml:space="preserve">.  The measures </w:t>
      </w:r>
      <w:r w:rsidR="00D04423" w:rsidRPr="00A60B21">
        <w:rPr>
          <w:rFonts w:ascii="Times New Roman" w:hAnsi="Times New Roman" w:cs="Times New Roman"/>
          <w:sz w:val="24"/>
          <w:szCs w:val="24"/>
        </w:rPr>
        <w:t xml:space="preserve">will </w:t>
      </w:r>
      <w:r w:rsidR="00C2538E" w:rsidRPr="00A60B21">
        <w:rPr>
          <w:rFonts w:ascii="Times New Roman" w:hAnsi="Times New Roman" w:cs="Times New Roman"/>
          <w:sz w:val="24"/>
          <w:szCs w:val="24"/>
        </w:rPr>
        <w:t>range f</w:t>
      </w:r>
      <w:r w:rsidR="00A96718" w:rsidRPr="00A60B21">
        <w:rPr>
          <w:rFonts w:ascii="Times New Roman" w:hAnsi="Times New Roman" w:cs="Times New Roman"/>
          <w:sz w:val="24"/>
          <w:szCs w:val="24"/>
        </w:rPr>
        <w:t xml:space="preserve">rom low cost/no cost self-install measures to expensive professionally installed measures, </w:t>
      </w:r>
      <w:r w:rsidR="00C2538E" w:rsidRPr="00A60B21">
        <w:rPr>
          <w:rFonts w:ascii="Times New Roman" w:hAnsi="Times New Roman" w:cs="Times New Roman"/>
          <w:sz w:val="24"/>
          <w:szCs w:val="24"/>
        </w:rPr>
        <w:t xml:space="preserve">allowing </w:t>
      </w:r>
      <w:r w:rsidR="00A96718" w:rsidRPr="00A60B21">
        <w:rPr>
          <w:rFonts w:ascii="Times New Roman" w:hAnsi="Times New Roman" w:cs="Times New Roman"/>
          <w:sz w:val="24"/>
          <w:szCs w:val="24"/>
        </w:rPr>
        <w:t>customers more flexibility and control over the project. Meter-based performance incentives will also be offered to the customer to facilitate implementation of energy management type measures. These proposed changes will allow for more realized savings with smaller entry-point improvements while</w:t>
      </w:r>
      <w:r w:rsidR="00D04423" w:rsidRPr="00A60B21">
        <w:rPr>
          <w:rFonts w:ascii="Times New Roman" w:hAnsi="Times New Roman" w:cs="Times New Roman"/>
          <w:sz w:val="24"/>
          <w:szCs w:val="24"/>
        </w:rPr>
        <w:t xml:space="preserve"> also</w:t>
      </w:r>
      <w:r w:rsidR="00A96718" w:rsidRPr="00A60B21">
        <w:rPr>
          <w:rFonts w:ascii="Times New Roman" w:hAnsi="Times New Roman" w:cs="Times New Roman"/>
          <w:sz w:val="24"/>
          <w:szCs w:val="24"/>
        </w:rPr>
        <w:t xml:space="preserve"> continuing to promote deeper savings through a whole-house approach.</w:t>
      </w:r>
    </w:p>
    <w:p w14:paraId="76994946" w14:textId="77777777" w:rsidR="00A96718" w:rsidRPr="00A60B21" w:rsidRDefault="00C00F9D" w:rsidP="00A96718">
      <w:pPr>
        <w:rPr>
          <w:rFonts w:ascii="Times New Roman" w:hAnsi="Times New Roman" w:cs="Times New Roman"/>
          <w:sz w:val="24"/>
          <w:szCs w:val="24"/>
        </w:rPr>
      </w:pPr>
      <w:r w:rsidRPr="00A60B21">
        <w:rPr>
          <w:rFonts w:ascii="Times New Roman" w:hAnsi="Times New Roman" w:cs="Times New Roman"/>
          <w:sz w:val="24"/>
          <w:szCs w:val="24"/>
        </w:rPr>
        <w:t>C</w:t>
      </w:r>
      <w:r w:rsidR="00A96718" w:rsidRPr="00A60B21">
        <w:rPr>
          <w:rFonts w:ascii="Times New Roman" w:hAnsi="Times New Roman" w:cs="Times New Roman"/>
          <w:sz w:val="24"/>
          <w:szCs w:val="24"/>
        </w:rPr>
        <w:t xml:space="preserve">ontractors and Community Based Organizations (CBOs) </w:t>
      </w:r>
      <w:r w:rsidRPr="00A60B21">
        <w:rPr>
          <w:rFonts w:ascii="Times New Roman" w:hAnsi="Times New Roman" w:cs="Times New Roman"/>
          <w:sz w:val="24"/>
          <w:szCs w:val="24"/>
        </w:rPr>
        <w:t xml:space="preserve">partnerships will be developed and/or enhanced </w:t>
      </w:r>
      <w:r w:rsidR="00A96718" w:rsidRPr="00A60B21">
        <w:rPr>
          <w:rFonts w:ascii="Times New Roman" w:hAnsi="Times New Roman" w:cs="Times New Roman"/>
          <w:sz w:val="24"/>
          <w:szCs w:val="24"/>
        </w:rPr>
        <w:t>to scale customer participation. BayREN will offer trainings to contractors on workforce standards (in conjunction with and coordination with the statewide Workforce Education and Training</w:t>
      </w:r>
      <w:r w:rsidRPr="00A60B21">
        <w:rPr>
          <w:rFonts w:ascii="Times New Roman" w:hAnsi="Times New Roman" w:cs="Times New Roman"/>
          <w:sz w:val="24"/>
          <w:szCs w:val="24"/>
        </w:rPr>
        <w:t xml:space="preserve"> </w:t>
      </w:r>
      <w:r w:rsidR="00A96718" w:rsidRPr="00A60B21">
        <w:rPr>
          <w:rFonts w:ascii="Times New Roman" w:hAnsi="Times New Roman" w:cs="Times New Roman"/>
          <w:sz w:val="24"/>
          <w:szCs w:val="24"/>
        </w:rPr>
        <w:t xml:space="preserve">activities). BayREN will also help to expand specialty contractors’ services to full building performance and/or partner with other firms to achieve a better business model that supports deeper whole house upgrades. </w:t>
      </w:r>
      <w:r w:rsidRPr="00A60B21">
        <w:rPr>
          <w:rFonts w:ascii="Times New Roman" w:hAnsi="Times New Roman" w:cs="Times New Roman"/>
          <w:sz w:val="24"/>
          <w:szCs w:val="24"/>
        </w:rPr>
        <w:t xml:space="preserve">One key program objective is to get the homeowner on an incremental path to achieve Zero Net Energy by phasing in new measures as they are feasible and providing education along the way. </w:t>
      </w:r>
    </w:p>
    <w:p w14:paraId="719CF84A" w14:textId="77777777" w:rsidR="00A96718" w:rsidRPr="00A60B21" w:rsidRDefault="00A96718" w:rsidP="00A96718">
      <w:pPr>
        <w:rPr>
          <w:rFonts w:ascii="Times New Roman" w:hAnsi="Times New Roman" w:cs="Times New Roman"/>
          <w:sz w:val="24"/>
          <w:szCs w:val="24"/>
        </w:rPr>
      </w:pPr>
      <w:r w:rsidRPr="00A60B21">
        <w:rPr>
          <w:rFonts w:ascii="Times New Roman" w:hAnsi="Times New Roman" w:cs="Times New Roman"/>
          <w:sz w:val="24"/>
          <w:szCs w:val="24"/>
        </w:rPr>
        <w:t xml:space="preserve">An integral part of the implementation of </w:t>
      </w:r>
      <w:r w:rsidR="00C00F9D" w:rsidRPr="00A60B21">
        <w:rPr>
          <w:rFonts w:ascii="Times New Roman" w:hAnsi="Times New Roman" w:cs="Times New Roman"/>
          <w:sz w:val="24"/>
          <w:szCs w:val="24"/>
        </w:rPr>
        <w:t xml:space="preserve">the current and new single family program is </w:t>
      </w:r>
      <w:r w:rsidRPr="00A60B21">
        <w:rPr>
          <w:rFonts w:ascii="Times New Roman" w:hAnsi="Times New Roman" w:cs="Times New Roman"/>
          <w:sz w:val="24"/>
          <w:szCs w:val="24"/>
        </w:rPr>
        <w:t xml:space="preserve">the Home Energy Advisor service. Advisors assist both homeowners and renters and maintain contact with the customers after they have assisted with the initial contact in order to see the customer through a full energy-efficiency journey until the customer has reached ZNE. The Advisors also assist contractors with understanding program requirements and when needed, help mediate issues that may arise with the property owners. Advisors will refer customers to complementary programs offered by utilities and other organizations and help customers understand their financing options. </w:t>
      </w:r>
    </w:p>
    <w:p w14:paraId="2DEE2472" w14:textId="77777777" w:rsidR="00A96718" w:rsidRPr="00A60B21" w:rsidRDefault="00A96718" w:rsidP="00A96718">
      <w:pPr>
        <w:rPr>
          <w:rFonts w:ascii="Times New Roman" w:hAnsi="Times New Roman" w:cs="Times New Roman"/>
          <w:sz w:val="24"/>
          <w:szCs w:val="24"/>
        </w:rPr>
      </w:pPr>
      <w:r w:rsidRPr="00A60B21">
        <w:rPr>
          <w:rFonts w:ascii="Times New Roman" w:hAnsi="Times New Roman" w:cs="Times New Roman"/>
          <w:sz w:val="24"/>
          <w:szCs w:val="24"/>
        </w:rPr>
        <w:t xml:space="preserve">Like all of BayREN programs, outreach will continue to be done primarily by local governments, who are seen as trusted messengers. This also allows for the seamless layering of other climate </w:t>
      </w:r>
      <w:r w:rsidRPr="00A60B21">
        <w:rPr>
          <w:rFonts w:ascii="Times New Roman" w:hAnsi="Times New Roman" w:cs="Times New Roman"/>
          <w:sz w:val="24"/>
          <w:szCs w:val="24"/>
        </w:rPr>
        <w:lastRenderedPageBreak/>
        <w:t xml:space="preserve">programs and activities. Local governments will also reach out to local CBOs to better understand specific target audience and provide custom solutions to the community. </w:t>
      </w:r>
    </w:p>
    <w:p w14:paraId="23F9031B" w14:textId="77777777" w:rsidR="00566720" w:rsidRPr="00A60B21" w:rsidRDefault="00566720" w:rsidP="000415C0">
      <w:pPr>
        <w:rPr>
          <w:rFonts w:ascii="Times New Roman" w:hAnsi="Times New Roman" w:cs="Times New Roman"/>
          <w:sz w:val="24"/>
          <w:szCs w:val="24"/>
          <w:u w:val="single"/>
        </w:rPr>
      </w:pPr>
      <w:r w:rsidRPr="00A60B21">
        <w:rPr>
          <w:rFonts w:ascii="Times New Roman" w:hAnsi="Times New Roman" w:cs="Times New Roman"/>
          <w:sz w:val="24"/>
          <w:szCs w:val="24"/>
          <w:u w:val="single"/>
        </w:rPr>
        <w:t>Commercial</w:t>
      </w:r>
    </w:p>
    <w:p w14:paraId="22F8E68C" w14:textId="77777777" w:rsidR="001110B4" w:rsidRPr="00A60B21" w:rsidRDefault="001110B4" w:rsidP="001110B4">
      <w:pPr>
        <w:rPr>
          <w:rFonts w:ascii="Times New Roman" w:hAnsi="Times New Roman" w:cs="Times New Roman"/>
          <w:iCs/>
          <w:color w:val="auto"/>
          <w:sz w:val="24"/>
          <w:szCs w:val="24"/>
        </w:rPr>
      </w:pPr>
      <w:r w:rsidRPr="00A60B21">
        <w:rPr>
          <w:rFonts w:ascii="Times New Roman" w:hAnsi="Times New Roman" w:cs="Times New Roman"/>
          <w:iCs/>
          <w:sz w:val="24"/>
          <w:szCs w:val="24"/>
        </w:rPr>
        <w:t>The BayREN SMB Commercial program is designed to empower building owners to take a holistic and longer-term approach in incorporating energy efficiency within their buildings. Applicants in the nine county area will receive whole building technical analysis, attractive financing options, and ongoing project support from a network of qualified industry partners and trusted local government partnerships.</w:t>
      </w:r>
    </w:p>
    <w:p w14:paraId="41B14421" w14:textId="77777777" w:rsidR="001110B4" w:rsidRPr="00A60B21" w:rsidRDefault="001110B4" w:rsidP="001110B4">
      <w:pPr>
        <w:rPr>
          <w:rFonts w:ascii="Times New Roman" w:hAnsi="Times New Roman" w:cs="Times New Roman"/>
          <w:iCs/>
          <w:sz w:val="24"/>
          <w:szCs w:val="24"/>
        </w:rPr>
      </w:pPr>
      <w:r w:rsidRPr="00A60B21">
        <w:rPr>
          <w:rFonts w:ascii="Times New Roman" w:hAnsi="Times New Roman" w:cs="Times New Roman"/>
          <w:iCs/>
          <w:sz w:val="24"/>
          <w:szCs w:val="24"/>
        </w:rPr>
        <w:t>BayREN recognizes that whole-building retrofit projects can be complex and costly, so we intend to meet SMB owners where they are and break down market barriers when possible:</w:t>
      </w:r>
    </w:p>
    <w:p w14:paraId="488F7377" w14:textId="77777777" w:rsidR="001110B4" w:rsidRPr="00A60B21" w:rsidRDefault="001110B4" w:rsidP="001110B4">
      <w:pPr>
        <w:numPr>
          <w:ilvl w:val="0"/>
          <w:numId w:val="9"/>
        </w:numPr>
        <w:spacing w:after="0"/>
        <w:rPr>
          <w:rFonts w:ascii="Times New Roman" w:hAnsi="Times New Roman" w:cs="Times New Roman"/>
          <w:iCs/>
          <w:sz w:val="24"/>
          <w:szCs w:val="24"/>
        </w:rPr>
      </w:pPr>
      <w:r w:rsidRPr="00A60B21">
        <w:rPr>
          <w:rFonts w:ascii="Times New Roman" w:hAnsi="Times New Roman" w:cs="Times New Roman"/>
          <w:iCs/>
          <w:sz w:val="24"/>
          <w:szCs w:val="24"/>
        </w:rPr>
        <w:t xml:space="preserve">Our dual pathway approach will assure that each customer receives the level of support that suits their needs. Each project will be resourced with a Building Performance Advisor, who can offer a range of advisory services to busy customers, their contractors, and service providers. </w:t>
      </w:r>
    </w:p>
    <w:p w14:paraId="424D6F07" w14:textId="77777777" w:rsidR="001110B4" w:rsidRPr="00A60B21" w:rsidRDefault="001110B4" w:rsidP="001110B4">
      <w:pPr>
        <w:numPr>
          <w:ilvl w:val="0"/>
          <w:numId w:val="9"/>
        </w:numPr>
        <w:spacing w:after="0"/>
        <w:rPr>
          <w:rFonts w:ascii="Times New Roman" w:hAnsi="Times New Roman" w:cs="Times New Roman"/>
          <w:iCs/>
          <w:sz w:val="24"/>
          <w:szCs w:val="24"/>
        </w:rPr>
      </w:pPr>
      <w:r w:rsidRPr="00A60B21">
        <w:rPr>
          <w:rFonts w:ascii="Times New Roman" w:hAnsi="Times New Roman" w:cs="Times New Roman"/>
          <w:iCs/>
          <w:sz w:val="24"/>
          <w:szCs w:val="24"/>
        </w:rPr>
        <w:t xml:space="preserve">The program will first identify “low-hanging fruit,” by leveraging existing, complementary energy efficiency and financing program opportunities. Next, it will identify custom measures, with a focus on HVAC improvements, and provide “Pay-for-Performance” incentives based on actual, metered savings. </w:t>
      </w:r>
    </w:p>
    <w:p w14:paraId="2FA92E5E" w14:textId="77777777" w:rsidR="001110B4" w:rsidRPr="00A60B21" w:rsidRDefault="001110B4" w:rsidP="001110B4">
      <w:pPr>
        <w:numPr>
          <w:ilvl w:val="0"/>
          <w:numId w:val="9"/>
        </w:numPr>
        <w:spacing w:after="0"/>
        <w:rPr>
          <w:rFonts w:ascii="Times New Roman" w:hAnsi="Times New Roman" w:cs="Times New Roman"/>
          <w:iCs/>
          <w:sz w:val="24"/>
          <w:szCs w:val="24"/>
        </w:rPr>
      </w:pPr>
      <w:r w:rsidRPr="00A60B21">
        <w:rPr>
          <w:rFonts w:ascii="Times New Roman" w:hAnsi="Times New Roman" w:cs="Times New Roman"/>
          <w:iCs/>
          <w:sz w:val="24"/>
          <w:szCs w:val="24"/>
        </w:rPr>
        <w:t xml:space="preserve">Prospective partners will be vetted and selected by the program via a non-competitive Request for Qualifications. Preference will be given to partners who can absorb some or all of the project performance risk on the customer’s behalf. </w:t>
      </w:r>
    </w:p>
    <w:p w14:paraId="0864A94A" w14:textId="77777777" w:rsidR="00495EFB" w:rsidRPr="00A60B21" w:rsidRDefault="00495EFB" w:rsidP="00F94873">
      <w:pPr>
        <w:rPr>
          <w:rFonts w:ascii="Times New Roman" w:hAnsi="Times New Roman" w:cs="Times New Roman"/>
          <w:sz w:val="24"/>
          <w:szCs w:val="24"/>
        </w:rPr>
      </w:pPr>
      <w:r w:rsidRPr="00A60B21">
        <w:rPr>
          <w:rFonts w:ascii="Times New Roman" w:hAnsi="Times New Roman" w:cs="Times New Roman"/>
          <w:sz w:val="24"/>
          <w:szCs w:val="24"/>
        </w:rPr>
        <w:t xml:space="preserve">  </w:t>
      </w:r>
    </w:p>
    <w:p w14:paraId="18BF26E5" w14:textId="77777777" w:rsidR="00F26DB1" w:rsidRPr="00A60B21" w:rsidRDefault="00F26DB1" w:rsidP="00F94873">
      <w:pPr>
        <w:rPr>
          <w:rFonts w:ascii="Times New Roman" w:hAnsi="Times New Roman" w:cs="Times New Roman"/>
          <w:sz w:val="24"/>
          <w:szCs w:val="24"/>
        </w:rPr>
      </w:pPr>
      <w:r w:rsidRPr="00A60B21">
        <w:rPr>
          <w:rFonts w:ascii="Times New Roman" w:hAnsi="Times New Roman" w:cs="Times New Roman"/>
          <w:sz w:val="24"/>
          <w:szCs w:val="24"/>
        </w:rPr>
        <w:t>Financial incentives will be available, with 50% of the incentive paid up front based on modeled savings, and the remaining 50% tied to actual metered performance after one year.</w:t>
      </w:r>
      <w:r w:rsidR="00AE0478" w:rsidRPr="00A60B21">
        <w:rPr>
          <w:rFonts w:ascii="Times New Roman" w:hAnsi="Times New Roman" w:cs="Times New Roman"/>
          <w:sz w:val="24"/>
          <w:szCs w:val="24"/>
        </w:rPr>
        <w:t xml:space="preserve">  Other financing options that will be promoted will be Commercial PACE, and the current Microloan product offered in three of the BayREN counties will expanded throughout our territory.</w:t>
      </w:r>
    </w:p>
    <w:p w14:paraId="7843DCB4" w14:textId="77777777" w:rsidR="00F94873" w:rsidRPr="00A60B21" w:rsidRDefault="00F94873" w:rsidP="00F94873">
      <w:pPr>
        <w:rPr>
          <w:rFonts w:ascii="Times New Roman" w:hAnsi="Times New Roman" w:cs="Times New Roman"/>
          <w:sz w:val="24"/>
          <w:szCs w:val="24"/>
          <w:u w:val="single"/>
        </w:rPr>
      </w:pPr>
      <w:r w:rsidRPr="00A60B21">
        <w:rPr>
          <w:rFonts w:ascii="Times New Roman" w:hAnsi="Times New Roman" w:cs="Times New Roman"/>
          <w:sz w:val="24"/>
          <w:szCs w:val="24"/>
        </w:rPr>
        <w:t>A fundamental feature of the Subprogram is “program layering” via referrals to complimentary EE and financing programs (e.g. PG&amp;E’s offerings) to harvest deeper energy savings. Program layering serves not only to amplify the Subprogram’s ability to develop comprehensive projects with a small budget, but also helps other utility programs achieve the 5% small commercial penetration target in D.18-05-014.</w:t>
      </w:r>
    </w:p>
    <w:p w14:paraId="5E76EA76" w14:textId="603355A9" w:rsidR="00566720" w:rsidRPr="00AC0FC4" w:rsidRDefault="001110B4" w:rsidP="00AC0FC4">
      <w:pPr>
        <w:pStyle w:val="ListParagraph"/>
        <w:numPr>
          <w:ilvl w:val="0"/>
          <w:numId w:val="4"/>
        </w:numPr>
        <w:rPr>
          <w:rFonts w:ascii="Times New Roman" w:hAnsi="Times New Roman" w:cs="Times New Roman"/>
          <w:b/>
          <w:szCs w:val="24"/>
        </w:rPr>
      </w:pPr>
      <w:r w:rsidRPr="00AC0FC4">
        <w:rPr>
          <w:rFonts w:ascii="Times New Roman" w:hAnsi="Times New Roman" w:cs="Times New Roman"/>
          <w:b/>
          <w:szCs w:val="24"/>
        </w:rPr>
        <w:t xml:space="preserve">Strategies for increased </w:t>
      </w:r>
      <w:r w:rsidR="00566720" w:rsidRPr="00AC0FC4">
        <w:rPr>
          <w:rFonts w:ascii="Times New Roman" w:hAnsi="Times New Roman" w:cs="Times New Roman"/>
          <w:b/>
          <w:szCs w:val="24"/>
        </w:rPr>
        <w:t>cost-effective</w:t>
      </w:r>
      <w:r w:rsidRPr="00AC0FC4">
        <w:rPr>
          <w:rFonts w:ascii="Times New Roman" w:hAnsi="Times New Roman" w:cs="Times New Roman"/>
          <w:b/>
          <w:szCs w:val="24"/>
        </w:rPr>
        <w:t>ness</w:t>
      </w:r>
    </w:p>
    <w:p w14:paraId="130DA17D" w14:textId="77777777" w:rsidR="00566720" w:rsidRPr="00A60B21" w:rsidRDefault="00C813B4" w:rsidP="000415C0">
      <w:pPr>
        <w:rPr>
          <w:rFonts w:ascii="Times New Roman" w:hAnsi="Times New Roman" w:cs="Times New Roman"/>
          <w:sz w:val="24"/>
          <w:szCs w:val="24"/>
        </w:rPr>
      </w:pPr>
      <w:r w:rsidRPr="00A60B21">
        <w:rPr>
          <w:rFonts w:ascii="Times New Roman" w:hAnsi="Times New Roman" w:cs="Times New Roman"/>
          <w:sz w:val="24"/>
          <w:szCs w:val="24"/>
        </w:rPr>
        <w:t xml:space="preserve">Given BayREN’s directive to focus on filling gaps, piloting different or unique approaches that have the potential to scale and/or targeting hard-to-reach customers, we are not held to a particular cost-effectiveness threshold.  However, we do strive to be more cost-effective and will utilize new strategies in 2019 to help </w:t>
      </w:r>
      <w:r w:rsidR="00DC7CBD" w:rsidRPr="00A60B21">
        <w:rPr>
          <w:rFonts w:ascii="Times New Roman" w:hAnsi="Times New Roman" w:cs="Times New Roman"/>
          <w:sz w:val="24"/>
          <w:szCs w:val="24"/>
        </w:rPr>
        <w:t>our savings</w:t>
      </w:r>
      <w:r w:rsidRPr="00A60B21">
        <w:rPr>
          <w:rFonts w:ascii="Times New Roman" w:hAnsi="Times New Roman" w:cs="Times New Roman"/>
          <w:sz w:val="24"/>
          <w:szCs w:val="24"/>
        </w:rPr>
        <w:t xml:space="preserve">.  </w:t>
      </w:r>
      <w:r w:rsidR="001110B4" w:rsidRPr="00A60B21">
        <w:rPr>
          <w:rFonts w:ascii="Times New Roman" w:hAnsi="Times New Roman" w:cs="Times New Roman"/>
          <w:sz w:val="24"/>
          <w:szCs w:val="24"/>
        </w:rPr>
        <w:t>BayREN has three resource programs.  Strategies for increasing the cost effectiveness of these programs i</w:t>
      </w:r>
      <w:r w:rsidR="00566720" w:rsidRPr="00A60B21">
        <w:rPr>
          <w:rFonts w:ascii="Times New Roman" w:hAnsi="Times New Roman" w:cs="Times New Roman"/>
          <w:sz w:val="24"/>
          <w:szCs w:val="24"/>
        </w:rPr>
        <w:t>n 2019</w:t>
      </w:r>
      <w:r w:rsidR="001110B4" w:rsidRPr="00A60B21">
        <w:rPr>
          <w:rFonts w:ascii="Times New Roman" w:hAnsi="Times New Roman" w:cs="Times New Roman"/>
          <w:sz w:val="24"/>
          <w:szCs w:val="24"/>
        </w:rPr>
        <w:t xml:space="preserve"> are</w:t>
      </w:r>
      <w:r w:rsidR="00566720" w:rsidRPr="00A60B21">
        <w:rPr>
          <w:rFonts w:ascii="Times New Roman" w:hAnsi="Times New Roman" w:cs="Times New Roman"/>
          <w:sz w:val="24"/>
          <w:szCs w:val="24"/>
        </w:rPr>
        <w:t>:</w:t>
      </w:r>
    </w:p>
    <w:p w14:paraId="0CF8EC1D" w14:textId="77777777" w:rsidR="00242B9C" w:rsidRPr="00A60B21" w:rsidRDefault="007A06FC" w:rsidP="007A06FC">
      <w:pPr>
        <w:ind w:left="360" w:firstLine="360"/>
        <w:rPr>
          <w:rFonts w:ascii="Times New Roman" w:hAnsi="Times New Roman" w:cs="Times New Roman"/>
          <w:sz w:val="24"/>
          <w:szCs w:val="24"/>
        </w:rPr>
      </w:pPr>
      <w:r w:rsidRPr="00A60B21">
        <w:rPr>
          <w:rFonts w:ascii="Times New Roman" w:hAnsi="Times New Roman" w:cs="Times New Roman"/>
          <w:sz w:val="24"/>
          <w:szCs w:val="24"/>
        </w:rPr>
        <w:t xml:space="preserve">1. </w:t>
      </w:r>
      <w:r w:rsidR="00566720" w:rsidRPr="00A60B21">
        <w:rPr>
          <w:rFonts w:ascii="Times New Roman" w:hAnsi="Times New Roman" w:cs="Times New Roman"/>
          <w:sz w:val="24"/>
          <w:szCs w:val="24"/>
        </w:rPr>
        <w:t>Single Family</w:t>
      </w:r>
    </w:p>
    <w:p w14:paraId="4486D4C0" w14:textId="77777777" w:rsidR="00566720" w:rsidRPr="00A60B21" w:rsidRDefault="00242B9C" w:rsidP="00EC58DE">
      <w:pPr>
        <w:rPr>
          <w:rFonts w:ascii="Times New Roman" w:hAnsi="Times New Roman" w:cs="Times New Roman"/>
          <w:sz w:val="24"/>
          <w:szCs w:val="24"/>
        </w:rPr>
      </w:pPr>
      <w:r w:rsidRPr="00A60B21">
        <w:rPr>
          <w:rFonts w:ascii="Times New Roman" w:hAnsi="Times New Roman" w:cs="Times New Roman"/>
          <w:sz w:val="24"/>
          <w:szCs w:val="24"/>
        </w:rPr>
        <w:lastRenderedPageBreak/>
        <w:t xml:space="preserve">New innovative tools and approaches will be introduced to scale up participation while improving cost effectiveness.  </w:t>
      </w:r>
      <w:r w:rsidR="00104126" w:rsidRPr="00A60B21">
        <w:rPr>
          <w:rFonts w:ascii="Times New Roman" w:hAnsi="Times New Roman" w:cs="Times New Roman"/>
          <w:sz w:val="24"/>
          <w:szCs w:val="24"/>
        </w:rPr>
        <w:t>New measures and methods for savings calculations will used, as well as a meter based performance incentive.  C</w:t>
      </w:r>
      <w:r w:rsidR="00566720" w:rsidRPr="00A60B21">
        <w:rPr>
          <w:rFonts w:ascii="Times New Roman" w:hAnsi="Times New Roman" w:cs="Times New Roman"/>
          <w:sz w:val="24"/>
          <w:szCs w:val="24"/>
        </w:rPr>
        <w:t xml:space="preserve">ustomer participation </w:t>
      </w:r>
      <w:r w:rsidR="00104126" w:rsidRPr="00A60B21">
        <w:rPr>
          <w:rFonts w:ascii="Times New Roman" w:hAnsi="Times New Roman" w:cs="Times New Roman"/>
          <w:sz w:val="24"/>
          <w:szCs w:val="24"/>
        </w:rPr>
        <w:t xml:space="preserve">will be scaled </w:t>
      </w:r>
      <w:r w:rsidR="00566720" w:rsidRPr="00A60B21">
        <w:rPr>
          <w:rFonts w:ascii="Times New Roman" w:hAnsi="Times New Roman" w:cs="Times New Roman"/>
          <w:sz w:val="24"/>
          <w:szCs w:val="24"/>
        </w:rPr>
        <w:t>by leveraging existing customer relationships and partnerships with community-based organizations</w:t>
      </w:r>
      <w:r w:rsidR="00104126" w:rsidRPr="00A60B21">
        <w:rPr>
          <w:rFonts w:ascii="Times New Roman" w:hAnsi="Times New Roman" w:cs="Times New Roman"/>
          <w:sz w:val="24"/>
          <w:szCs w:val="24"/>
        </w:rPr>
        <w:t xml:space="preserve">, rather than starting from scratch.  These new approaches will result in greater realized savings for smaller entry-point improvements while continuing to promote a whole-house approach.  </w:t>
      </w:r>
      <w:r w:rsidR="00EC58DE" w:rsidRPr="00A60B21">
        <w:rPr>
          <w:rFonts w:ascii="Times New Roman" w:hAnsi="Times New Roman" w:cs="Times New Roman"/>
          <w:sz w:val="24"/>
          <w:szCs w:val="24"/>
        </w:rPr>
        <w:t xml:space="preserve">BayREN will continue to support a long-term customer </w:t>
      </w:r>
      <w:r w:rsidR="007A06FC" w:rsidRPr="00A60B21">
        <w:rPr>
          <w:rFonts w:ascii="Times New Roman" w:hAnsi="Times New Roman" w:cs="Times New Roman"/>
          <w:sz w:val="24"/>
          <w:szCs w:val="24"/>
        </w:rPr>
        <w:t>journey that</w:t>
      </w:r>
      <w:r w:rsidR="00EC58DE" w:rsidRPr="00A60B21">
        <w:rPr>
          <w:rFonts w:ascii="Times New Roman" w:hAnsi="Times New Roman" w:cs="Times New Roman"/>
          <w:sz w:val="24"/>
          <w:szCs w:val="24"/>
        </w:rPr>
        <w:t xml:space="preserve"> will </w:t>
      </w:r>
      <w:r w:rsidR="00566720" w:rsidRPr="00A60B21">
        <w:rPr>
          <w:rFonts w:ascii="Times New Roman" w:hAnsi="Times New Roman" w:cs="Times New Roman"/>
          <w:sz w:val="24"/>
          <w:szCs w:val="24"/>
        </w:rPr>
        <w:t>effectively reduce the cost of customer acquisition while driving deeper energy savings over time.</w:t>
      </w:r>
    </w:p>
    <w:p w14:paraId="039C96C8" w14:textId="77777777" w:rsidR="00566720" w:rsidRPr="00A60B21" w:rsidRDefault="007A06FC" w:rsidP="007A06FC">
      <w:pPr>
        <w:rPr>
          <w:rFonts w:ascii="Times New Roman" w:hAnsi="Times New Roman" w:cs="Times New Roman"/>
          <w:sz w:val="24"/>
          <w:szCs w:val="24"/>
        </w:rPr>
      </w:pPr>
      <w:r w:rsidRPr="00A60B21">
        <w:rPr>
          <w:rFonts w:ascii="Times New Roman" w:hAnsi="Times New Roman" w:cs="Times New Roman"/>
          <w:sz w:val="24"/>
          <w:szCs w:val="24"/>
        </w:rPr>
        <w:tab/>
        <w:t xml:space="preserve">2.  </w:t>
      </w:r>
      <w:r w:rsidR="00566720" w:rsidRPr="00A60B21">
        <w:rPr>
          <w:rFonts w:ascii="Times New Roman" w:hAnsi="Times New Roman" w:cs="Times New Roman"/>
          <w:sz w:val="24"/>
          <w:szCs w:val="24"/>
        </w:rPr>
        <w:t>Multifamily</w:t>
      </w:r>
    </w:p>
    <w:p w14:paraId="29511FA5" w14:textId="77777777" w:rsidR="00272D39" w:rsidRPr="00A60B21" w:rsidRDefault="007A06FC" w:rsidP="007A06FC">
      <w:pPr>
        <w:rPr>
          <w:rFonts w:ascii="Times New Roman" w:hAnsi="Times New Roman" w:cs="Times New Roman"/>
          <w:sz w:val="24"/>
          <w:szCs w:val="24"/>
        </w:rPr>
      </w:pPr>
      <w:r w:rsidRPr="00A60B21">
        <w:rPr>
          <w:rFonts w:ascii="Times New Roman" w:hAnsi="Times New Roman" w:cs="Times New Roman"/>
          <w:sz w:val="24"/>
          <w:szCs w:val="24"/>
        </w:rPr>
        <w:t xml:space="preserve">As detailed in the Business Plan, steps will be taken to </w:t>
      </w:r>
      <w:r w:rsidR="00C00F9D" w:rsidRPr="00A60B21">
        <w:rPr>
          <w:rFonts w:ascii="Times New Roman" w:hAnsi="Times New Roman" w:cs="Times New Roman"/>
          <w:sz w:val="24"/>
          <w:szCs w:val="24"/>
        </w:rPr>
        <w:t>continue streamlining the participation process, phase out rebates over time and replacing them with other market drivers. For immediate next steps, we are creating a pathway for a market of raters to be able to provide technical assistance at a lower cost than the program-provided technical assistance. This means also introducing our simplified property assessment process and modeling tools to a broader set of users in the industry. These changes should all reduce the total cost of going through an energy upgrade.</w:t>
      </w:r>
    </w:p>
    <w:p w14:paraId="2837BE21" w14:textId="77777777" w:rsidR="00566720" w:rsidRPr="00A60B21" w:rsidRDefault="007A06FC" w:rsidP="007A06FC">
      <w:pPr>
        <w:rPr>
          <w:rFonts w:ascii="Times New Roman" w:hAnsi="Times New Roman" w:cs="Times New Roman"/>
          <w:sz w:val="24"/>
          <w:szCs w:val="24"/>
        </w:rPr>
      </w:pPr>
      <w:r w:rsidRPr="00A60B21">
        <w:rPr>
          <w:rFonts w:ascii="Times New Roman" w:hAnsi="Times New Roman" w:cs="Times New Roman"/>
          <w:sz w:val="24"/>
          <w:szCs w:val="24"/>
        </w:rPr>
        <w:tab/>
        <w:t xml:space="preserve">3.  </w:t>
      </w:r>
      <w:r w:rsidR="00566720" w:rsidRPr="00A60B21">
        <w:rPr>
          <w:rFonts w:ascii="Times New Roman" w:hAnsi="Times New Roman" w:cs="Times New Roman"/>
          <w:sz w:val="24"/>
          <w:szCs w:val="24"/>
        </w:rPr>
        <w:t>Commercial</w:t>
      </w:r>
    </w:p>
    <w:p w14:paraId="7D85D2DF" w14:textId="77777777" w:rsidR="00DC7CBD" w:rsidRPr="00A60B21" w:rsidRDefault="00DC7CBD" w:rsidP="007A06FC">
      <w:pPr>
        <w:rPr>
          <w:rFonts w:ascii="Times New Roman" w:hAnsi="Times New Roman" w:cs="Times New Roman"/>
          <w:sz w:val="24"/>
          <w:szCs w:val="24"/>
        </w:rPr>
      </w:pPr>
      <w:r w:rsidRPr="00A60B21">
        <w:rPr>
          <w:rFonts w:ascii="Times New Roman" w:hAnsi="Times New Roman" w:cs="Times New Roman"/>
          <w:sz w:val="24"/>
          <w:szCs w:val="24"/>
        </w:rPr>
        <w:t xml:space="preserve">A significant portion of customer incentives will be tied to metered-verified savings.  This will help to ensure that incentives are actually going towards energy savings.  As designed, many of the traditional implementation tasks will be performed by program partners and/or contractors, thereby reducing implementation expenditures.  </w:t>
      </w:r>
      <w:r w:rsidR="00BB1058" w:rsidRPr="00A60B21">
        <w:rPr>
          <w:rFonts w:ascii="Times New Roman" w:hAnsi="Times New Roman" w:cs="Times New Roman"/>
          <w:sz w:val="24"/>
          <w:szCs w:val="24"/>
        </w:rPr>
        <w:t>Additionally, there will be dual enrollment pathways that will allow for program layering.</w:t>
      </w:r>
    </w:p>
    <w:p w14:paraId="11F7C1E1" w14:textId="1CD0511B" w:rsidR="00566720" w:rsidRPr="00AC0FC4" w:rsidRDefault="00666115" w:rsidP="00AC0FC4">
      <w:pPr>
        <w:pStyle w:val="ListParagraph"/>
        <w:numPr>
          <w:ilvl w:val="0"/>
          <w:numId w:val="4"/>
        </w:numPr>
        <w:rPr>
          <w:rFonts w:ascii="Times New Roman" w:hAnsi="Times New Roman" w:cs="Times New Roman"/>
          <w:b/>
          <w:szCs w:val="24"/>
        </w:rPr>
      </w:pPr>
      <w:r w:rsidRPr="00AC0FC4">
        <w:rPr>
          <w:rFonts w:ascii="Times New Roman" w:hAnsi="Times New Roman" w:cs="Times New Roman"/>
          <w:b/>
          <w:szCs w:val="24"/>
        </w:rPr>
        <w:t>Metrics</w:t>
      </w:r>
    </w:p>
    <w:p w14:paraId="383C056F" w14:textId="32EC51B2" w:rsidR="00666115" w:rsidRPr="00666115" w:rsidRDefault="00C02543" w:rsidP="00BB1058">
      <w:pPr>
        <w:rPr>
          <w:rFonts w:ascii="Times New Roman" w:hAnsi="Times New Roman" w:cs="Times New Roman"/>
          <w:sz w:val="24"/>
          <w:szCs w:val="24"/>
        </w:rPr>
      </w:pPr>
      <w:r>
        <w:rPr>
          <w:rFonts w:ascii="Times New Roman" w:hAnsi="Times New Roman" w:cs="Times New Roman"/>
          <w:sz w:val="24"/>
          <w:szCs w:val="24"/>
        </w:rPr>
        <w:t xml:space="preserve">Per D.18-05-041, Ordering Paragraphs 9 and 11, the metrics, targets and indicators for BayREN’s program portfolio, and for the specific programs, were filed and served </w:t>
      </w:r>
      <w:r w:rsidR="00E3537F">
        <w:rPr>
          <w:rFonts w:ascii="Times New Roman" w:hAnsi="Times New Roman" w:cs="Times New Roman"/>
          <w:sz w:val="24"/>
          <w:szCs w:val="24"/>
        </w:rPr>
        <w:t xml:space="preserve">to </w:t>
      </w:r>
      <w:r>
        <w:rPr>
          <w:rFonts w:ascii="Times New Roman" w:hAnsi="Times New Roman" w:cs="Times New Roman"/>
          <w:sz w:val="24"/>
          <w:szCs w:val="24"/>
        </w:rPr>
        <w:t>the service list of A.17-01</w:t>
      </w:r>
      <w:r w:rsidR="00E3537F">
        <w:rPr>
          <w:rFonts w:ascii="Times New Roman" w:hAnsi="Times New Roman" w:cs="Times New Roman"/>
          <w:sz w:val="24"/>
          <w:szCs w:val="24"/>
        </w:rPr>
        <w:t xml:space="preserve">-013, </w:t>
      </w:r>
      <w:proofErr w:type="gramStart"/>
      <w:r w:rsidR="00E3537F">
        <w:rPr>
          <w:rFonts w:ascii="Times New Roman" w:hAnsi="Times New Roman" w:cs="Times New Roman"/>
          <w:sz w:val="24"/>
          <w:szCs w:val="24"/>
        </w:rPr>
        <w:t>et</w:t>
      </w:r>
      <w:proofErr w:type="gramEnd"/>
      <w:r w:rsidR="00E3537F">
        <w:rPr>
          <w:rFonts w:ascii="Times New Roman" w:hAnsi="Times New Roman" w:cs="Times New Roman"/>
          <w:sz w:val="24"/>
          <w:szCs w:val="24"/>
        </w:rPr>
        <w:t>. al. on August 6, 2018.</w:t>
      </w:r>
      <w:r>
        <w:rPr>
          <w:rFonts w:ascii="Times New Roman" w:hAnsi="Times New Roman" w:cs="Times New Roman"/>
          <w:sz w:val="24"/>
          <w:szCs w:val="24"/>
        </w:rPr>
        <w:t xml:space="preserve"> </w:t>
      </w:r>
      <w:r w:rsidR="00666115">
        <w:rPr>
          <w:rFonts w:ascii="Times New Roman" w:hAnsi="Times New Roman" w:cs="Times New Roman"/>
          <w:sz w:val="24"/>
          <w:szCs w:val="24"/>
        </w:rPr>
        <w:t xml:space="preserve">Pursuant to Energy Division </w:t>
      </w:r>
      <w:r w:rsidR="009937FE">
        <w:rPr>
          <w:rFonts w:ascii="Times New Roman" w:hAnsi="Times New Roman" w:cs="Times New Roman"/>
          <w:sz w:val="24"/>
          <w:szCs w:val="24"/>
        </w:rPr>
        <w:t xml:space="preserve">direction, </w:t>
      </w:r>
      <w:r>
        <w:rPr>
          <w:rFonts w:ascii="Times New Roman" w:hAnsi="Times New Roman" w:cs="Times New Roman"/>
          <w:sz w:val="24"/>
          <w:szCs w:val="24"/>
        </w:rPr>
        <w:t xml:space="preserve">attached hereto as Attachment B is 2017 metrics for BayREN’s programs. </w:t>
      </w:r>
    </w:p>
    <w:p w14:paraId="68D59ACB" w14:textId="77777777" w:rsidR="004F46C8" w:rsidRPr="00A60B21" w:rsidRDefault="004F46C8" w:rsidP="004F46C8">
      <w:pPr>
        <w:pStyle w:val="Heading1"/>
        <w:rPr>
          <w:rFonts w:ascii="Times New Roman" w:hAnsi="Times New Roman" w:cs="Times New Roman"/>
          <w:b w:val="0"/>
          <w:color w:val="auto"/>
          <w:sz w:val="24"/>
          <w:szCs w:val="24"/>
        </w:rPr>
      </w:pPr>
      <w:r w:rsidRPr="00A60B21">
        <w:rPr>
          <w:rFonts w:ascii="Times New Roman" w:hAnsi="Times New Roman" w:cs="Times New Roman"/>
          <w:color w:val="auto"/>
          <w:sz w:val="24"/>
          <w:szCs w:val="24"/>
        </w:rPr>
        <w:t>Protest</w:t>
      </w:r>
    </w:p>
    <w:p w14:paraId="65A05794" w14:textId="77777777" w:rsidR="004F46C8" w:rsidRPr="00A60B21" w:rsidRDefault="004F46C8" w:rsidP="00BB1058">
      <w:pPr>
        <w:rPr>
          <w:rFonts w:ascii="Times New Roman" w:hAnsi="Times New Roman" w:cs="Times New Roman"/>
          <w:sz w:val="24"/>
          <w:szCs w:val="24"/>
        </w:rPr>
      </w:pPr>
      <w:r w:rsidRPr="00A60B21">
        <w:rPr>
          <w:rFonts w:ascii="Times New Roman" w:hAnsi="Times New Roman" w:cs="Times New Roman"/>
          <w:sz w:val="24"/>
          <w:szCs w:val="24"/>
        </w:rPr>
        <w:t>Anyone may protest this Advice Letter. The protest must state the grounds upon which it is based.  The protest must be made in writing and received by the Commission within 20 days of the date this Advice Letter was filed with the Commission, or September 2</w:t>
      </w:r>
      <w:r w:rsidR="000A0A9D" w:rsidRPr="00A60B21">
        <w:rPr>
          <w:rFonts w:ascii="Times New Roman" w:hAnsi="Times New Roman" w:cs="Times New Roman"/>
          <w:sz w:val="24"/>
          <w:szCs w:val="24"/>
        </w:rPr>
        <w:t>4</w:t>
      </w:r>
      <w:r w:rsidRPr="00A60B21">
        <w:rPr>
          <w:rFonts w:ascii="Times New Roman" w:hAnsi="Times New Roman" w:cs="Times New Roman"/>
          <w:sz w:val="24"/>
          <w:szCs w:val="24"/>
        </w:rPr>
        <w:t>, 201</w:t>
      </w:r>
      <w:r w:rsidR="000A0A9D" w:rsidRPr="00A60B21">
        <w:rPr>
          <w:rFonts w:ascii="Times New Roman" w:hAnsi="Times New Roman" w:cs="Times New Roman"/>
          <w:sz w:val="24"/>
          <w:szCs w:val="24"/>
        </w:rPr>
        <w:t>8</w:t>
      </w:r>
      <w:r w:rsidRPr="00A60B21">
        <w:rPr>
          <w:rFonts w:ascii="Times New Roman" w:hAnsi="Times New Roman" w:cs="Times New Roman"/>
          <w:sz w:val="24"/>
          <w:szCs w:val="24"/>
        </w:rPr>
        <w:t>. There is no restriction on who may file a protest. The address for mailing or delivering a protest to the Commission is:</w:t>
      </w:r>
    </w:p>
    <w:p w14:paraId="534CAFF1" w14:textId="77777777" w:rsidR="004F46C8" w:rsidRPr="00A60B21" w:rsidRDefault="004F46C8" w:rsidP="00BB1058">
      <w:pPr>
        <w:rPr>
          <w:rFonts w:ascii="Times New Roman" w:hAnsi="Times New Roman" w:cs="Times New Roman"/>
          <w:sz w:val="24"/>
          <w:szCs w:val="24"/>
        </w:rPr>
      </w:pPr>
    </w:p>
    <w:p w14:paraId="40068EF6"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Public Utilities Commission</w:t>
      </w:r>
    </w:p>
    <w:p w14:paraId="56A7481C"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CPUC Energy Division</w:t>
      </w:r>
    </w:p>
    <w:p w14:paraId="6A8644B8"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Attention: Tariff Unit</w:t>
      </w:r>
    </w:p>
    <w:p w14:paraId="3C072BEC"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505 Van Ness Avenue</w:t>
      </w:r>
    </w:p>
    <w:p w14:paraId="7A2CD7D8"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San Francisco, CA  94102</w:t>
      </w:r>
    </w:p>
    <w:p w14:paraId="256174E1" w14:textId="77777777" w:rsidR="004F46C8" w:rsidRPr="00A60B21" w:rsidRDefault="004F46C8" w:rsidP="00BB1058">
      <w:pPr>
        <w:rPr>
          <w:rFonts w:ascii="Times New Roman" w:hAnsi="Times New Roman" w:cs="Times New Roman"/>
          <w:sz w:val="24"/>
          <w:szCs w:val="24"/>
        </w:rPr>
      </w:pPr>
    </w:p>
    <w:p w14:paraId="26CD9583" w14:textId="77777777" w:rsidR="004F46C8" w:rsidRPr="00A60B21" w:rsidRDefault="004F46C8" w:rsidP="00BB1058">
      <w:pPr>
        <w:rPr>
          <w:rFonts w:ascii="Times New Roman" w:hAnsi="Times New Roman" w:cs="Times New Roman"/>
          <w:sz w:val="24"/>
          <w:szCs w:val="24"/>
        </w:rPr>
      </w:pPr>
      <w:r w:rsidRPr="00A60B21">
        <w:rPr>
          <w:rFonts w:ascii="Times New Roman" w:hAnsi="Times New Roman" w:cs="Times New Roman"/>
          <w:sz w:val="24"/>
          <w:szCs w:val="24"/>
        </w:rPr>
        <w:t xml:space="preserve">Copies of the protest should also be sent via e-mail to the attention of the Energy Division at </w:t>
      </w:r>
      <w:hyperlink r:id="rId16" w:history="1">
        <w:r w:rsidRPr="00A60B21">
          <w:rPr>
            <w:rStyle w:val="Hyperlink"/>
            <w:rFonts w:ascii="Times New Roman" w:hAnsi="Times New Roman" w:cs="Times New Roman"/>
            <w:color w:val="auto"/>
            <w:sz w:val="24"/>
            <w:szCs w:val="24"/>
          </w:rPr>
          <w:t>EDTariffUnit@cpuc.ca.gov</w:t>
        </w:r>
      </w:hyperlink>
      <w:r w:rsidRPr="00A60B21">
        <w:rPr>
          <w:rFonts w:ascii="Times New Roman" w:hAnsi="Times New Roman" w:cs="Times New Roman"/>
          <w:sz w:val="24"/>
          <w:szCs w:val="24"/>
        </w:rPr>
        <w:t>. It is also requested that a copy of the protest be sent by email to address shown below on the same date it is mailed or delivered to the Commission.</w:t>
      </w:r>
    </w:p>
    <w:p w14:paraId="37ED77CA" w14:textId="77777777" w:rsidR="004F46C8" w:rsidRPr="00A60B21" w:rsidRDefault="004F46C8" w:rsidP="00BB1058">
      <w:pPr>
        <w:rPr>
          <w:rFonts w:ascii="Times New Roman" w:hAnsi="Times New Roman" w:cs="Times New Roman"/>
          <w:sz w:val="24"/>
          <w:szCs w:val="24"/>
        </w:rPr>
      </w:pPr>
    </w:p>
    <w:p w14:paraId="2C1958E0" w14:textId="77777777" w:rsidR="004F46C8" w:rsidRPr="00A60B21" w:rsidRDefault="004F46C8" w:rsidP="00BB1058">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F46C8" w:rsidRPr="00A60B21" w14:paraId="1C6571EA" w14:textId="77777777" w:rsidTr="006D3BED">
        <w:trPr>
          <w:trHeight w:val="2016"/>
          <w:jc w:val="center"/>
        </w:trPr>
        <w:tc>
          <w:tcPr>
            <w:tcW w:w="4788" w:type="dxa"/>
            <w:tcBorders>
              <w:top w:val="single" w:sz="4" w:space="0" w:color="auto"/>
              <w:left w:val="single" w:sz="4" w:space="0" w:color="auto"/>
              <w:bottom w:val="single" w:sz="4" w:space="0" w:color="auto"/>
              <w:right w:val="single" w:sz="4" w:space="0" w:color="auto"/>
            </w:tcBorders>
            <w:hideMark/>
          </w:tcPr>
          <w:p w14:paraId="637350B4"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Gerald Lahr</w:t>
            </w:r>
          </w:p>
          <w:p w14:paraId="59EC0698"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Assistant Director - Energy Programs</w:t>
            </w:r>
          </w:p>
          <w:p w14:paraId="4EC5E310" w14:textId="45198ADF" w:rsidR="004F46C8" w:rsidRPr="00A60B21" w:rsidRDefault="005168A3" w:rsidP="00BB1058">
            <w:pPr>
              <w:contextualSpacing/>
              <w:rPr>
                <w:rFonts w:ascii="Times New Roman" w:hAnsi="Times New Roman" w:cs="Times New Roman"/>
                <w:sz w:val="24"/>
                <w:szCs w:val="24"/>
              </w:rPr>
            </w:pPr>
            <w:r>
              <w:rPr>
                <w:rFonts w:ascii="Times New Roman" w:hAnsi="Times New Roman" w:cs="Times New Roman"/>
                <w:sz w:val="24"/>
                <w:szCs w:val="24"/>
              </w:rPr>
              <w:t>Association of Bay Area Governments</w:t>
            </w:r>
            <w:bookmarkStart w:id="0" w:name="_GoBack"/>
            <w:bookmarkEnd w:id="0"/>
          </w:p>
          <w:p w14:paraId="18A4C198"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375 Beale Street</w:t>
            </w:r>
          </w:p>
          <w:p w14:paraId="03A3A376"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7</w:t>
            </w:r>
            <w:r w:rsidRPr="00A60B21">
              <w:rPr>
                <w:rFonts w:ascii="Times New Roman" w:hAnsi="Times New Roman" w:cs="Times New Roman"/>
                <w:sz w:val="24"/>
                <w:szCs w:val="24"/>
                <w:vertAlign w:val="superscript"/>
              </w:rPr>
              <w:t>th</w:t>
            </w:r>
            <w:r w:rsidRPr="00A60B21">
              <w:rPr>
                <w:rFonts w:ascii="Times New Roman" w:hAnsi="Times New Roman" w:cs="Times New Roman"/>
                <w:sz w:val="24"/>
                <w:szCs w:val="24"/>
              </w:rPr>
              <w:t xml:space="preserve"> Floor</w:t>
            </w:r>
          </w:p>
          <w:p w14:paraId="37C2A508"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San Francisco, CA  94105</w:t>
            </w:r>
          </w:p>
          <w:p w14:paraId="41420277" w14:textId="77777777" w:rsidR="004F46C8" w:rsidRPr="00A60B21" w:rsidRDefault="004F46C8" w:rsidP="00BB1058">
            <w:pPr>
              <w:rPr>
                <w:rFonts w:ascii="Times New Roman" w:hAnsi="Times New Roman" w:cs="Times New Roman"/>
                <w:sz w:val="24"/>
                <w:szCs w:val="24"/>
              </w:rPr>
            </w:pPr>
            <w:r w:rsidRPr="00A60B21">
              <w:rPr>
                <w:rFonts w:ascii="Times New Roman" w:hAnsi="Times New Roman" w:cs="Times New Roman"/>
                <w:sz w:val="24"/>
                <w:szCs w:val="24"/>
              </w:rPr>
              <w:t>JLahr@bayareametro.gov</w:t>
            </w:r>
          </w:p>
        </w:tc>
      </w:tr>
    </w:tbl>
    <w:p w14:paraId="7ACFD9F2" w14:textId="77777777" w:rsidR="004F46C8" w:rsidRPr="00A60B21" w:rsidRDefault="004F46C8" w:rsidP="00BB1058">
      <w:pPr>
        <w:rPr>
          <w:rFonts w:ascii="Times New Roman" w:hAnsi="Times New Roman" w:cs="Times New Roman"/>
          <w:sz w:val="24"/>
          <w:szCs w:val="24"/>
        </w:rPr>
      </w:pPr>
    </w:p>
    <w:p w14:paraId="12E9251C" w14:textId="77777777" w:rsidR="004F46C8" w:rsidRPr="00A60B21" w:rsidRDefault="004F46C8" w:rsidP="00BB1058">
      <w:pPr>
        <w:rPr>
          <w:rFonts w:ascii="Times New Roman" w:hAnsi="Times New Roman" w:cs="Times New Roman"/>
          <w:b/>
          <w:sz w:val="24"/>
          <w:szCs w:val="24"/>
        </w:rPr>
      </w:pPr>
      <w:r w:rsidRPr="00A60B21">
        <w:rPr>
          <w:rFonts w:ascii="Times New Roman" w:hAnsi="Times New Roman" w:cs="Times New Roman"/>
          <w:b/>
          <w:sz w:val="24"/>
          <w:szCs w:val="24"/>
        </w:rPr>
        <w:t xml:space="preserve">Effective Date  </w:t>
      </w:r>
    </w:p>
    <w:p w14:paraId="154150F5" w14:textId="77777777" w:rsidR="004F46C8" w:rsidRPr="00A60B21" w:rsidRDefault="004F46C8" w:rsidP="00BB1058">
      <w:pPr>
        <w:rPr>
          <w:rFonts w:ascii="Times New Roman" w:hAnsi="Times New Roman" w:cs="Times New Roman"/>
          <w:sz w:val="24"/>
          <w:szCs w:val="24"/>
        </w:rPr>
      </w:pPr>
      <w:r w:rsidRPr="00A60B21">
        <w:rPr>
          <w:rFonts w:ascii="Times New Roman" w:hAnsi="Times New Roman" w:cs="Times New Roman"/>
          <w:sz w:val="24"/>
          <w:szCs w:val="24"/>
        </w:rPr>
        <w:t xml:space="preserve">BayREN requests that this Tier 2 advice filing become effective on regular notice, October </w:t>
      </w:r>
      <w:r w:rsidR="005A1608" w:rsidRPr="00A60B21">
        <w:rPr>
          <w:rFonts w:ascii="Times New Roman" w:hAnsi="Times New Roman" w:cs="Times New Roman"/>
          <w:sz w:val="24"/>
          <w:szCs w:val="24"/>
        </w:rPr>
        <w:t>4</w:t>
      </w:r>
      <w:r w:rsidRPr="00A60B21">
        <w:rPr>
          <w:rFonts w:ascii="Times New Roman" w:hAnsi="Times New Roman" w:cs="Times New Roman"/>
          <w:sz w:val="24"/>
          <w:szCs w:val="24"/>
        </w:rPr>
        <w:t>, 201</w:t>
      </w:r>
      <w:r w:rsidR="005A1608" w:rsidRPr="00A60B21">
        <w:rPr>
          <w:rFonts w:ascii="Times New Roman" w:hAnsi="Times New Roman" w:cs="Times New Roman"/>
          <w:sz w:val="24"/>
          <w:szCs w:val="24"/>
        </w:rPr>
        <w:t>8</w:t>
      </w:r>
      <w:r w:rsidRPr="00A60B21">
        <w:rPr>
          <w:rFonts w:ascii="Times New Roman" w:hAnsi="Times New Roman" w:cs="Times New Roman"/>
          <w:sz w:val="24"/>
          <w:szCs w:val="24"/>
        </w:rPr>
        <w:t>, which is 30 calendar days from the date of this filing.</w:t>
      </w:r>
    </w:p>
    <w:p w14:paraId="05CB79CF" w14:textId="77777777" w:rsidR="004F46C8" w:rsidRPr="00A60B21" w:rsidRDefault="004F46C8" w:rsidP="00BB1058">
      <w:pPr>
        <w:rPr>
          <w:rFonts w:ascii="Times New Roman" w:hAnsi="Times New Roman" w:cs="Times New Roman"/>
          <w:b/>
          <w:sz w:val="24"/>
          <w:szCs w:val="24"/>
        </w:rPr>
      </w:pPr>
      <w:r w:rsidRPr="00A60B21">
        <w:rPr>
          <w:rFonts w:ascii="Times New Roman" w:hAnsi="Times New Roman" w:cs="Times New Roman"/>
          <w:sz w:val="24"/>
          <w:szCs w:val="24"/>
        </w:rPr>
        <w:t>Notice</w:t>
      </w:r>
    </w:p>
    <w:p w14:paraId="6A0CB384" w14:textId="77777777" w:rsidR="004F46C8" w:rsidRPr="00A60B21" w:rsidRDefault="004F46C8" w:rsidP="00BB1058">
      <w:pPr>
        <w:rPr>
          <w:rFonts w:ascii="Times New Roman" w:hAnsi="Times New Roman" w:cs="Times New Roman"/>
          <w:sz w:val="24"/>
          <w:szCs w:val="24"/>
        </w:rPr>
      </w:pPr>
      <w:r w:rsidRPr="00A60B21">
        <w:rPr>
          <w:rFonts w:ascii="Times New Roman" w:hAnsi="Times New Roman" w:cs="Times New Roman"/>
          <w:sz w:val="24"/>
          <w:szCs w:val="24"/>
        </w:rPr>
        <w:t>In accordance with General Order 96-B, Section IV, a copy of this advice letter is being sent electronically and via U.S. mail to parties shown on the attached list and the parties on the service list for R.13-11-005.  Address changes to the General Order 96-B service list should be directed to Jennifer K. Berg at jberg@bayareametro.gov or by calling 415-820-7947.</w:t>
      </w:r>
    </w:p>
    <w:p w14:paraId="044FCD70" w14:textId="77777777" w:rsidR="004F46C8" w:rsidRPr="00A60B21" w:rsidRDefault="004F46C8" w:rsidP="004F46C8">
      <w:pPr>
        <w:pStyle w:val="Default"/>
        <w:ind w:left="4320" w:firstLine="720"/>
        <w:rPr>
          <w:rFonts w:ascii="Times New Roman" w:hAnsi="Times New Roman" w:cs="Times New Roman"/>
          <w:color w:val="auto"/>
        </w:rPr>
      </w:pPr>
    </w:p>
    <w:p w14:paraId="0488E62E" w14:textId="77777777" w:rsidR="004F46C8" w:rsidRPr="00A60B21" w:rsidRDefault="004F46C8" w:rsidP="004F46C8">
      <w:pPr>
        <w:pStyle w:val="Default"/>
        <w:ind w:left="4320" w:firstLine="720"/>
        <w:rPr>
          <w:rFonts w:ascii="Times New Roman" w:hAnsi="Times New Roman" w:cs="Times New Roman"/>
          <w:color w:val="auto"/>
        </w:rPr>
      </w:pPr>
    </w:p>
    <w:p w14:paraId="12F337CC" w14:textId="77777777" w:rsidR="004F46C8" w:rsidRPr="00A60B21" w:rsidRDefault="004F46C8" w:rsidP="004F46C8">
      <w:pPr>
        <w:pStyle w:val="Default"/>
        <w:ind w:left="4320" w:firstLine="720"/>
        <w:rPr>
          <w:rFonts w:ascii="Times New Roman" w:hAnsi="Times New Roman" w:cs="Times New Roman"/>
          <w:color w:val="auto"/>
        </w:rPr>
      </w:pPr>
    </w:p>
    <w:p w14:paraId="17B052B8" w14:textId="77777777" w:rsidR="004F46C8" w:rsidRPr="00A60B21" w:rsidRDefault="004F46C8" w:rsidP="004F46C8">
      <w:pPr>
        <w:pStyle w:val="Default"/>
        <w:ind w:left="4320" w:firstLine="720"/>
        <w:rPr>
          <w:rFonts w:ascii="Times New Roman" w:hAnsi="Times New Roman" w:cs="Times New Roman"/>
          <w:color w:val="auto"/>
        </w:rPr>
      </w:pPr>
    </w:p>
    <w:p w14:paraId="62622CDE" w14:textId="77777777" w:rsidR="004F46C8" w:rsidRPr="00A60B21" w:rsidRDefault="004F46C8" w:rsidP="004F46C8">
      <w:pPr>
        <w:pStyle w:val="Default"/>
        <w:ind w:left="4320" w:firstLine="720"/>
        <w:rPr>
          <w:rFonts w:ascii="Times New Roman" w:hAnsi="Times New Roman" w:cs="Times New Roman"/>
          <w:color w:val="auto"/>
        </w:rPr>
      </w:pPr>
      <w:r w:rsidRPr="00A60B21">
        <w:rPr>
          <w:rFonts w:ascii="Times New Roman" w:hAnsi="Times New Roman" w:cs="Times New Roman"/>
          <w:noProof/>
          <w:color w:val="auto"/>
        </w:rPr>
        <w:drawing>
          <wp:inline distT="0" distB="0" distL="0" distR="0" wp14:anchorId="17AB5B76" wp14:editId="23E085CD">
            <wp:extent cx="19431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inline>
        </w:drawing>
      </w:r>
    </w:p>
    <w:p w14:paraId="6B601A2F" w14:textId="77777777" w:rsidR="004F46C8" w:rsidRPr="00A60B21" w:rsidRDefault="004F46C8" w:rsidP="004F46C8">
      <w:pPr>
        <w:pStyle w:val="Default"/>
        <w:rPr>
          <w:rFonts w:ascii="Times New Roman" w:hAnsi="Times New Roman" w:cs="Times New Roman"/>
          <w:color w:val="auto"/>
        </w:rPr>
      </w:pPr>
      <w:r w:rsidRPr="00A60B21">
        <w:rPr>
          <w:rFonts w:ascii="Times New Roman" w:hAnsi="Times New Roman" w:cs="Times New Roman"/>
          <w:noProof/>
          <w:color w:val="auto"/>
        </w:rPr>
        <w:drawing>
          <wp:anchor distT="0" distB="0" distL="114300" distR="114300" simplePos="0" relativeHeight="251658240" behindDoc="1" locked="0" layoutInCell="1" allowOverlap="1" wp14:anchorId="7779CB55" wp14:editId="167A6F1F">
            <wp:simplePos x="0" y="0"/>
            <wp:positionH relativeFrom="column">
              <wp:posOffset>4038600</wp:posOffset>
            </wp:positionH>
            <wp:positionV relativeFrom="paragraph">
              <wp:posOffset>8224520</wp:posOffset>
            </wp:positionV>
            <wp:extent cx="1943100" cy="461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461645"/>
                    </a:xfrm>
                    <a:prstGeom prst="rect">
                      <a:avLst/>
                    </a:prstGeom>
                    <a:noFill/>
                  </pic:spPr>
                </pic:pic>
              </a:graphicData>
            </a:graphic>
            <wp14:sizeRelH relativeFrom="page">
              <wp14:pctWidth>0</wp14:pctWidth>
            </wp14:sizeRelH>
            <wp14:sizeRelV relativeFrom="page">
              <wp14:pctHeight>0</wp14:pctHeight>
            </wp14:sizeRelV>
          </wp:anchor>
        </w:drawing>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t>_____________________</w:t>
      </w:r>
    </w:p>
    <w:p w14:paraId="60D97F99" w14:textId="77777777" w:rsidR="004F46C8" w:rsidRPr="00A60B21" w:rsidRDefault="004F46C8" w:rsidP="004F46C8">
      <w:pPr>
        <w:pStyle w:val="Default"/>
        <w:rPr>
          <w:rFonts w:ascii="Times New Roman" w:hAnsi="Times New Roman" w:cs="Times New Roman"/>
          <w:color w:val="auto"/>
        </w:rPr>
      </w:pP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t>Gerald L. Lahr</w:t>
      </w:r>
    </w:p>
    <w:p w14:paraId="1300FA9C" w14:textId="77777777" w:rsidR="004F46C8" w:rsidRPr="00A60B21" w:rsidRDefault="004F46C8" w:rsidP="004F46C8">
      <w:pPr>
        <w:pStyle w:val="Default"/>
        <w:rPr>
          <w:rFonts w:ascii="Times New Roman" w:hAnsi="Times New Roman" w:cs="Times New Roman"/>
          <w:color w:val="auto"/>
        </w:rPr>
      </w:pP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r>
      <w:r w:rsidRPr="00A60B21">
        <w:rPr>
          <w:rFonts w:ascii="Times New Roman" w:hAnsi="Times New Roman" w:cs="Times New Roman"/>
          <w:color w:val="auto"/>
        </w:rPr>
        <w:tab/>
        <w:t>Assistant Director – Energy Programs</w:t>
      </w:r>
    </w:p>
    <w:p w14:paraId="279AE6F9" w14:textId="77777777" w:rsidR="004F46C8" w:rsidRPr="00A60B21" w:rsidRDefault="004F46C8" w:rsidP="004F46C8">
      <w:pPr>
        <w:contextualSpacing/>
        <w:rPr>
          <w:rFonts w:ascii="Times New Roman" w:hAnsi="Times New Roman" w:cs="Times New Roman"/>
          <w:sz w:val="24"/>
          <w:szCs w:val="24"/>
        </w:rPr>
      </w:pPr>
      <w:r w:rsidRPr="00A60B21">
        <w:rPr>
          <w:rFonts w:ascii="Times New Roman" w:hAnsi="Times New Roman" w:cs="Times New Roman"/>
          <w:sz w:val="24"/>
          <w:szCs w:val="24"/>
        </w:rPr>
        <w:t>Attachment:</w:t>
      </w:r>
    </w:p>
    <w:p w14:paraId="7C9BB00D" w14:textId="5350DAB8" w:rsidR="004F46C8" w:rsidRDefault="00C02543" w:rsidP="004F46C8">
      <w:pPr>
        <w:contextualSpacing/>
        <w:rPr>
          <w:rFonts w:ascii="Times New Roman" w:hAnsi="Times New Roman" w:cs="Times New Roman"/>
          <w:sz w:val="24"/>
          <w:szCs w:val="24"/>
        </w:rPr>
      </w:pPr>
      <w:r>
        <w:rPr>
          <w:rFonts w:ascii="Times New Roman" w:hAnsi="Times New Roman" w:cs="Times New Roman"/>
          <w:sz w:val="24"/>
          <w:szCs w:val="24"/>
        </w:rPr>
        <w:t xml:space="preserve">A: </w:t>
      </w:r>
      <w:r w:rsidR="004F46C8" w:rsidRPr="00A60B21">
        <w:rPr>
          <w:rFonts w:ascii="Times New Roman" w:hAnsi="Times New Roman" w:cs="Times New Roman"/>
          <w:sz w:val="24"/>
          <w:szCs w:val="24"/>
        </w:rPr>
        <w:t xml:space="preserve">CEDARS Filing Submission </w:t>
      </w:r>
      <w:r w:rsidR="000A0A9D" w:rsidRPr="00A60B21">
        <w:rPr>
          <w:rFonts w:ascii="Times New Roman" w:hAnsi="Times New Roman" w:cs="Times New Roman"/>
          <w:sz w:val="24"/>
          <w:szCs w:val="24"/>
        </w:rPr>
        <w:t>Receipt</w:t>
      </w:r>
    </w:p>
    <w:p w14:paraId="07AC705E" w14:textId="0F03EE8F" w:rsidR="00C02543" w:rsidRPr="00A60B21" w:rsidRDefault="00C02543" w:rsidP="004F46C8">
      <w:pPr>
        <w:contextualSpacing/>
        <w:rPr>
          <w:rFonts w:ascii="Times New Roman" w:hAnsi="Times New Roman" w:cs="Times New Roman"/>
          <w:sz w:val="24"/>
          <w:szCs w:val="24"/>
        </w:rPr>
      </w:pPr>
      <w:r>
        <w:rPr>
          <w:rFonts w:ascii="Times New Roman" w:hAnsi="Times New Roman" w:cs="Times New Roman"/>
          <w:sz w:val="24"/>
          <w:szCs w:val="24"/>
        </w:rPr>
        <w:t>B: BayREN 2017 Metrics</w:t>
      </w:r>
    </w:p>
    <w:p w14:paraId="7BBDDB81" w14:textId="77777777" w:rsidR="004F46C8" w:rsidRPr="00A60B21" w:rsidRDefault="004F46C8">
      <w:pPr>
        <w:spacing w:after="0"/>
        <w:rPr>
          <w:rFonts w:ascii="Times New Roman" w:hAnsi="Times New Roman" w:cs="Times New Roman"/>
          <w:sz w:val="24"/>
          <w:szCs w:val="24"/>
        </w:rPr>
      </w:pPr>
      <w:r w:rsidRPr="00A60B21">
        <w:rPr>
          <w:rFonts w:ascii="Times New Roman" w:hAnsi="Times New Roman" w:cs="Times New Roman"/>
          <w:sz w:val="24"/>
          <w:szCs w:val="24"/>
        </w:rPr>
        <w:br w:type="page"/>
      </w:r>
    </w:p>
    <w:p w14:paraId="3D9ADC93" w14:textId="77777777" w:rsidR="004F46C8" w:rsidRPr="00A60B21" w:rsidRDefault="004F46C8" w:rsidP="004F46C8">
      <w:pPr>
        <w:rPr>
          <w:rFonts w:ascii="Times New Roman" w:hAnsi="Times New Roman" w:cs="Times New Roman"/>
          <w:b/>
          <w:sz w:val="24"/>
          <w:szCs w:val="24"/>
        </w:rPr>
      </w:pPr>
    </w:p>
    <w:p w14:paraId="790CBEDA" w14:textId="77777777" w:rsidR="004F46C8" w:rsidRPr="00A60B21" w:rsidRDefault="004F46C8" w:rsidP="004F46C8">
      <w:pPr>
        <w:rPr>
          <w:rFonts w:ascii="Times New Roman" w:hAnsi="Times New Roman" w:cs="Times New Roman"/>
          <w:b/>
          <w:sz w:val="24"/>
          <w:szCs w:val="24"/>
        </w:rPr>
      </w:pPr>
    </w:p>
    <w:p w14:paraId="7902AE06" w14:textId="77777777" w:rsidR="004F46C8" w:rsidRPr="00A60B21" w:rsidRDefault="004F46C8" w:rsidP="004F46C8">
      <w:pPr>
        <w:rPr>
          <w:rFonts w:ascii="Times New Roman" w:hAnsi="Times New Roman" w:cs="Times New Roman"/>
          <w:b/>
          <w:sz w:val="24"/>
          <w:szCs w:val="24"/>
        </w:rPr>
      </w:pPr>
    </w:p>
    <w:p w14:paraId="76DB0DB1" w14:textId="77777777" w:rsidR="004F46C8" w:rsidRPr="00A60B21" w:rsidRDefault="004F46C8" w:rsidP="004F46C8">
      <w:pPr>
        <w:rPr>
          <w:rFonts w:ascii="Times New Roman" w:hAnsi="Times New Roman" w:cs="Times New Roman"/>
          <w:b/>
          <w:sz w:val="24"/>
          <w:szCs w:val="24"/>
        </w:rPr>
      </w:pPr>
    </w:p>
    <w:p w14:paraId="4CA946B2" w14:textId="77777777" w:rsidR="004F46C8" w:rsidRPr="00A60B21" w:rsidRDefault="004F46C8" w:rsidP="004F46C8">
      <w:pPr>
        <w:rPr>
          <w:rFonts w:ascii="Times New Roman" w:hAnsi="Times New Roman" w:cs="Times New Roman"/>
          <w:b/>
          <w:sz w:val="24"/>
          <w:szCs w:val="24"/>
        </w:rPr>
      </w:pPr>
    </w:p>
    <w:p w14:paraId="1509FD33" w14:textId="77777777" w:rsidR="004F46C8" w:rsidRPr="00A60B21" w:rsidRDefault="004F46C8" w:rsidP="004F46C8">
      <w:pPr>
        <w:rPr>
          <w:rFonts w:ascii="Times New Roman" w:hAnsi="Times New Roman" w:cs="Times New Roman"/>
          <w:b/>
          <w:sz w:val="24"/>
          <w:szCs w:val="24"/>
        </w:rPr>
      </w:pPr>
    </w:p>
    <w:p w14:paraId="3B433B89" w14:textId="77777777" w:rsidR="004F46C8" w:rsidRPr="00A60B21" w:rsidRDefault="004F46C8" w:rsidP="004F46C8">
      <w:pPr>
        <w:rPr>
          <w:rFonts w:ascii="Times New Roman" w:hAnsi="Times New Roman" w:cs="Times New Roman"/>
          <w:b/>
          <w:sz w:val="24"/>
          <w:szCs w:val="24"/>
        </w:rPr>
      </w:pPr>
    </w:p>
    <w:p w14:paraId="1D4FBE7A" w14:textId="77777777" w:rsidR="004F46C8" w:rsidRPr="00A60B21" w:rsidRDefault="004F46C8" w:rsidP="004F46C8">
      <w:pPr>
        <w:rPr>
          <w:rFonts w:ascii="Times New Roman" w:hAnsi="Times New Roman" w:cs="Times New Roman"/>
          <w:b/>
          <w:sz w:val="24"/>
          <w:szCs w:val="24"/>
        </w:rPr>
      </w:pPr>
    </w:p>
    <w:p w14:paraId="174B21A5" w14:textId="77777777" w:rsidR="004F46C8" w:rsidRPr="00A60B21" w:rsidRDefault="004F46C8" w:rsidP="004F46C8">
      <w:pPr>
        <w:rPr>
          <w:rFonts w:ascii="Times New Roman" w:hAnsi="Times New Roman" w:cs="Times New Roman"/>
          <w:b/>
          <w:sz w:val="24"/>
          <w:szCs w:val="24"/>
        </w:rPr>
      </w:pPr>
    </w:p>
    <w:p w14:paraId="385669D2" w14:textId="77777777" w:rsidR="004F46C8" w:rsidRPr="00A60B21" w:rsidRDefault="004F46C8" w:rsidP="004F46C8">
      <w:pPr>
        <w:jc w:val="center"/>
        <w:rPr>
          <w:rFonts w:ascii="Times New Roman" w:hAnsi="Times New Roman" w:cs="Times New Roman"/>
          <w:b/>
          <w:sz w:val="24"/>
          <w:szCs w:val="24"/>
        </w:rPr>
      </w:pPr>
    </w:p>
    <w:p w14:paraId="66265D93" w14:textId="77777777" w:rsidR="004F46C8" w:rsidRPr="00A60B21" w:rsidRDefault="004F46C8" w:rsidP="004F46C8">
      <w:pPr>
        <w:jc w:val="center"/>
        <w:rPr>
          <w:rFonts w:ascii="Times New Roman" w:hAnsi="Times New Roman" w:cs="Times New Roman"/>
          <w:b/>
          <w:sz w:val="24"/>
          <w:szCs w:val="24"/>
        </w:rPr>
      </w:pPr>
    </w:p>
    <w:p w14:paraId="68E0CAC2" w14:textId="77777777" w:rsidR="004F46C8" w:rsidRPr="00A60B21" w:rsidRDefault="004F46C8" w:rsidP="004F46C8">
      <w:pPr>
        <w:jc w:val="center"/>
        <w:rPr>
          <w:rFonts w:ascii="Times New Roman" w:hAnsi="Times New Roman" w:cs="Times New Roman"/>
          <w:b/>
          <w:sz w:val="24"/>
          <w:szCs w:val="24"/>
        </w:rPr>
      </w:pPr>
    </w:p>
    <w:p w14:paraId="12CF6612" w14:textId="083DEF12" w:rsidR="004F46C8" w:rsidRPr="00A60B21" w:rsidRDefault="004F46C8" w:rsidP="004F46C8">
      <w:pPr>
        <w:jc w:val="center"/>
        <w:rPr>
          <w:rFonts w:ascii="Times New Roman" w:hAnsi="Times New Roman" w:cs="Times New Roman"/>
          <w:b/>
          <w:sz w:val="24"/>
          <w:szCs w:val="24"/>
        </w:rPr>
      </w:pPr>
      <w:r w:rsidRPr="00A60B21">
        <w:rPr>
          <w:rFonts w:ascii="Times New Roman" w:hAnsi="Times New Roman" w:cs="Times New Roman"/>
          <w:b/>
          <w:sz w:val="24"/>
          <w:szCs w:val="24"/>
        </w:rPr>
        <w:t xml:space="preserve">ATTACHMENT </w:t>
      </w:r>
      <w:r w:rsidR="00C02543">
        <w:rPr>
          <w:rFonts w:ascii="Times New Roman" w:hAnsi="Times New Roman" w:cs="Times New Roman"/>
          <w:b/>
          <w:sz w:val="24"/>
          <w:szCs w:val="24"/>
        </w:rPr>
        <w:t xml:space="preserve">A </w:t>
      </w:r>
      <w:r w:rsidRPr="00A60B21">
        <w:rPr>
          <w:rFonts w:ascii="Times New Roman" w:hAnsi="Times New Roman" w:cs="Times New Roman"/>
          <w:b/>
          <w:sz w:val="24"/>
          <w:szCs w:val="24"/>
        </w:rPr>
        <w:t>TO BAYREN AL-9-E</w:t>
      </w:r>
    </w:p>
    <w:p w14:paraId="398B821A" w14:textId="77777777" w:rsidR="004F46C8" w:rsidRPr="00A60B21" w:rsidRDefault="004F46C8" w:rsidP="004F46C8">
      <w:pPr>
        <w:rPr>
          <w:rFonts w:ascii="Times New Roman" w:hAnsi="Times New Roman" w:cs="Times New Roman"/>
          <w:sz w:val="24"/>
          <w:szCs w:val="24"/>
        </w:rPr>
      </w:pPr>
    </w:p>
    <w:p w14:paraId="380AF6D0" w14:textId="3E83819B" w:rsidR="00C02543" w:rsidRDefault="00C02543">
      <w:pPr>
        <w:spacing w:after="0"/>
        <w:rPr>
          <w:rFonts w:ascii="Times New Roman" w:hAnsi="Times New Roman" w:cs="Times New Roman"/>
          <w:sz w:val="24"/>
          <w:szCs w:val="24"/>
        </w:rPr>
      </w:pPr>
      <w:r>
        <w:rPr>
          <w:rFonts w:ascii="Times New Roman" w:hAnsi="Times New Roman" w:cs="Times New Roman"/>
          <w:sz w:val="24"/>
          <w:szCs w:val="24"/>
        </w:rPr>
        <w:br w:type="page"/>
      </w:r>
    </w:p>
    <w:p w14:paraId="560FE336" w14:textId="77777777" w:rsidR="004F46C8" w:rsidRDefault="004F46C8" w:rsidP="004F46C8">
      <w:pPr>
        <w:rPr>
          <w:rFonts w:ascii="Times New Roman" w:hAnsi="Times New Roman" w:cs="Times New Roman"/>
          <w:sz w:val="24"/>
          <w:szCs w:val="24"/>
        </w:rPr>
      </w:pPr>
    </w:p>
    <w:p w14:paraId="3A8C6888" w14:textId="77777777" w:rsidR="00C02543" w:rsidRDefault="00C02543" w:rsidP="004F46C8">
      <w:pPr>
        <w:rPr>
          <w:rFonts w:ascii="Times New Roman" w:hAnsi="Times New Roman" w:cs="Times New Roman"/>
          <w:sz w:val="24"/>
          <w:szCs w:val="24"/>
        </w:rPr>
      </w:pPr>
    </w:p>
    <w:p w14:paraId="3793020C" w14:textId="77777777" w:rsidR="00C02543" w:rsidRDefault="00C02543" w:rsidP="004F46C8">
      <w:pPr>
        <w:rPr>
          <w:rFonts w:ascii="Times New Roman" w:hAnsi="Times New Roman" w:cs="Times New Roman"/>
          <w:sz w:val="24"/>
          <w:szCs w:val="24"/>
        </w:rPr>
      </w:pPr>
    </w:p>
    <w:p w14:paraId="1DC25BA1" w14:textId="77777777" w:rsidR="00C02543" w:rsidRDefault="00C02543" w:rsidP="004F46C8">
      <w:pPr>
        <w:rPr>
          <w:rFonts w:ascii="Times New Roman" w:hAnsi="Times New Roman" w:cs="Times New Roman"/>
          <w:sz w:val="24"/>
          <w:szCs w:val="24"/>
        </w:rPr>
      </w:pPr>
    </w:p>
    <w:p w14:paraId="4441FE17" w14:textId="77777777" w:rsidR="00C02543" w:rsidRDefault="00C02543" w:rsidP="004F46C8">
      <w:pPr>
        <w:rPr>
          <w:rFonts w:ascii="Times New Roman" w:hAnsi="Times New Roman" w:cs="Times New Roman"/>
          <w:sz w:val="24"/>
          <w:szCs w:val="24"/>
        </w:rPr>
      </w:pPr>
    </w:p>
    <w:p w14:paraId="32BD8096" w14:textId="77777777" w:rsidR="00C02543" w:rsidRDefault="00C02543" w:rsidP="004F46C8">
      <w:pPr>
        <w:rPr>
          <w:rFonts w:ascii="Times New Roman" w:hAnsi="Times New Roman" w:cs="Times New Roman"/>
          <w:sz w:val="24"/>
          <w:szCs w:val="24"/>
        </w:rPr>
      </w:pPr>
    </w:p>
    <w:p w14:paraId="2AFAD83B" w14:textId="77777777" w:rsidR="00C02543" w:rsidRDefault="00C02543" w:rsidP="004F46C8">
      <w:pPr>
        <w:rPr>
          <w:rFonts w:ascii="Times New Roman" w:hAnsi="Times New Roman" w:cs="Times New Roman"/>
          <w:sz w:val="24"/>
          <w:szCs w:val="24"/>
        </w:rPr>
      </w:pPr>
    </w:p>
    <w:p w14:paraId="74460BD3" w14:textId="77777777" w:rsidR="00C02543" w:rsidRDefault="00C02543" w:rsidP="004F46C8">
      <w:pPr>
        <w:rPr>
          <w:rFonts w:ascii="Times New Roman" w:hAnsi="Times New Roman" w:cs="Times New Roman"/>
          <w:sz w:val="24"/>
          <w:szCs w:val="24"/>
        </w:rPr>
      </w:pPr>
    </w:p>
    <w:p w14:paraId="3A832CC8" w14:textId="77777777" w:rsidR="00C02543" w:rsidRDefault="00C02543" w:rsidP="00C02543">
      <w:pPr>
        <w:jc w:val="center"/>
        <w:rPr>
          <w:rFonts w:ascii="Times New Roman" w:hAnsi="Times New Roman" w:cs="Times New Roman"/>
          <w:b/>
          <w:sz w:val="24"/>
          <w:szCs w:val="24"/>
        </w:rPr>
      </w:pPr>
    </w:p>
    <w:p w14:paraId="5559CABF" w14:textId="77777777" w:rsidR="00C02543" w:rsidRDefault="00C02543" w:rsidP="00C02543">
      <w:pPr>
        <w:jc w:val="center"/>
        <w:rPr>
          <w:rFonts w:ascii="Times New Roman" w:hAnsi="Times New Roman" w:cs="Times New Roman"/>
          <w:b/>
          <w:sz w:val="24"/>
          <w:szCs w:val="24"/>
        </w:rPr>
      </w:pPr>
    </w:p>
    <w:p w14:paraId="70C3F646" w14:textId="77777777" w:rsidR="00C02543" w:rsidRDefault="00C02543" w:rsidP="00C02543">
      <w:pPr>
        <w:jc w:val="center"/>
        <w:rPr>
          <w:rFonts w:ascii="Times New Roman" w:hAnsi="Times New Roman" w:cs="Times New Roman"/>
          <w:b/>
          <w:sz w:val="24"/>
          <w:szCs w:val="24"/>
        </w:rPr>
      </w:pPr>
    </w:p>
    <w:p w14:paraId="28CBC30F" w14:textId="77777777" w:rsidR="00C02543" w:rsidRDefault="00C02543" w:rsidP="00C02543">
      <w:pPr>
        <w:jc w:val="center"/>
        <w:rPr>
          <w:rFonts w:ascii="Times New Roman" w:hAnsi="Times New Roman" w:cs="Times New Roman"/>
          <w:b/>
          <w:sz w:val="24"/>
          <w:szCs w:val="24"/>
        </w:rPr>
      </w:pPr>
    </w:p>
    <w:p w14:paraId="4C8513E1" w14:textId="6552F4B8" w:rsidR="00C02543" w:rsidRPr="00A60B21" w:rsidRDefault="00C02543" w:rsidP="00C02543">
      <w:pPr>
        <w:jc w:val="center"/>
        <w:rPr>
          <w:rFonts w:ascii="Times New Roman" w:hAnsi="Times New Roman" w:cs="Times New Roman"/>
          <w:b/>
          <w:sz w:val="24"/>
          <w:szCs w:val="24"/>
        </w:rPr>
      </w:pPr>
      <w:r w:rsidRPr="00A60B21">
        <w:rPr>
          <w:rFonts w:ascii="Times New Roman" w:hAnsi="Times New Roman" w:cs="Times New Roman"/>
          <w:b/>
          <w:sz w:val="24"/>
          <w:szCs w:val="24"/>
        </w:rPr>
        <w:t xml:space="preserve">ATTACHMENT </w:t>
      </w:r>
      <w:r>
        <w:rPr>
          <w:rFonts w:ascii="Times New Roman" w:hAnsi="Times New Roman" w:cs="Times New Roman"/>
          <w:b/>
          <w:sz w:val="24"/>
          <w:szCs w:val="24"/>
        </w:rPr>
        <w:t xml:space="preserve">B </w:t>
      </w:r>
      <w:r w:rsidRPr="00A60B21">
        <w:rPr>
          <w:rFonts w:ascii="Times New Roman" w:hAnsi="Times New Roman" w:cs="Times New Roman"/>
          <w:b/>
          <w:sz w:val="24"/>
          <w:szCs w:val="24"/>
        </w:rPr>
        <w:t>TO BAYREN AL-9-E</w:t>
      </w:r>
    </w:p>
    <w:p w14:paraId="3E4086ED" w14:textId="77777777" w:rsidR="00C02543" w:rsidRPr="00C02543" w:rsidRDefault="00C02543" w:rsidP="004F46C8">
      <w:pPr>
        <w:rPr>
          <w:rFonts w:ascii="Times New Roman" w:hAnsi="Times New Roman" w:cs="Times New Roman"/>
          <w:b/>
          <w:sz w:val="24"/>
          <w:szCs w:val="24"/>
        </w:rPr>
      </w:pPr>
    </w:p>
    <w:sectPr w:rsidR="00C02543" w:rsidRPr="00C02543" w:rsidSect="00AC6588">
      <w:headerReference w:type="even" r:id="rId18"/>
      <w:head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6EBA0" w14:textId="77777777" w:rsidR="00933B5B" w:rsidRDefault="00933B5B" w:rsidP="006B09F8">
      <w:r>
        <w:separator/>
      </w:r>
    </w:p>
  </w:endnote>
  <w:endnote w:type="continuationSeparator" w:id="0">
    <w:p w14:paraId="67D09F12" w14:textId="77777777" w:rsidR="00933B5B" w:rsidRDefault="00933B5B" w:rsidP="006B09F8">
      <w:r>
        <w:continuationSeparator/>
      </w:r>
    </w:p>
  </w:endnote>
  <w:endnote w:type="continuationNotice" w:id="1">
    <w:p w14:paraId="687C851D" w14:textId="77777777" w:rsidR="00933B5B" w:rsidRDefault="00933B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013BE" w14:textId="77777777" w:rsidR="00E77C19" w:rsidRDefault="00E77C19" w:rsidP="00E77C19">
    <w:pPr>
      <w:pStyle w:val="address"/>
    </w:pPr>
    <w:r w:rsidRPr="0022224F">
      <w:t xml:space="preserve">375 Beale </w:t>
    </w:r>
    <w:proofErr w:type="gramStart"/>
    <w:r w:rsidRPr="0022224F">
      <w:t xml:space="preserve">Street </w:t>
    </w:r>
    <w:r w:rsidRPr="0022224F">
      <w:rPr>
        <w:b/>
        <w:position w:val="6"/>
      </w:rPr>
      <w:t>.</w:t>
    </w:r>
    <w:proofErr w:type="gramEnd"/>
    <w:r w:rsidRPr="0022224F">
      <w:rPr>
        <w:b/>
        <w:position w:val="6"/>
      </w:rPr>
      <w:t xml:space="preserve"> </w:t>
    </w:r>
    <w:r>
      <w:t>San Francisco, CA 94105-</w:t>
    </w:r>
    <w:proofErr w:type="gramStart"/>
    <w:r>
      <w:t xml:space="preserve">2066 </w:t>
    </w:r>
    <w:r w:rsidRPr="0022224F">
      <w:rPr>
        <w:b/>
        <w:position w:val="6"/>
      </w:rPr>
      <w:t>.</w:t>
    </w:r>
    <w:proofErr w:type="gramEnd"/>
    <w:r w:rsidRPr="0022224F">
      <w:rPr>
        <w:b/>
        <w:position w:val="6"/>
      </w:rPr>
      <w:t xml:space="preserve"> </w:t>
    </w:r>
    <w:r>
      <w:rPr>
        <w:b/>
        <w:position w:val="6"/>
      </w:rPr>
      <w:t xml:space="preserve"> </w:t>
    </w:r>
    <w:r>
      <w:t>(866) 876-</w:t>
    </w:r>
    <w:proofErr w:type="gramStart"/>
    <w:r>
      <w:t xml:space="preserve">6009 </w:t>
    </w:r>
    <w:r w:rsidRPr="0022224F">
      <w:rPr>
        <w:b/>
        <w:position w:val="6"/>
      </w:rPr>
      <w:t>.</w:t>
    </w:r>
    <w:proofErr w:type="gramEnd"/>
    <w:r w:rsidRPr="0022224F">
      <w:rPr>
        <w:b/>
        <w:position w:val="6"/>
      </w:rPr>
      <w:t xml:space="preserve"> </w:t>
    </w:r>
    <w:r w:rsidRPr="0022224F">
      <w:t xml:space="preserve"> www.BayREN.org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B0068" w14:textId="77777777" w:rsidR="00933B5B" w:rsidRDefault="00933B5B" w:rsidP="006B09F8">
      <w:r>
        <w:separator/>
      </w:r>
    </w:p>
  </w:footnote>
  <w:footnote w:type="continuationSeparator" w:id="0">
    <w:p w14:paraId="3EAA57D8" w14:textId="77777777" w:rsidR="00933B5B" w:rsidRDefault="00933B5B" w:rsidP="006B09F8">
      <w:r>
        <w:continuationSeparator/>
      </w:r>
    </w:p>
  </w:footnote>
  <w:footnote w:type="continuationNotice" w:id="1">
    <w:p w14:paraId="0F5694CE" w14:textId="77777777" w:rsidR="00933B5B" w:rsidRDefault="00933B5B">
      <w:pPr>
        <w:spacing w:after="0"/>
      </w:pPr>
    </w:p>
  </w:footnote>
  <w:footnote w:id="2">
    <w:p w14:paraId="079CD54D" w14:textId="77777777" w:rsidR="008F0356" w:rsidRDefault="008F0356" w:rsidP="008F0356">
      <w:pPr>
        <w:pStyle w:val="FootnoteText"/>
      </w:pPr>
      <w:r>
        <w:rPr>
          <w:rStyle w:val="FootnoteReference"/>
        </w:rPr>
        <w:footnoteRef/>
      </w:r>
      <w:r>
        <w:t xml:space="preserve"> On July 1, 2017 ABAG underwent a staff consolidation with the Metropolitan Transportation Commission (MTC).  ABAG and its Executive Board continue to exist and to implement programs, such as BayREN. </w:t>
      </w:r>
    </w:p>
  </w:footnote>
  <w:footnote w:id="3">
    <w:p w14:paraId="26AFA50B" w14:textId="77777777" w:rsidR="008F0356" w:rsidRDefault="008F0356" w:rsidP="008F0356">
      <w:pPr>
        <w:pStyle w:val="FootnoteText"/>
      </w:pPr>
      <w:r>
        <w:rPr>
          <w:rStyle w:val="FootnoteReference"/>
        </w:rPr>
        <w:footnoteRef/>
      </w:r>
      <w:r>
        <w:t xml:space="preserve"> D.14-10-046 at page 31.</w:t>
      </w:r>
    </w:p>
  </w:footnote>
  <w:footnote w:id="4">
    <w:p w14:paraId="3B5B6812" w14:textId="77777777" w:rsidR="008F0356" w:rsidRDefault="008F0356" w:rsidP="008F0356">
      <w:pPr>
        <w:pStyle w:val="FootnoteText"/>
      </w:pPr>
      <w:r>
        <w:rPr>
          <w:rStyle w:val="FootnoteReference"/>
        </w:rPr>
        <w:footnoteRef/>
      </w:r>
      <w:r>
        <w:t xml:space="preserve"> D.13-09-044, Ordering Paragraph 22.</w:t>
      </w:r>
    </w:p>
  </w:footnote>
  <w:footnote w:id="5">
    <w:p w14:paraId="3CB4428C" w14:textId="77777777" w:rsidR="008F0356" w:rsidRDefault="008F0356" w:rsidP="008F0356">
      <w:pPr>
        <w:pStyle w:val="FootnoteText"/>
      </w:pPr>
      <w:r>
        <w:rPr>
          <w:rStyle w:val="FootnoteReference"/>
        </w:rPr>
        <w:footnoteRef/>
      </w:r>
      <w:r>
        <w:t xml:space="preserve"> D.16-08-019 at page 10.</w:t>
      </w:r>
    </w:p>
  </w:footnote>
  <w:footnote w:id="6">
    <w:p w14:paraId="6A69BDB0" w14:textId="77777777" w:rsidR="008F0356" w:rsidRDefault="008F0356" w:rsidP="008F0356">
      <w:pPr>
        <w:pStyle w:val="FootnoteText"/>
      </w:pPr>
      <w:r>
        <w:rPr>
          <w:rStyle w:val="FootnoteReference"/>
        </w:rPr>
        <w:footnoteRef/>
      </w:r>
      <w:r>
        <w:t xml:space="preserve"> D.15-10-028, at pages 59-60.</w:t>
      </w:r>
    </w:p>
  </w:footnote>
  <w:footnote w:id="7">
    <w:p w14:paraId="759EF80E" w14:textId="77777777" w:rsidR="00B11B23" w:rsidRDefault="00B11B23">
      <w:pPr>
        <w:pStyle w:val="FootnoteText"/>
      </w:pPr>
      <w:r>
        <w:rPr>
          <w:rStyle w:val="FootnoteReference"/>
        </w:rPr>
        <w:footnoteRef/>
      </w:r>
      <w:r>
        <w:t xml:space="preserve"> D.18-04-041, pp 123-129.</w:t>
      </w:r>
    </w:p>
  </w:footnote>
  <w:footnote w:id="8">
    <w:p w14:paraId="6897FF37" w14:textId="77777777" w:rsidR="00A96718" w:rsidRDefault="00A96718" w:rsidP="00A96718">
      <w:pPr>
        <w:pStyle w:val="FootnoteText"/>
      </w:pPr>
      <w:r>
        <w:rPr>
          <w:rStyle w:val="FootnoteReference"/>
        </w:rPr>
        <w:footnoteRef/>
      </w:r>
      <w:r>
        <w:t xml:space="preserve"> Households with annual income range of $48,000 – 125,000.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2F39" w14:textId="77777777" w:rsidR="00A5465B" w:rsidRDefault="00D065C9">
    <w:pPr>
      <w:pStyle w:val="Header"/>
    </w:pPr>
    <w:r>
      <w:rPr>
        <w:noProof/>
      </w:rPr>
      <w:pict w14:anchorId="2D516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926422" o:spid="_x0000_s2058"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Open San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67551" w14:textId="77777777" w:rsidR="00A5465B" w:rsidRDefault="00D065C9">
    <w:pPr>
      <w:pStyle w:val="Header"/>
    </w:pPr>
    <w:r>
      <w:rPr>
        <w:noProof/>
      </w:rPr>
      <w:pict w14:anchorId="26B4C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926423" o:spid="_x0000_s2059"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Open San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111D" w14:textId="77777777" w:rsidR="00E77C19" w:rsidRDefault="00D065C9">
    <w:pPr>
      <w:pStyle w:val="Header"/>
    </w:pPr>
    <w:r>
      <w:rPr>
        <w:noProof/>
      </w:rPr>
      <w:pict w14:anchorId="004DB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926421" o:spid="_x0000_s205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Open Sans&quot;;font-size:1pt" string="DRAFT"/>
          <w10:wrap anchorx="margin" anchory="margin"/>
        </v:shape>
      </w:pict>
    </w:r>
    <w:r w:rsidR="00E77C19">
      <w:rPr>
        <w:noProof/>
      </w:rPr>
      <w:drawing>
        <wp:anchor distT="0" distB="0" distL="114300" distR="114300" simplePos="0" relativeHeight="251658243" behindDoc="1" locked="0" layoutInCell="1" allowOverlap="1" wp14:anchorId="40705F0B" wp14:editId="31FB0FE0">
          <wp:simplePos x="0" y="0"/>
          <wp:positionH relativeFrom="page">
            <wp:posOffset>2679065</wp:posOffset>
          </wp:positionH>
          <wp:positionV relativeFrom="paragraph">
            <wp:posOffset>-118745</wp:posOffset>
          </wp:positionV>
          <wp:extent cx="2313432" cy="121615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REN letterhead final.png"/>
                  <pic:cNvPicPr/>
                </pic:nvPicPr>
                <pic:blipFill>
                  <a:blip r:embed="rId1">
                    <a:extLst>
                      <a:ext uri="{28A0092B-C50C-407E-A947-70E740481C1C}">
                        <a14:useLocalDpi xmlns:a14="http://schemas.microsoft.com/office/drawing/2010/main" val="0"/>
                      </a:ext>
                    </a:extLst>
                  </a:blip>
                  <a:stretch>
                    <a:fillRect/>
                  </a:stretch>
                </pic:blipFill>
                <pic:spPr>
                  <a:xfrm>
                    <a:off x="0" y="0"/>
                    <a:ext cx="2313432" cy="1216152"/>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2A7A"/>
    <w:multiLevelType w:val="hybridMultilevel"/>
    <w:tmpl w:val="CDF4A42A"/>
    <w:lvl w:ilvl="0" w:tplc="68423188">
      <w:start w:val="1"/>
      <w:numFmt w:val="bullet"/>
      <w:lvlText w:val=""/>
      <w:lvlJc w:val="left"/>
      <w:pPr>
        <w:tabs>
          <w:tab w:val="num" w:pos="720"/>
        </w:tabs>
        <w:ind w:left="720" w:hanging="360"/>
      </w:pPr>
      <w:rPr>
        <w:rFonts w:ascii="Wingdings" w:hAnsi="Wingdings" w:hint="default"/>
      </w:rPr>
    </w:lvl>
    <w:lvl w:ilvl="1" w:tplc="A78AC76E">
      <w:start w:val="1"/>
      <w:numFmt w:val="bullet"/>
      <w:lvlText w:val=""/>
      <w:lvlJc w:val="left"/>
      <w:pPr>
        <w:tabs>
          <w:tab w:val="num" w:pos="1440"/>
        </w:tabs>
        <w:ind w:left="1440" w:hanging="360"/>
      </w:pPr>
      <w:rPr>
        <w:rFonts w:ascii="Wingdings" w:hAnsi="Wingdings" w:hint="default"/>
      </w:rPr>
    </w:lvl>
    <w:lvl w:ilvl="2" w:tplc="44B416A8" w:tentative="1">
      <w:start w:val="1"/>
      <w:numFmt w:val="bullet"/>
      <w:lvlText w:val=""/>
      <w:lvlJc w:val="left"/>
      <w:pPr>
        <w:tabs>
          <w:tab w:val="num" w:pos="2160"/>
        </w:tabs>
        <w:ind w:left="2160" w:hanging="360"/>
      </w:pPr>
      <w:rPr>
        <w:rFonts w:ascii="Wingdings" w:hAnsi="Wingdings" w:hint="default"/>
      </w:rPr>
    </w:lvl>
    <w:lvl w:ilvl="3" w:tplc="8468FB68" w:tentative="1">
      <w:start w:val="1"/>
      <w:numFmt w:val="bullet"/>
      <w:lvlText w:val=""/>
      <w:lvlJc w:val="left"/>
      <w:pPr>
        <w:tabs>
          <w:tab w:val="num" w:pos="2880"/>
        </w:tabs>
        <w:ind w:left="2880" w:hanging="360"/>
      </w:pPr>
      <w:rPr>
        <w:rFonts w:ascii="Wingdings" w:hAnsi="Wingdings" w:hint="default"/>
      </w:rPr>
    </w:lvl>
    <w:lvl w:ilvl="4" w:tplc="7040BFA6" w:tentative="1">
      <w:start w:val="1"/>
      <w:numFmt w:val="bullet"/>
      <w:lvlText w:val=""/>
      <w:lvlJc w:val="left"/>
      <w:pPr>
        <w:tabs>
          <w:tab w:val="num" w:pos="3600"/>
        </w:tabs>
        <w:ind w:left="3600" w:hanging="360"/>
      </w:pPr>
      <w:rPr>
        <w:rFonts w:ascii="Wingdings" w:hAnsi="Wingdings" w:hint="default"/>
      </w:rPr>
    </w:lvl>
    <w:lvl w:ilvl="5" w:tplc="E2685578" w:tentative="1">
      <w:start w:val="1"/>
      <w:numFmt w:val="bullet"/>
      <w:lvlText w:val=""/>
      <w:lvlJc w:val="left"/>
      <w:pPr>
        <w:tabs>
          <w:tab w:val="num" w:pos="4320"/>
        </w:tabs>
        <w:ind w:left="4320" w:hanging="360"/>
      </w:pPr>
      <w:rPr>
        <w:rFonts w:ascii="Wingdings" w:hAnsi="Wingdings" w:hint="default"/>
      </w:rPr>
    </w:lvl>
    <w:lvl w:ilvl="6" w:tplc="2D987278" w:tentative="1">
      <w:start w:val="1"/>
      <w:numFmt w:val="bullet"/>
      <w:lvlText w:val=""/>
      <w:lvlJc w:val="left"/>
      <w:pPr>
        <w:tabs>
          <w:tab w:val="num" w:pos="5040"/>
        </w:tabs>
        <w:ind w:left="5040" w:hanging="360"/>
      </w:pPr>
      <w:rPr>
        <w:rFonts w:ascii="Wingdings" w:hAnsi="Wingdings" w:hint="default"/>
      </w:rPr>
    </w:lvl>
    <w:lvl w:ilvl="7" w:tplc="CBD8D1A6" w:tentative="1">
      <w:start w:val="1"/>
      <w:numFmt w:val="bullet"/>
      <w:lvlText w:val=""/>
      <w:lvlJc w:val="left"/>
      <w:pPr>
        <w:tabs>
          <w:tab w:val="num" w:pos="5760"/>
        </w:tabs>
        <w:ind w:left="5760" w:hanging="360"/>
      </w:pPr>
      <w:rPr>
        <w:rFonts w:ascii="Wingdings" w:hAnsi="Wingdings" w:hint="default"/>
      </w:rPr>
    </w:lvl>
    <w:lvl w:ilvl="8" w:tplc="73FCEE20" w:tentative="1">
      <w:start w:val="1"/>
      <w:numFmt w:val="bullet"/>
      <w:lvlText w:val=""/>
      <w:lvlJc w:val="left"/>
      <w:pPr>
        <w:tabs>
          <w:tab w:val="num" w:pos="6480"/>
        </w:tabs>
        <w:ind w:left="6480" w:hanging="360"/>
      </w:pPr>
      <w:rPr>
        <w:rFonts w:ascii="Wingdings" w:hAnsi="Wingdings" w:hint="default"/>
      </w:rPr>
    </w:lvl>
  </w:abstractNum>
  <w:abstractNum w:abstractNumId="1">
    <w:nsid w:val="0A273BDD"/>
    <w:multiLevelType w:val="hybridMultilevel"/>
    <w:tmpl w:val="0E344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1AE778A">
      <w:numFmt w:val="bullet"/>
      <w:lvlText w:val="-"/>
      <w:lvlJc w:val="left"/>
      <w:pPr>
        <w:ind w:left="2340" w:hanging="360"/>
      </w:pPr>
      <w:rPr>
        <w:rFonts w:ascii="Calibri" w:eastAsia="Times New Roman"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35E0C"/>
    <w:multiLevelType w:val="hybridMultilevel"/>
    <w:tmpl w:val="5D04D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F56CE"/>
    <w:multiLevelType w:val="hybridMultilevel"/>
    <w:tmpl w:val="C69A9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D4033"/>
    <w:multiLevelType w:val="hybridMultilevel"/>
    <w:tmpl w:val="2812A7EA"/>
    <w:lvl w:ilvl="0" w:tplc="3B86D05E">
      <w:start w:val="1"/>
      <w:numFmt w:val="bullet"/>
      <w:lvlText w:val=""/>
      <w:lvlJc w:val="left"/>
      <w:pPr>
        <w:tabs>
          <w:tab w:val="num" w:pos="720"/>
        </w:tabs>
        <w:ind w:left="720" w:hanging="360"/>
      </w:pPr>
      <w:rPr>
        <w:rFonts w:ascii="Wingdings" w:hAnsi="Wingdings" w:hint="default"/>
      </w:rPr>
    </w:lvl>
    <w:lvl w:ilvl="1" w:tplc="401CF60E" w:tentative="1">
      <w:start w:val="1"/>
      <w:numFmt w:val="bullet"/>
      <w:lvlText w:val=""/>
      <w:lvlJc w:val="left"/>
      <w:pPr>
        <w:tabs>
          <w:tab w:val="num" w:pos="1440"/>
        </w:tabs>
        <w:ind w:left="1440" w:hanging="360"/>
      </w:pPr>
      <w:rPr>
        <w:rFonts w:ascii="Wingdings" w:hAnsi="Wingdings" w:hint="default"/>
      </w:rPr>
    </w:lvl>
    <w:lvl w:ilvl="2" w:tplc="122451DC" w:tentative="1">
      <w:start w:val="1"/>
      <w:numFmt w:val="bullet"/>
      <w:lvlText w:val=""/>
      <w:lvlJc w:val="left"/>
      <w:pPr>
        <w:tabs>
          <w:tab w:val="num" w:pos="2160"/>
        </w:tabs>
        <w:ind w:left="2160" w:hanging="360"/>
      </w:pPr>
      <w:rPr>
        <w:rFonts w:ascii="Wingdings" w:hAnsi="Wingdings" w:hint="default"/>
      </w:rPr>
    </w:lvl>
    <w:lvl w:ilvl="3" w:tplc="F4DE9B5E" w:tentative="1">
      <w:start w:val="1"/>
      <w:numFmt w:val="bullet"/>
      <w:lvlText w:val=""/>
      <w:lvlJc w:val="left"/>
      <w:pPr>
        <w:tabs>
          <w:tab w:val="num" w:pos="2880"/>
        </w:tabs>
        <w:ind w:left="2880" w:hanging="360"/>
      </w:pPr>
      <w:rPr>
        <w:rFonts w:ascii="Wingdings" w:hAnsi="Wingdings" w:hint="default"/>
      </w:rPr>
    </w:lvl>
    <w:lvl w:ilvl="4" w:tplc="0D6E8D12" w:tentative="1">
      <w:start w:val="1"/>
      <w:numFmt w:val="bullet"/>
      <w:lvlText w:val=""/>
      <w:lvlJc w:val="left"/>
      <w:pPr>
        <w:tabs>
          <w:tab w:val="num" w:pos="3600"/>
        </w:tabs>
        <w:ind w:left="3600" w:hanging="360"/>
      </w:pPr>
      <w:rPr>
        <w:rFonts w:ascii="Wingdings" w:hAnsi="Wingdings" w:hint="default"/>
      </w:rPr>
    </w:lvl>
    <w:lvl w:ilvl="5" w:tplc="5584309E" w:tentative="1">
      <w:start w:val="1"/>
      <w:numFmt w:val="bullet"/>
      <w:lvlText w:val=""/>
      <w:lvlJc w:val="left"/>
      <w:pPr>
        <w:tabs>
          <w:tab w:val="num" w:pos="4320"/>
        </w:tabs>
        <w:ind w:left="4320" w:hanging="360"/>
      </w:pPr>
      <w:rPr>
        <w:rFonts w:ascii="Wingdings" w:hAnsi="Wingdings" w:hint="default"/>
      </w:rPr>
    </w:lvl>
    <w:lvl w:ilvl="6" w:tplc="AD308026" w:tentative="1">
      <w:start w:val="1"/>
      <w:numFmt w:val="bullet"/>
      <w:lvlText w:val=""/>
      <w:lvlJc w:val="left"/>
      <w:pPr>
        <w:tabs>
          <w:tab w:val="num" w:pos="5040"/>
        </w:tabs>
        <w:ind w:left="5040" w:hanging="360"/>
      </w:pPr>
      <w:rPr>
        <w:rFonts w:ascii="Wingdings" w:hAnsi="Wingdings" w:hint="default"/>
      </w:rPr>
    </w:lvl>
    <w:lvl w:ilvl="7" w:tplc="8EB2CA2E" w:tentative="1">
      <w:start w:val="1"/>
      <w:numFmt w:val="bullet"/>
      <w:lvlText w:val=""/>
      <w:lvlJc w:val="left"/>
      <w:pPr>
        <w:tabs>
          <w:tab w:val="num" w:pos="5760"/>
        </w:tabs>
        <w:ind w:left="5760" w:hanging="360"/>
      </w:pPr>
      <w:rPr>
        <w:rFonts w:ascii="Wingdings" w:hAnsi="Wingdings" w:hint="default"/>
      </w:rPr>
    </w:lvl>
    <w:lvl w:ilvl="8" w:tplc="005AC0BA" w:tentative="1">
      <w:start w:val="1"/>
      <w:numFmt w:val="bullet"/>
      <w:lvlText w:val=""/>
      <w:lvlJc w:val="left"/>
      <w:pPr>
        <w:tabs>
          <w:tab w:val="num" w:pos="6480"/>
        </w:tabs>
        <w:ind w:left="6480" w:hanging="360"/>
      </w:pPr>
      <w:rPr>
        <w:rFonts w:ascii="Wingdings" w:hAnsi="Wingdings" w:hint="default"/>
      </w:rPr>
    </w:lvl>
  </w:abstractNum>
  <w:abstractNum w:abstractNumId="5">
    <w:nsid w:val="4EB41028"/>
    <w:multiLevelType w:val="hybridMultilevel"/>
    <w:tmpl w:val="F638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CAB5ADB"/>
    <w:multiLevelType w:val="hybridMultilevel"/>
    <w:tmpl w:val="A9E4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05EC6"/>
    <w:multiLevelType w:val="hybridMultilevel"/>
    <w:tmpl w:val="BBC63D04"/>
    <w:lvl w:ilvl="0" w:tplc="F610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B3221F"/>
    <w:multiLevelType w:val="hybridMultilevel"/>
    <w:tmpl w:val="68CCB32E"/>
    <w:lvl w:ilvl="0" w:tplc="78748EE2">
      <w:start w:val="1"/>
      <w:numFmt w:val="bullet"/>
      <w:lvlText w:val=""/>
      <w:lvlJc w:val="left"/>
      <w:pPr>
        <w:tabs>
          <w:tab w:val="num" w:pos="720"/>
        </w:tabs>
        <w:ind w:left="720" w:hanging="360"/>
      </w:pPr>
      <w:rPr>
        <w:rFonts w:ascii="Wingdings" w:hAnsi="Wingdings" w:hint="default"/>
      </w:rPr>
    </w:lvl>
    <w:lvl w:ilvl="1" w:tplc="191EDFE6" w:tentative="1">
      <w:start w:val="1"/>
      <w:numFmt w:val="bullet"/>
      <w:lvlText w:val=""/>
      <w:lvlJc w:val="left"/>
      <w:pPr>
        <w:tabs>
          <w:tab w:val="num" w:pos="1440"/>
        </w:tabs>
        <w:ind w:left="1440" w:hanging="360"/>
      </w:pPr>
      <w:rPr>
        <w:rFonts w:ascii="Wingdings" w:hAnsi="Wingdings" w:hint="default"/>
      </w:rPr>
    </w:lvl>
    <w:lvl w:ilvl="2" w:tplc="0A023900" w:tentative="1">
      <w:start w:val="1"/>
      <w:numFmt w:val="bullet"/>
      <w:lvlText w:val=""/>
      <w:lvlJc w:val="left"/>
      <w:pPr>
        <w:tabs>
          <w:tab w:val="num" w:pos="2160"/>
        </w:tabs>
        <w:ind w:left="2160" w:hanging="360"/>
      </w:pPr>
      <w:rPr>
        <w:rFonts w:ascii="Wingdings" w:hAnsi="Wingdings" w:hint="default"/>
      </w:rPr>
    </w:lvl>
    <w:lvl w:ilvl="3" w:tplc="20E071B2" w:tentative="1">
      <w:start w:val="1"/>
      <w:numFmt w:val="bullet"/>
      <w:lvlText w:val=""/>
      <w:lvlJc w:val="left"/>
      <w:pPr>
        <w:tabs>
          <w:tab w:val="num" w:pos="2880"/>
        </w:tabs>
        <w:ind w:left="2880" w:hanging="360"/>
      </w:pPr>
      <w:rPr>
        <w:rFonts w:ascii="Wingdings" w:hAnsi="Wingdings" w:hint="default"/>
      </w:rPr>
    </w:lvl>
    <w:lvl w:ilvl="4" w:tplc="4E4AE6D6" w:tentative="1">
      <w:start w:val="1"/>
      <w:numFmt w:val="bullet"/>
      <w:lvlText w:val=""/>
      <w:lvlJc w:val="left"/>
      <w:pPr>
        <w:tabs>
          <w:tab w:val="num" w:pos="3600"/>
        </w:tabs>
        <w:ind w:left="3600" w:hanging="360"/>
      </w:pPr>
      <w:rPr>
        <w:rFonts w:ascii="Wingdings" w:hAnsi="Wingdings" w:hint="default"/>
      </w:rPr>
    </w:lvl>
    <w:lvl w:ilvl="5" w:tplc="6726922E" w:tentative="1">
      <w:start w:val="1"/>
      <w:numFmt w:val="bullet"/>
      <w:lvlText w:val=""/>
      <w:lvlJc w:val="left"/>
      <w:pPr>
        <w:tabs>
          <w:tab w:val="num" w:pos="4320"/>
        </w:tabs>
        <w:ind w:left="4320" w:hanging="360"/>
      </w:pPr>
      <w:rPr>
        <w:rFonts w:ascii="Wingdings" w:hAnsi="Wingdings" w:hint="default"/>
      </w:rPr>
    </w:lvl>
    <w:lvl w:ilvl="6" w:tplc="60760CB2" w:tentative="1">
      <w:start w:val="1"/>
      <w:numFmt w:val="bullet"/>
      <w:lvlText w:val=""/>
      <w:lvlJc w:val="left"/>
      <w:pPr>
        <w:tabs>
          <w:tab w:val="num" w:pos="5040"/>
        </w:tabs>
        <w:ind w:left="5040" w:hanging="360"/>
      </w:pPr>
      <w:rPr>
        <w:rFonts w:ascii="Wingdings" w:hAnsi="Wingdings" w:hint="default"/>
      </w:rPr>
    </w:lvl>
    <w:lvl w:ilvl="7" w:tplc="4A46F4B8" w:tentative="1">
      <w:start w:val="1"/>
      <w:numFmt w:val="bullet"/>
      <w:lvlText w:val=""/>
      <w:lvlJc w:val="left"/>
      <w:pPr>
        <w:tabs>
          <w:tab w:val="num" w:pos="5760"/>
        </w:tabs>
        <w:ind w:left="5760" w:hanging="360"/>
      </w:pPr>
      <w:rPr>
        <w:rFonts w:ascii="Wingdings" w:hAnsi="Wingdings" w:hint="default"/>
      </w:rPr>
    </w:lvl>
    <w:lvl w:ilvl="8" w:tplc="02F4B750" w:tentative="1">
      <w:start w:val="1"/>
      <w:numFmt w:val="bullet"/>
      <w:lvlText w:val=""/>
      <w:lvlJc w:val="left"/>
      <w:pPr>
        <w:tabs>
          <w:tab w:val="num" w:pos="6480"/>
        </w:tabs>
        <w:ind w:left="6480" w:hanging="360"/>
      </w:pPr>
      <w:rPr>
        <w:rFonts w:ascii="Wingdings" w:hAnsi="Wingdings" w:hint="default"/>
      </w:rPr>
    </w:lvl>
  </w:abstractNum>
  <w:abstractNum w:abstractNumId="9">
    <w:nsid w:val="7A9E56A1"/>
    <w:multiLevelType w:val="hybridMultilevel"/>
    <w:tmpl w:val="68F0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F7EB1"/>
    <w:multiLevelType w:val="hybridMultilevel"/>
    <w:tmpl w:val="604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0"/>
  </w:num>
  <w:num w:numId="6">
    <w:abstractNumId w:val="10"/>
  </w:num>
  <w:num w:numId="7">
    <w:abstractNumId w:val="4"/>
  </w:num>
  <w:num w:numId="8">
    <w:abstractNumId w:val="8"/>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19"/>
    <w:rsid w:val="000415C0"/>
    <w:rsid w:val="00091649"/>
    <w:rsid w:val="000A0A9D"/>
    <w:rsid w:val="000B0423"/>
    <w:rsid w:val="000F7FCC"/>
    <w:rsid w:val="00104126"/>
    <w:rsid w:val="001110B4"/>
    <w:rsid w:val="00116E12"/>
    <w:rsid w:val="00141364"/>
    <w:rsid w:val="001444D1"/>
    <w:rsid w:val="0022224F"/>
    <w:rsid w:val="00242B9C"/>
    <w:rsid w:val="00255675"/>
    <w:rsid w:val="00272D39"/>
    <w:rsid w:val="002C7C6A"/>
    <w:rsid w:val="002E446E"/>
    <w:rsid w:val="00340687"/>
    <w:rsid w:val="003625C2"/>
    <w:rsid w:val="00376B43"/>
    <w:rsid w:val="00394839"/>
    <w:rsid w:val="003C260C"/>
    <w:rsid w:val="00422A8A"/>
    <w:rsid w:val="00444192"/>
    <w:rsid w:val="00450C82"/>
    <w:rsid w:val="00455DD8"/>
    <w:rsid w:val="00461B4D"/>
    <w:rsid w:val="00473216"/>
    <w:rsid w:val="00476E86"/>
    <w:rsid w:val="00495EFB"/>
    <w:rsid w:val="004F46C8"/>
    <w:rsid w:val="004F470F"/>
    <w:rsid w:val="00513900"/>
    <w:rsid w:val="005168A3"/>
    <w:rsid w:val="00542285"/>
    <w:rsid w:val="00566720"/>
    <w:rsid w:val="00570285"/>
    <w:rsid w:val="0059651A"/>
    <w:rsid w:val="005A0DA0"/>
    <w:rsid w:val="005A1608"/>
    <w:rsid w:val="005A1B1F"/>
    <w:rsid w:val="005A5AFA"/>
    <w:rsid w:val="005A6FA4"/>
    <w:rsid w:val="005F253E"/>
    <w:rsid w:val="005F60C5"/>
    <w:rsid w:val="00666115"/>
    <w:rsid w:val="006B09F8"/>
    <w:rsid w:val="00780547"/>
    <w:rsid w:val="007A06FC"/>
    <w:rsid w:val="007C210F"/>
    <w:rsid w:val="007C3E3F"/>
    <w:rsid w:val="007D215B"/>
    <w:rsid w:val="007D2777"/>
    <w:rsid w:val="00822662"/>
    <w:rsid w:val="00866CEB"/>
    <w:rsid w:val="008A0DB6"/>
    <w:rsid w:val="008F0356"/>
    <w:rsid w:val="00930258"/>
    <w:rsid w:val="00933B5B"/>
    <w:rsid w:val="00961EF9"/>
    <w:rsid w:val="00985BD1"/>
    <w:rsid w:val="009878D7"/>
    <w:rsid w:val="009937FE"/>
    <w:rsid w:val="009A6821"/>
    <w:rsid w:val="009D16D6"/>
    <w:rsid w:val="00A116A6"/>
    <w:rsid w:val="00A11E78"/>
    <w:rsid w:val="00A4069E"/>
    <w:rsid w:val="00A5465B"/>
    <w:rsid w:val="00A60B21"/>
    <w:rsid w:val="00A96718"/>
    <w:rsid w:val="00AC0FC4"/>
    <w:rsid w:val="00AC6588"/>
    <w:rsid w:val="00AE0478"/>
    <w:rsid w:val="00B11B23"/>
    <w:rsid w:val="00BB1058"/>
    <w:rsid w:val="00BB63E9"/>
    <w:rsid w:val="00C006A9"/>
    <w:rsid w:val="00C00F9D"/>
    <w:rsid w:val="00C02543"/>
    <w:rsid w:val="00C2200D"/>
    <w:rsid w:val="00C2538E"/>
    <w:rsid w:val="00C813B4"/>
    <w:rsid w:val="00C94FE4"/>
    <w:rsid w:val="00CA0B43"/>
    <w:rsid w:val="00CE37D6"/>
    <w:rsid w:val="00D04423"/>
    <w:rsid w:val="00D065C9"/>
    <w:rsid w:val="00D53DE3"/>
    <w:rsid w:val="00D61A1C"/>
    <w:rsid w:val="00DC7CBD"/>
    <w:rsid w:val="00DD6790"/>
    <w:rsid w:val="00E3537F"/>
    <w:rsid w:val="00E77C19"/>
    <w:rsid w:val="00E87908"/>
    <w:rsid w:val="00E94529"/>
    <w:rsid w:val="00EB6136"/>
    <w:rsid w:val="00EC58DE"/>
    <w:rsid w:val="00EE0C7E"/>
    <w:rsid w:val="00F1084B"/>
    <w:rsid w:val="00F24E7F"/>
    <w:rsid w:val="00F26DB1"/>
    <w:rsid w:val="00F94873"/>
    <w:rsid w:val="00FA1E44"/>
    <w:rsid w:val="00FA2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4361206"/>
  <w14:defaultImageDpi w14:val="300"/>
  <w15:docId w15:val="{EBEFA9F6-3C2F-4A6F-AB5E-CF3BDF70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F8"/>
    <w:pPr>
      <w:spacing w:after="240"/>
    </w:pPr>
    <w:rPr>
      <w:rFonts w:ascii="Open Sans" w:eastAsia="Times New Roman" w:hAnsi="Open Sans" w:cs="Arial"/>
      <w:color w:val="222222"/>
      <w:sz w:val="20"/>
      <w:szCs w:val="20"/>
    </w:rPr>
  </w:style>
  <w:style w:type="paragraph" w:styleId="Heading1">
    <w:name w:val="heading 1"/>
    <w:basedOn w:val="Normal"/>
    <w:next w:val="Normal"/>
    <w:link w:val="Heading1Char"/>
    <w:uiPriority w:val="9"/>
    <w:qFormat/>
    <w:rsid w:val="0022224F"/>
    <w:pPr>
      <w:keepNext/>
      <w:keepLines/>
      <w:spacing w:before="240" w:after="0"/>
      <w:outlineLvl w:val="0"/>
    </w:pPr>
    <w:rPr>
      <w:rFonts w:eastAsiaTheme="majorEastAsia" w:cstheme="majorBidi"/>
      <w:b/>
      <w:bCs/>
      <w:color w:val="335D86"/>
      <w:sz w:val="40"/>
      <w:szCs w:val="32"/>
    </w:rPr>
  </w:style>
  <w:style w:type="paragraph" w:styleId="Heading2">
    <w:name w:val="heading 2"/>
    <w:basedOn w:val="Normal"/>
    <w:next w:val="Normal"/>
    <w:link w:val="Heading2Char"/>
    <w:uiPriority w:val="9"/>
    <w:unhideWhenUsed/>
    <w:qFormat/>
    <w:rsid w:val="0022224F"/>
    <w:pPr>
      <w:keepNext/>
      <w:keepLines/>
      <w:spacing w:before="40" w:after="0"/>
      <w:outlineLvl w:val="1"/>
    </w:pPr>
    <w:rPr>
      <w:rFonts w:eastAsiaTheme="majorEastAsia" w:cstheme="majorBidi"/>
      <w:b/>
      <w:color w:val="4CA987"/>
      <w:sz w:val="32"/>
      <w:szCs w:val="26"/>
    </w:rPr>
  </w:style>
  <w:style w:type="paragraph" w:styleId="Heading3">
    <w:name w:val="heading 3"/>
    <w:basedOn w:val="Normal"/>
    <w:next w:val="Normal"/>
    <w:link w:val="Heading3Char"/>
    <w:uiPriority w:val="9"/>
    <w:unhideWhenUsed/>
    <w:qFormat/>
    <w:rsid w:val="00255675"/>
    <w:pPr>
      <w:keepNext/>
      <w:keepLines/>
      <w:spacing w:before="40" w:after="0"/>
      <w:outlineLvl w:val="2"/>
    </w:pPr>
    <w:rPr>
      <w:rFonts w:eastAsiaTheme="majorEastAsia" w:cstheme="majorBidi"/>
      <w:b/>
      <w:color w:val="7F7F7F" w:themeColor="text1" w:themeTint="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BD1"/>
    <w:pPr>
      <w:tabs>
        <w:tab w:val="center" w:pos="4320"/>
        <w:tab w:val="right" w:pos="8640"/>
      </w:tabs>
    </w:pPr>
    <w:rPr>
      <w:sz w:val="28"/>
    </w:rPr>
  </w:style>
  <w:style w:type="character" w:customStyle="1" w:styleId="HeaderChar">
    <w:name w:val="Header Char"/>
    <w:basedOn w:val="DefaultParagraphFont"/>
    <w:link w:val="Header"/>
    <w:uiPriority w:val="99"/>
    <w:rsid w:val="00985BD1"/>
    <w:rPr>
      <w:rFonts w:ascii="Open Sans" w:hAnsi="Open Sans"/>
      <w:sz w:val="28"/>
    </w:rPr>
  </w:style>
  <w:style w:type="paragraph" w:styleId="Footer">
    <w:name w:val="footer"/>
    <w:basedOn w:val="Normal"/>
    <w:link w:val="FooterChar"/>
    <w:uiPriority w:val="99"/>
    <w:unhideWhenUsed/>
    <w:rsid w:val="007D2777"/>
    <w:pPr>
      <w:tabs>
        <w:tab w:val="center" w:pos="4320"/>
        <w:tab w:val="right" w:pos="8640"/>
      </w:tabs>
    </w:pPr>
  </w:style>
  <w:style w:type="character" w:customStyle="1" w:styleId="FooterChar">
    <w:name w:val="Footer Char"/>
    <w:basedOn w:val="DefaultParagraphFont"/>
    <w:link w:val="Footer"/>
    <w:uiPriority w:val="99"/>
    <w:rsid w:val="007D2777"/>
  </w:style>
  <w:style w:type="paragraph" w:styleId="BalloonText">
    <w:name w:val="Balloon Text"/>
    <w:basedOn w:val="Normal"/>
    <w:link w:val="BalloonTextChar"/>
    <w:uiPriority w:val="99"/>
    <w:semiHidden/>
    <w:unhideWhenUsed/>
    <w:rsid w:val="00985BD1"/>
    <w:rPr>
      <w:i/>
      <w:iCs/>
      <w:sz w:val="18"/>
      <w:szCs w:val="18"/>
    </w:rPr>
  </w:style>
  <w:style w:type="character" w:customStyle="1" w:styleId="BalloonTextChar">
    <w:name w:val="Balloon Text Char"/>
    <w:basedOn w:val="DefaultParagraphFont"/>
    <w:link w:val="BalloonText"/>
    <w:uiPriority w:val="99"/>
    <w:semiHidden/>
    <w:rsid w:val="00985BD1"/>
    <w:rPr>
      <w:rFonts w:ascii="Open Sans" w:hAnsi="Open Sans"/>
      <w:i/>
      <w:iCs/>
      <w:sz w:val="18"/>
      <w:szCs w:val="18"/>
    </w:rPr>
  </w:style>
  <w:style w:type="character" w:customStyle="1" w:styleId="Heading1Char">
    <w:name w:val="Heading 1 Char"/>
    <w:basedOn w:val="DefaultParagraphFont"/>
    <w:link w:val="Heading1"/>
    <w:uiPriority w:val="9"/>
    <w:rsid w:val="0022224F"/>
    <w:rPr>
      <w:rFonts w:ascii="Open Sans" w:eastAsiaTheme="majorEastAsia" w:hAnsi="Open Sans" w:cstheme="majorBidi"/>
      <w:b/>
      <w:bCs/>
      <w:color w:val="335D86"/>
      <w:sz w:val="40"/>
      <w:szCs w:val="32"/>
    </w:rPr>
  </w:style>
  <w:style w:type="character" w:customStyle="1" w:styleId="Heading2Char">
    <w:name w:val="Heading 2 Char"/>
    <w:basedOn w:val="DefaultParagraphFont"/>
    <w:link w:val="Heading2"/>
    <w:uiPriority w:val="9"/>
    <w:rsid w:val="0022224F"/>
    <w:rPr>
      <w:rFonts w:ascii="Open Sans" w:eastAsiaTheme="majorEastAsia" w:hAnsi="Open Sans" w:cstheme="majorBidi"/>
      <w:b/>
      <w:color w:val="4CA987"/>
      <w:sz w:val="32"/>
      <w:szCs w:val="26"/>
    </w:rPr>
  </w:style>
  <w:style w:type="character" w:customStyle="1" w:styleId="Heading3Char">
    <w:name w:val="Heading 3 Char"/>
    <w:basedOn w:val="DefaultParagraphFont"/>
    <w:link w:val="Heading3"/>
    <w:uiPriority w:val="9"/>
    <w:rsid w:val="00255675"/>
    <w:rPr>
      <w:rFonts w:ascii="Open Sans" w:eastAsiaTheme="majorEastAsia" w:hAnsi="Open Sans" w:cstheme="majorBidi"/>
      <w:b/>
      <w:color w:val="7F7F7F" w:themeColor="text1" w:themeTint="80"/>
    </w:rPr>
  </w:style>
  <w:style w:type="paragraph" w:styleId="Title">
    <w:name w:val="Title"/>
    <w:basedOn w:val="Normal"/>
    <w:next w:val="Normal"/>
    <w:link w:val="TitleChar"/>
    <w:uiPriority w:val="10"/>
    <w:qFormat/>
    <w:rsid w:val="00985BD1"/>
    <w:pPr>
      <w:spacing w:after="0"/>
      <w:contextualSpacing/>
    </w:pPr>
    <w:rPr>
      <w:rFonts w:eastAsiaTheme="majorEastAsia" w:cstheme="majorBidi"/>
      <w:b/>
      <w:bCs/>
      <w:spacing w:val="-10"/>
      <w:kern w:val="28"/>
      <w:sz w:val="56"/>
      <w:szCs w:val="56"/>
    </w:rPr>
  </w:style>
  <w:style w:type="character" w:customStyle="1" w:styleId="TitleChar">
    <w:name w:val="Title Char"/>
    <w:basedOn w:val="DefaultParagraphFont"/>
    <w:link w:val="Title"/>
    <w:uiPriority w:val="10"/>
    <w:rsid w:val="00985BD1"/>
    <w:rPr>
      <w:rFonts w:ascii="Open Sans" w:eastAsiaTheme="majorEastAsia" w:hAnsi="Open Sans" w:cstheme="majorBidi"/>
      <w:b/>
      <w:bCs/>
      <w:spacing w:val="-10"/>
      <w:kern w:val="28"/>
      <w:sz w:val="56"/>
      <w:szCs w:val="56"/>
    </w:rPr>
  </w:style>
  <w:style w:type="paragraph" w:styleId="Subtitle">
    <w:name w:val="Subtitle"/>
    <w:basedOn w:val="Normal"/>
    <w:next w:val="Normal"/>
    <w:link w:val="SubtitleChar"/>
    <w:uiPriority w:val="11"/>
    <w:qFormat/>
    <w:rsid w:val="00985BD1"/>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985BD1"/>
    <w:rPr>
      <w:rFonts w:ascii="Open Sans" w:hAnsi="Open Sans"/>
      <w:color w:val="5A5A5A" w:themeColor="text1" w:themeTint="A5"/>
      <w:spacing w:val="15"/>
      <w:sz w:val="20"/>
      <w:szCs w:val="22"/>
    </w:rPr>
  </w:style>
  <w:style w:type="paragraph" w:styleId="ListParagraph">
    <w:name w:val="List Paragraph"/>
    <w:basedOn w:val="Normal"/>
    <w:uiPriority w:val="34"/>
    <w:qFormat/>
    <w:rsid w:val="00A11E78"/>
    <w:pPr>
      <w:spacing w:after="0"/>
      <w:ind w:left="720"/>
      <w:contextualSpacing/>
    </w:pPr>
    <w:rPr>
      <w:rFonts w:asciiTheme="minorHAnsi" w:eastAsiaTheme="minorHAnsi" w:hAnsiTheme="minorHAnsi"/>
      <w:sz w:val="24"/>
    </w:rPr>
  </w:style>
  <w:style w:type="paragraph" w:customStyle="1" w:styleId="address">
    <w:name w:val="address"/>
    <w:basedOn w:val="Footer"/>
    <w:qFormat/>
    <w:rsid w:val="0022224F"/>
    <w:pPr>
      <w:jc w:val="center"/>
    </w:pPr>
    <w:rPr>
      <w:color w:val="335D86"/>
      <w:w w:val="80"/>
      <w:sz w:val="16"/>
    </w:rPr>
  </w:style>
  <w:style w:type="paragraph" w:styleId="FootnoteText">
    <w:name w:val="footnote text"/>
    <w:basedOn w:val="Normal"/>
    <w:link w:val="FootnoteTextChar"/>
    <w:uiPriority w:val="99"/>
    <w:rsid w:val="008F0356"/>
    <w:pPr>
      <w:spacing w:after="0"/>
    </w:pPr>
    <w:rPr>
      <w:rFonts w:ascii="Times New Roman" w:hAnsi="Times New Roman" w:cs="Times New Roman"/>
      <w:color w:val="auto"/>
    </w:rPr>
  </w:style>
  <w:style w:type="character" w:customStyle="1" w:styleId="FootnoteTextChar">
    <w:name w:val="Footnote Text Char"/>
    <w:basedOn w:val="DefaultParagraphFont"/>
    <w:link w:val="FootnoteText"/>
    <w:uiPriority w:val="99"/>
    <w:rsid w:val="008F035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F0356"/>
    <w:rPr>
      <w:vertAlign w:val="superscript"/>
    </w:rPr>
  </w:style>
  <w:style w:type="character" w:customStyle="1" w:styleId="apple-converted-space">
    <w:name w:val="apple-converted-space"/>
    <w:basedOn w:val="DefaultParagraphFont"/>
    <w:rsid w:val="008F0356"/>
  </w:style>
  <w:style w:type="character" w:styleId="Hyperlink">
    <w:name w:val="Hyperlink"/>
    <w:basedOn w:val="DefaultParagraphFont"/>
    <w:rsid w:val="004F46C8"/>
    <w:rPr>
      <w:color w:val="0000FF"/>
      <w:u w:val="single"/>
    </w:rPr>
  </w:style>
  <w:style w:type="paragraph" w:customStyle="1" w:styleId="Default">
    <w:name w:val="Default"/>
    <w:rsid w:val="004F46C8"/>
    <w:pPr>
      <w:autoSpaceDE w:val="0"/>
      <w:autoSpaceDN w:val="0"/>
      <w:adjustRightInd w:val="0"/>
    </w:pPr>
    <w:rPr>
      <w:rFonts w:ascii="Calibri" w:eastAsia="Times New Roman" w:hAnsi="Calibri" w:cs="Calibri"/>
      <w:color w:val="000000"/>
    </w:rPr>
  </w:style>
  <w:style w:type="table" w:styleId="TableClassic1">
    <w:name w:val="Table Classic 1"/>
    <w:basedOn w:val="TableNormal"/>
    <w:rsid w:val="00822662"/>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2C7C6A"/>
    <w:rPr>
      <w:sz w:val="16"/>
      <w:szCs w:val="16"/>
    </w:rPr>
  </w:style>
  <w:style w:type="paragraph" w:styleId="CommentText">
    <w:name w:val="annotation text"/>
    <w:basedOn w:val="Normal"/>
    <w:link w:val="CommentTextChar"/>
    <w:uiPriority w:val="99"/>
    <w:semiHidden/>
    <w:unhideWhenUsed/>
    <w:rsid w:val="002C7C6A"/>
  </w:style>
  <w:style w:type="character" w:customStyle="1" w:styleId="CommentTextChar">
    <w:name w:val="Comment Text Char"/>
    <w:basedOn w:val="DefaultParagraphFont"/>
    <w:link w:val="CommentText"/>
    <w:uiPriority w:val="99"/>
    <w:semiHidden/>
    <w:rsid w:val="002C7C6A"/>
    <w:rPr>
      <w:rFonts w:ascii="Open Sans" w:eastAsia="Times New Roman" w:hAnsi="Open Sans" w:cs="Arial"/>
      <w:color w:val="222222"/>
      <w:sz w:val="20"/>
      <w:szCs w:val="20"/>
    </w:rPr>
  </w:style>
  <w:style w:type="paragraph" w:styleId="CommentSubject">
    <w:name w:val="annotation subject"/>
    <w:basedOn w:val="CommentText"/>
    <w:next w:val="CommentText"/>
    <w:link w:val="CommentSubjectChar"/>
    <w:uiPriority w:val="99"/>
    <w:semiHidden/>
    <w:unhideWhenUsed/>
    <w:rsid w:val="002C7C6A"/>
    <w:rPr>
      <w:b/>
      <w:bCs/>
    </w:rPr>
  </w:style>
  <w:style w:type="character" w:customStyle="1" w:styleId="CommentSubjectChar">
    <w:name w:val="Comment Subject Char"/>
    <w:basedOn w:val="CommentTextChar"/>
    <w:link w:val="CommentSubject"/>
    <w:uiPriority w:val="99"/>
    <w:semiHidden/>
    <w:rsid w:val="002C7C6A"/>
    <w:rPr>
      <w:rFonts w:ascii="Open Sans" w:eastAsia="Times New Roman" w:hAnsi="Open Sans" w:cs="Arial"/>
      <w:b/>
      <w:bCs/>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80292">
      <w:bodyDiv w:val="1"/>
      <w:marLeft w:val="0"/>
      <w:marRight w:val="0"/>
      <w:marTop w:val="0"/>
      <w:marBottom w:val="0"/>
      <w:divBdr>
        <w:top w:val="none" w:sz="0" w:space="0" w:color="auto"/>
        <w:left w:val="none" w:sz="0" w:space="0" w:color="auto"/>
        <w:bottom w:val="none" w:sz="0" w:space="0" w:color="auto"/>
        <w:right w:val="none" w:sz="0" w:space="0" w:color="auto"/>
      </w:divBdr>
    </w:div>
    <w:div w:id="564024699">
      <w:bodyDiv w:val="1"/>
      <w:marLeft w:val="0"/>
      <w:marRight w:val="0"/>
      <w:marTop w:val="0"/>
      <w:marBottom w:val="0"/>
      <w:divBdr>
        <w:top w:val="none" w:sz="0" w:space="0" w:color="auto"/>
        <w:left w:val="none" w:sz="0" w:space="0" w:color="auto"/>
        <w:bottom w:val="none" w:sz="0" w:space="0" w:color="auto"/>
        <w:right w:val="none" w:sz="0" w:space="0" w:color="auto"/>
      </w:divBdr>
    </w:div>
    <w:div w:id="565261124">
      <w:bodyDiv w:val="1"/>
      <w:marLeft w:val="0"/>
      <w:marRight w:val="0"/>
      <w:marTop w:val="0"/>
      <w:marBottom w:val="0"/>
      <w:divBdr>
        <w:top w:val="none" w:sz="0" w:space="0" w:color="auto"/>
        <w:left w:val="none" w:sz="0" w:space="0" w:color="auto"/>
        <w:bottom w:val="none" w:sz="0" w:space="0" w:color="auto"/>
        <w:right w:val="none" w:sz="0" w:space="0" w:color="auto"/>
      </w:divBdr>
    </w:div>
    <w:div w:id="682628225">
      <w:bodyDiv w:val="1"/>
      <w:marLeft w:val="0"/>
      <w:marRight w:val="0"/>
      <w:marTop w:val="0"/>
      <w:marBottom w:val="0"/>
      <w:divBdr>
        <w:top w:val="none" w:sz="0" w:space="0" w:color="auto"/>
        <w:left w:val="none" w:sz="0" w:space="0" w:color="auto"/>
        <w:bottom w:val="none" w:sz="0" w:space="0" w:color="auto"/>
        <w:right w:val="none" w:sz="0" w:space="0" w:color="auto"/>
      </w:divBdr>
    </w:div>
    <w:div w:id="808015967">
      <w:bodyDiv w:val="1"/>
      <w:marLeft w:val="0"/>
      <w:marRight w:val="0"/>
      <w:marTop w:val="0"/>
      <w:marBottom w:val="0"/>
      <w:divBdr>
        <w:top w:val="none" w:sz="0" w:space="0" w:color="auto"/>
        <w:left w:val="none" w:sz="0" w:space="0" w:color="auto"/>
        <w:bottom w:val="none" w:sz="0" w:space="0" w:color="auto"/>
        <w:right w:val="none" w:sz="0" w:space="0" w:color="auto"/>
      </w:divBdr>
    </w:div>
    <w:div w:id="999119831">
      <w:bodyDiv w:val="1"/>
      <w:marLeft w:val="0"/>
      <w:marRight w:val="0"/>
      <w:marTop w:val="0"/>
      <w:marBottom w:val="0"/>
      <w:divBdr>
        <w:top w:val="none" w:sz="0" w:space="0" w:color="auto"/>
        <w:left w:val="none" w:sz="0" w:space="0" w:color="auto"/>
        <w:bottom w:val="none" w:sz="0" w:space="0" w:color="auto"/>
        <w:right w:val="none" w:sz="0" w:space="0" w:color="auto"/>
      </w:divBdr>
    </w:div>
    <w:div w:id="1080299308">
      <w:bodyDiv w:val="1"/>
      <w:marLeft w:val="0"/>
      <w:marRight w:val="0"/>
      <w:marTop w:val="0"/>
      <w:marBottom w:val="0"/>
      <w:divBdr>
        <w:top w:val="none" w:sz="0" w:space="0" w:color="auto"/>
        <w:left w:val="none" w:sz="0" w:space="0" w:color="auto"/>
        <w:bottom w:val="none" w:sz="0" w:space="0" w:color="auto"/>
        <w:right w:val="none" w:sz="0" w:space="0" w:color="auto"/>
      </w:divBdr>
    </w:div>
    <w:div w:id="1134836764">
      <w:bodyDiv w:val="1"/>
      <w:marLeft w:val="0"/>
      <w:marRight w:val="0"/>
      <w:marTop w:val="0"/>
      <w:marBottom w:val="0"/>
      <w:divBdr>
        <w:top w:val="none" w:sz="0" w:space="0" w:color="auto"/>
        <w:left w:val="none" w:sz="0" w:space="0" w:color="auto"/>
        <w:bottom w:val="none" w:sz="0" w:space="0" w:color="auto"/>
        <w:right w:val="none" w:sz="0" w:space="0" w:color="auto"/>
      </w:divBdr>
      <w:divsChild>
        <w:div w:id="1709796313">
          <w:marLeft w:val="360"/>
          <w:marRight w:val="0"/>
          <w:marTop w:val="200"/>
          <w:marBottom w:val="80"/>
          <w:divBdr>
            <w:top w:val="none" w:sz="0" w:space="0" w:color="auto"/>
            <w:left w:val="none" w:sz="0" w:space="0" w:color="auto"/>
            <w:bottom w:val="none" w:sz="0" w:space="0" w:color="auto"/>
            <w:right w:val="none" w:sz="0" w:space="0" w:color="auto"/>
          </w:divBdr>
        </w:div>
        <w:div w:id="534657029">
          <w:marLeft w:val="360"/>
          <w:marRight w:val="0"/>
          <w:marTop w:val="200"/>
          <w:marBottom w:val="80"/>
          <w:divBdr>
            <w:top w:val="none" w:sz="0" w:space="0" w:color="auto"/>
            <w:left w:val="none" w:sz="0" w:space="0" w:color="auto"/>
            <w:bottom w:val="none" w:sz="0" w:space="0" w:color="auto"/>
            <w:right w:val="none" w:sz="0" w:space="0" w:color="auto"/>
          </w:divBdr>
        </w:div>
        <w:div w:id="901793641">
          <w:marLeft w:val="360"/>
          <w:marRight w:val="0"/>
          <w:marTop w:val="200"/>
          <w:marBottom w:val="80"/>
          <w:divBdr>
            <w:top w:val="none" w:sz="0" w:space="0" w:color="auto"/>
            <w:left w:val="none" w:sz="0" w:space="0" w:color="auto"/>
            <w:bottom w:val="none" w:sz="0" w:space="0" w:color="auto"/>
            <w:right w:val="none" w:sz="0" w:space="0" w:color="auto"/>
          </w:divBdr>
        </w:div>
        <w:div w:id="661741667">
          <w:marLeft w:val="360"/>
          <w:marRight w:val="0"/>
          <w:marTop w:val="200"/>
          <w:marBottom w:val="80"/>
          <w:divBdr>
            <w:top w:val="none" w:sz="0" w:space="0" w:color="auto"/>
            <w:left w:val="none" w:sz="0" w:space="0" w:color="auto"/>
            <w:bottom w:val="none" w:sz="0" w:space="0" w:color="auto"/>
            <w:right w:val="none" w:sz="0" w:space="0" w:color="auto"/>
          </w:divBdr>
        </w:div>
        <w:div w:id="410082346">
          <w:marLeft w:val="360"/>
          <w:marRight w:val="0"/>
          <w:marTop w:val="200"/>
          <w:marBottom w:val="80"/>
          <w:divBdr>
            <w:top w:val="none" w:sz="0" w:space="0" w:color="auto"/>
            <w:left w:val="none" w:sz="0" w:space="0" w:color="auto"/>
            <w:bottom w:val="none" w:sz="0" w:space="0" w:color="auto"/>
            <w:right w:val="none" w:sz="0" w:space="0" w:color="auto"/>
          </w:divBdr>
        </w:div>
        <w:div w:id="2070417584">
          <w:marLeft w:val="360"/>
          <w:marRight w:val="0"/>
          <w:marTop w:val="200"/>
          <w:marBottom w:val="80"/>
          <w:divBdr>
            <w:top w:val="none" w:sz="0" w:space="0" w:color="auto"/>
            <w:left w:val="none" w:sz="0" w:space="0" w:color="auto"/>
            <w:bottom w:val="none" w:sz="0" w:space="0" w:color="auto"/>
            <w:right w:val="none" w:sz="0" w:space="0" w:color="auto"/>
          </w:divBdr>
        </w:div>
      </w:divsChild>
    </w:div>
    <w:div w:id="1344550953">
      <w:bodyDiv w:val="1"/>
      <w:marLeft w:val="0"/>
      <w:marRight w:val="0"/>
      <w:marTop w:val="0"/>
      <w:marBottom w:val="0"/>
      <w:divBdr>
        <w:top w:val="none" w:sz="0" w:space="0" w:color="auto"/>
        <w:left w:val="none" w:sz="0" w:space="0" w:color="auto"/>
        <w:bottom w:val="none" w:sz="0" w:space="0" w:color="auto"/>
        <w:right w:val="none" w:sz="0" w:space="0" w:color="auto"/>
      </w:divBdr>
      <w:divsChild>
        <w:div w:id="197202760">
          <w:marLeft w:val="446"/>
          <w:marRight w:val="0"/>
          <w:marTop w:val="0"/>
          <w:marBottom w:val="0"/>
          <w:divBdr>
            <w:top w:val="none" w:sz="0" w:space="0" w:color="auto"/>
            <w:left w:val="none" w:sz="0" w:space="0" w:color="auto"/>
            <w:bottom w:val="none" w:sz="0" w:space="0" w:color="auto"/>
            <w:right w:val="none" w:sz="0" w:space="0" w:color="auto"/>
          </w:divBdr>
        </w:div>
      </w:divsChild>
    </w:div>
    <w:div w:id="1428966140">
      <w:bodyDiv w:val="1"/>
      <w:marLeft w:val="0"/>
      <w:marRight w:val="0"/>
      <w:marTop w:val="0"/>
      <w:marBottom w:val="0"/>
      <w:divBdr>
        <w:top w:val="none" w:sz="0" w:space="0" w:color="auto"/>
        <w:left w:val="none" w:sz="0" w:space="0" w:color="auto"/>
        <w:bottom w:val="none" w:sz="0" w:space="0" w:color="auto"/>
        <w:right w:val="none" w:sz="0" w:space="0" w:color="auto"/>
      </w:divBdr>
      <w:divsChild>
        <w:div w:id="1528903604">
          <w:marLeft w:val="1166"/>
          <w:marRight w:val="0"/>
          <w:marTop w:val="0"/>
          <w:marBottom w:val="0"/>
          <w:divBdr>
            <w:top w:val="none" w:sz="0" w:space="0" w:color="auto"/>
            <w:left w:val="none" w:sz="0" w:space="0" w:color="auto"/>
            <w:bottom w:val="none" w:sz="0" w:space="0" w:color="auto"/>
            <w:right w:val="none" w:sz="0" w:space="0" w:color="auto"/>
          </w:divBdr>
        </w:div>
        <w:div w:id="828208132">
          <w:marLeft w:val="1166"/>
          <w:marRight w:val="0"/>
          <w:marTop w:val="0"/>
          <w:marBottom w:val="0"/>
          <w:divBdr>
            <w:top w:val="none" w:sz="0" w:space="0" w:color="auto"/>
            <w:left w:val="none" w:sz="0" w:space="0" w:color="auto"/>
            <w:bottom w:val="none" w:sz="0" w:space="0" w:color="auto"/>
            <w:right w:val="none" w:sz="0" w:space="0" w:color="auto"/>
          </w:divBdr>
        </w:div>
      </w:divsChild>
    </w:div>
    <w:div w:id="1620910652">
      <w:bodyDiv w:val="1"/>
      <w:marLeft w:val="0"/>
      <w:marRight w:val="0"/>
      <w:marTop w:val="0"/>
      <w:marBottom w:val="0"/>
      <w:divBdr>
        <w:top w:val="none" w:sz="0" w:space="0" w:color="auto"/>
        <w:left w:val="none" w:sz="0" w:space="0" w:color="auto"/>
        <w:bottom w:val="none" w:sz="0" w:space="0" w:color="auto"/>
        <w:right w:val="none" w:sz="0" w:space="0" w:color="auto"/>
      </w:divBdr>
    </w:div>
    <w:div w:id="1755317098">
      <w:bodyDiv w:val="1"/>
      <w:marLeft w:val="0"/>
      <w:marRight w:val="0"/>
      <w:marTop w:val="0"/>
      <w:marBottom w:val="0"/>
      <w:divBdr>
        <w:top w:val="none" w:sz="0" w:space="0" w:color="auto"/>
        <w:left w:val="none" w:sz="0" w:space="0" w:color="auto"/>
        <w:bottom w:val="none" w:sz="0" w:space="0" w:color="auto"/>
        <w:right w:val="none" w:sz="0" w:space="0" w:color="auto"/>
      </w:divBdr>
    </w:div>
    <w:div w:id="2101444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EDTariffUnit@cpuc.ca.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1286918E16149911EADAC79418E40" ma:contentTypeVersion="8" ma:contentTypeDescription="Create a new document." ma:contentTypeScope="" ma:versionID="abadc730abe05108d65c32d9d361d472">
  <xsd:schema xmlns:xsd="http://www.w3.org/2001/XMLSchema" xmlns:xs="http://www.w3.org/2001/XMLSchema" xmlns:p="http://schemas.microsoft.com/office/2006/metadata/properties" xmlns:ns2="c39d0427-23a3-434a-87a3-106c18a58fcc" xmlns:ns3="946de2c9-4276-4617-bb50-e4d722df88af" targetNamespace="http://schemas.microsoft.com/office/2006/metadata/properties" ma:root="true" ma:fieldsID="a775dfb4fe4b8c24cc04ce8f3d7827d5" ns2:_="" ns3:_="">
    <xsd:import namespace="c39d0427-23a3-434a-87a3-106c18a58fcc"/>
    <xsd:import namespace="946de2c9-4276-4617-bb50-e4d722df88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d0427-23a3-434a-87a3-106c18a58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e2c9-4276-4617-bb50-e4d722df88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E1A94-4172-4FDC-946D-DDA1D552A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d0427-23a3-434a-87a3-106c18a58fcc"/>
    <ds:schemaRef ds:uri="946de2c9-4276-4617-bb50-e4d722df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43111-D484-485F-A3EB-3BD55A647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3720B-1341-4FFC-AA2C-F5ACCF048856}">
  <ds:schemaRefs>
    <ds:schemaRef ds:uri="http://schemas.microsoft.com/sharepoint/v3/contenttype/forms"/>
  </ds:schemaRefs>
</ds:datastoreItem>
</file>

<file path=customXml/itemProps4.xml><?xml version="1.0" encoding="utf-8"?>
<ds:datastoreItem xmlns:ds="http://schemas.openxmlformats.org/officeDocument/2006/customXml" ds:itemID="{7541B7D8-4C22-4892-B44C-5BFCD3FF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11</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Jacoby</dc:creator>
  <cp:keywords/>
  <dc:description/>
  <cp:lastModifiedBy>Jennifer Berg</cp:lastModifiedBy>
  <cp:revision>5</cp:revision>
  <cp:lastPrinted>2017-11-17T00:58:00Z</cp:lastPrinted>
  <dcterms:created xsi:type="dcterms:W3CDTF">2018-08-14T03:16:00Z</dcterms:created>
  <dcterms:modified xsi:type="dcterms:W3CDTF">2018-08-14T20:07:00Z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0x010100B921286918E16149911EADAC79418E40</vt:lpwstr>
  </property>
</Properties>
</file>