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AA993" w14:textId="77777777" w:rsidR="002105B3" w:rsidRDefault="002105B3" w:rsidP="00C501DD">
      <w:pPr>
        <w:rPr>
          <w:rStyle w:val="BookTitle"/>
          <w:b w:val="0"/>
          <w:i w:val="0"/>
        </w:rPr>
      </w:pPr>
    </w:p>
    <w:p w14:paraId="7B684C3B" w14:textId="184A80C4" w:rsidR="00DA40BF" w:rsidRPr="00D65EC5" w:rsidRDefault="00854DAB" w:rsidP="00D65EC5">
      <w:pPr>
        <w:pStyle w:val="Title"/>
        <w:rPr>
          <w:rStyle w:val="BookTitle"/>
          <w:b/>
          <w:bCs w:val="0"/>
          <w:i w:val="0"/>
          <w:iCs w:val="0"/>
          <w:spacing w:val="-10"/>
        </w:rPr>
      </w:pPr>
      <w:r w:rsidRPr="00D65EC5">
        <w:rPr>
          <w:rStyle w:val="BookTitle"/>
          <w:b/>
          <w:bCs w:val="0"/>
          <w:i w:val="0"/>
          <w:iCs w:val="0"/>
          <w:spacing w:val="-10"/>
        </w:rPr>
        <w:t xml:space="preserve">Southern California </w:t>
      </w:r>
      <w:r w:rsidR="00E132AB">
        <w:rPr>
          <w:rStyle w:val="BookTitle"/>
          <w:b/>
          <w:bCs w:val="0"/>
          <w:i w:val="0"/>
          <w:iCs w:val="0"/>
          <w:spacing w:val="-10"/>
        </w:rPr>
        <w:t>Regional Energy Network</w:t>
      </w:r>
    </w:p>
    <w:p w14:paraId="6B417FD9" w14:textId="77777777" w:rsidR="00271C66" w:rsidRDefault="00271C66" w:rsidP="002105B3">
      <w:pPr>
        <w:jc w:val="center"/>
        <w:rPr>
          <w:rStyle w:val="BookTitle"/>
        </w:rPr>
      </w:pPr>
    </w:p>
    <w:p w14:paraId="4AD290F5" w14:textId="0369A793" w:rsidR="00DA40BF" w:rsidRDefault="00DA40BF" w:rsidP="002105B3">
      <w:pPr>
        <w:jc w:val="center"/>
        <w:rPr>
          <w:rStyle w:val="BookTitle"/>
        </w:rPr>
      </w:pPr>
    </w:p>
    <w:p w14:paraId="0B0FDADA" w14:textId="77777777" w:rsidR="002105B3" w:rsidRDefault="002105B3" w:rsidP="002105B3">
      <w:pPr>
        <w:jc w:val="center"/>
        <w:rPr>
          <w:rStyle w:val="BookTitle"/>
          <w:b w:val="0"/>
          <w:i w:val="0"/>
        </w:rPr>
      </w:pPr>
    </w:p>
    <w:p w14:paraId="7A4B9A7C" w14:textId="77777777" w:rsidR="00BE759C" w:rsidRDefault="00BE759C" w:rsidP="002105B3">
      <w:pPr>
        <w:jc w:val="center"/>
        <w:rPr>
          <w:rStyle w:val="BookTitle"/>
          <w:b w:val="0"/>
          <w:i w:val="0"/>
        </w:rPr>
      </w:pPr>
    </w:p>
    <w:p w14:paraId="41727737" w14:textId="77777777" w:rsidR="00BE759C" w:rsidRDefault="00BE759C" w:rsidP="002105B3">
      <w:pPr>
        <w:jc w:val="center"/>
        <w:rPr>
          <w:rStyle w:val="BookTitle"/>
          <w:b w:val="0"/>
          <w:i w:val="0"/>
        </w:rPr>
      </w:pPr>
    </w:p>
    <w:p w14:paraId="5F544FAC" w14:textId="77777777" w:rsidR="00BE759C" w:rsidRDefault="00BE759C" w:rsidP="002105B3">
      <w:pPr>
        <w:jc w:val="center"/>
        <w:rPr>
          <w:rStyle w:val="BookTitle"/>
          <w:b w:val="0"/>
          <w:i w:val="0"/>
        </w:rPr>
      </w:pPr>
    </w:p>
    <w:p w14:paraId="40815965" w14:textId="77777777" w:rsidR="00BE759C" w:rsidRDefault="00BE759C" w:rsidP="002105B3">
      <w:pPr>
        <w:jc w:val="center"/>
        <w:rPr>
          <w:rStyle w:val="BookTitle"/>
          <w:b w:val="0"/>
          <w:i w:val="0"/>
        </w:rPr>
      </w:pPr>
    </w:p>
    <w:p w14:paraId="3D4F3E59" w14:textId="77777777" w:rsidR="00BE759C" w:rsidRDefault="00BE759C" w:rsidP="002105B3">
      <w:pPr>
        <w:jc w:val="center"/>
        <w:rPr>
          <w:rStyle w:val="BookTitle"/>
          <w:b w:val="0"/>
          <w:i w:val="0"/>
        </w:rPr>
      </w:pPr>
    </w:p>
    <w:p w14:paraId="2417C130" w14:textId="77777777" w:rsidR="00BE759C" w:rsidRPr="00AC6B09" w:rsidRDefault="00BE759C" w:rsidP="002105B3">
      <w:pPr>
        <w:jc w:val="center"/>
        <w:rPr>
          <w:rStyle w:val="BookTitle"/>
          <w:b w:val="0"/>
          <w:i w:val="0"/>
        </w:rPr>
      </w:pPr>
    </w:p>
    <w:p w14:paraId="3E5B14A5" w14:textId="77777777" w:rsidR="00AC6B09" w:rsidRPr="00AC6B09" w:rsidRDefault="00AC6B09" w:rsidP="002105B3">
      <w:pPr>
        <w:jc w:val="center"/>
        <w:rPr>
          <w:rStyle w:val="BookTitle"/>
          <w:b w:val="0"/>
          <w:i w:val="0"/>
        </w:rPr>
      </w:pPr>
    </w:p>
    <w:p w14:paraId="4733DF59" w14:textId="77777777" w:rsidR="00AC6B09" w:rsidRDefault="00AC6B09" w:rsidP="002105B3">
      <w:pPr>
        <w:jc w:val="center"/>
        <w:rPr>
          <w:rStyle w:val="IntenseReference"/>
          <w:sz w:val="36"/>
        </w:rPr>
      </w:pPr>
    </w:p>
    <w:p w14:paraId="2C0C3845" w14:textId="77777777" w:rsidR="002105B3" w:rsidRPr="00D65EC5" w:rsidRDefault="002105B3" w:rsidP="00D65EC5">
      <w:pPr>
        <w:pStyle w:val="Title"/>
        <w:rPr>
          <w:rStyle w:val="Strong"/>
          <w:b/>
          <w:bCs w:val="0"/>
        </w:rPr>
      </w:pPr>
      <w:r w:rsidRPr="00D65EC5">
        <w:rPr>
          <w:rStyle w:val="Strong"/>
          <w:b/>
          <w:bCs w:val="0"/>
        </w:rPr>
        <w:t>Implementation Plan</w:t>
      </w:r>
    </w:p>
    <w:p w14:paraId="6BD767DC" w14:textId="77777777" w:rsidR="00692C1F" w:rsidRDefault="00692C1F" w:rsidP="00C86EE6">
      <w:pPr>
        <w:pStyle w:val="Subtitle"/>
        <w:rPr>
          <w:rStyle w:val="IntenseReference"/>
          <w:color w:val="0070C0"/>
          <w:spacing w:val="15"/>
        </w:rPr>
      </w:pPr>
    </w:p>
    <w:p w14:paraId="41B856FC" w14:textId="620A9C03" w:rsidR="00311599" w:rsidRDefault="00AD44E2" w:rsidP="00197690">
      <w:pPr>
        <w:pStyle w:val="Subtitle"/>
        <w:rPr>
          <w:rStyle w:val="IntenseReference"/>
          <w:b/>
          <w:bCs w:val="0"/>
          <w:smallCaps w:val="0"/>
          <w:color w:val="auto"/>
          <w:spacing w:val="15"/>
        </w:rPr>
      </w:pPr>
      <w:r>
        <w:rPr>
          <w:rStyle w:val="IntenseReference"/>
          <w:b/>
          <w:bCs w:val="0"/>
          <w:smallCaps w:val="0"/>
          <w:color w:val="auto"/>
          <w:spacing w:val="15"/>
        </w:rPr>
        <w:t xml:space="preserve">SoCalREN </w:t>
      </w:r>
      <w:r w:rsidR="00020C0C">
        <w:rPr>
          <w:rStyle w:val="IntenseReference"/>
          <w:b/>
          <w:bCs w:val="0"/>
          <w:smallCaps w:val="0"/>
          <w:color w:val="auto"/>
          <w:spacing w:val="15"/>
        </w:rPr>
        <w:t xml:space="preserve">Small </w:t>
      </w:r>
      <w:r w:rsidR="00081CBE">
        <w:rPr>
          <w:rStyle w:val="IntenseReference"/>
          <w:b/>
          <w:bCs w:val="0"/>
          <w:smallCaps w:val="0"/>
          <w:color w:val="auto"/>
          <w:spacing w:val="15"/>
        </w:rPr>
        <w:t xml:space="preserve">Hard-to-Reach </w:t>
      </w:r>
      <w:r w:rsidR="005343D0">
        <w:rPr>
          <w:rStyle w:val="IntenseReference"/>
          <w:b/>
          <w:bCs w:val="0"/>
          <w:smallCaps w:val="0"/>
          <w:color w:val="auto"/>
          <w:spacing w:val="15"/>
        </w:rPr>
        <w:t xml:space="preserve">Multifamily </w:t>
      </w:r>
      <w:r w:rsidR="00AE5903">
        <w:rPr>
          <w:rStyle w:val="IntenseReference"/>
          <w:b/>
          <w:bCs w:val="0"/>
          <w:smallCaps w:val="0"/>
          <w:color w:val="auto"/>
          <w:spacing w:val="15"/>
        </w:rPr>
        <w:t>Direct Install Program</w:t>
      </w:r>
    </w:p>
    <w:p w14:paraId="7EA486AD" w14:textId="77777777" w:rsidR="00122673" w:rsidRPr="00122673" w:rsidRDefault="00122673" w:rsidP="00122673"/>
    <w:p w14:paraId="57EDE952" w14:textId="3A7F7A18" w:rsidR="00692C1F" w:rsidRPr="00197690" w:rsidRDefault="00AD44E2" w:rsidP="367391CB">
      <w:pPr>
        <w:pStyle w:val="Subtitle"/>
        <w:rPr>
          <w:rStyle w:val="IntenseReference"/>
          <w:b/>
          <w:smallCaps w:val="0"/>
          <w:color w:val="auto"/>
          <w:spacing w:val="15"/>
        </w:rPr>
      </w:pPr>
      <w:r w:rsidRPr="367391CB">
        <w:rPr>
          <w:rStyle w:val="IntenseReference"/>
          <w:b/>
          <w:smallCaps w:val="0"/>
          <w:color w:val="auto"/>
          <w:spacing w:val="15"/>
        </w:rPr>
        <w:t xml:space="preserve">Filing Date: </w:t>
      </w:r>
      <w:r w:rsidR="00377E5F" w:rsidRPr="367391CB">
        <w:rPr>
          <w:rStyle w:val="IntenseReference"/>
          <w:b/>
          <w:smallCaps w:val="0"/>
          <w:color w:val="auto"/>
          <w:spacing w:val="15"/>
        </w:rPr>
        <w:t>08</w:t>
      </w:r>
      <w:r w:rsidRPr="367391CB">
        <w:rPr>
          <w:rStyle w:val="IntenseReference"/>
          <w:b/>
          <w:smallCaps w:val="0"/>
          <w:color w:val="auto"/>
          <w:spacing w:val="15"/>
        </w:rPr>
        <w:t>/</w:t>
      </w:r>
      <w:r w:rsidR="00377E5F" w:rsidRPr="367391CB">
        <w:rPr>
          <w:rStyle w:val="IntenseReference"/>
          <w:b/>
          <w:smallCaps w:val="0"/>
          <w:color w:val="auto"/>
          <w:spacing w:val="15"/>
        </w:rPr>
        <w:t>15</w:t>
      </w:r>
      <w:r w:rsidRPr="367391CB">
        <w:rPr>
          <w:rStyle w:val="IntenseReference"/>
          <w:b/>
          <w:smallCaps w:val="0"/>
          <w:color w:val="auto"/>
          <w:spacing w:val="15"/>
        </w:rPr>
        <w:t>/20</w:t>
      </w:r>
      <w:r w:rsidR="00AE5903" w:rsidRPr="367391CB">
        <w:rPr>
          <w:rStyle w:val="IntenseReference"/>
          <w:b/>
          <w:smallCaps w:val="0"/>
          <w:color w:val="auto"/>
          <w:spacing w:val="15"/>
        </w:rPr>
        <w:t>24</w:t>
      </w:r>
    </w:p>
    <w:p w14:paraId="3793D445" w14:textId="77777777" w:rsidR="00197690" w:rsidRPr="00197690" w:rsidRDefault="00197690" w:rsidP="00197690"/>
    <w:p w14:paraId="3D432240" w14:textId="2BB22CE1" w:rsidR="00854DAB" w:rsidRPr="00C86EE6" w:rsidRDefault="00854DAB" w:rsidP="00171CC5">
      <w:pPr>
        <w:rPr>
          <w:b/>
        </w:rPr>
      </w:pPr>
    </w:p>
    <w:p w14:paraId="5385BA28" w14:textId="77777777" w:rsidR="006966B8" w:rsidRPr="006966B8" w:rsidRDefault="006966B8" w:rsidP="00C86EE6">
      <w:pPr>
        <w:jc w:val="center"/>
        <w:sectPr w:rsidR="006966B8" w:rsidRPr="006966B8" w:rsidSect="001A396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sdt>
      <w:sdtPr>
        <w:rPr>
          <w:rFonts w:ascii="Segoe UI" w:eastAsiaTheme="minorEastAsia" w:hAnsi="Segoe UI" w:cstheme="minorBidi"/>
          <w:color w:val="auto"/>
          <w:sz w:val="22"/>
          <w:szCs w:val="22"/>
        </w:rPr>
        <w:id w:val="1691646574"/>
        <w:docPartObj>
          <w:docPartGallery w:val="Table of Contents"/>
          <w:docPartUnique/>
        </w:docPartObj>
      </w:sdtPr>
      <w:sdtEndPr>
        <w:rPr>
          <w:rFonts w:ascii="Times New Roman" w:hAnsi="Times New Roman"/>
          <w:b/>
          <w:bCs/>
          <w:noProof/>
        </w:rPr>
      </w:sdtEndPr>
      <w:sdtContent>
        <w:p w14:paraId="4C436041" w14:textId="77777777" w:rsidR="00854DAB" w:rsidRPr="00F07039" w:rsidRDefault="00854DAB" w:rsidP="00EE1691">
          <w:pPr>
            <w:pStyle w:val="TOCHeading"/>
            <w:spacing w:before="120" w:after="120"/>
            <w:jc w:val="center"/>
            <w:rPr>
              <w:b/>
              <w:color w:val="auto"/>
              <w:u w:val="single"/>
            </w:rPr>
          </w:pPr>
          <w:r w:rsidRPr="00F07039">
            <w:rPr>
              <w:b/>
              <w:color w:val="auto"/>
              <w:u w:val="single"/>
            </w:rPr>
            <w:t>Table of Contents</w:t>
          </w:r>
        </w:p>
        <w:p w14:paraId="600F6325" w14:textId="144DD8B0" w:rsidR="00180F39" w:rsidRDefault="00854DAB">
          <w:pPr>
            <w:pStyle w:val="TOC1"/>
            <w:rPr>
              <w:rFonts w:asciiTheme="minorHAnsi" w:eastAsiaTheme="minorEastAsia" w:hAnsiTheme="minorHAnsi" w:cstheme="minorBidi"/>
              <w:b w:val="0"/>
              <w:noProof/>
              <w:kern w:val="2"/>
              <w:szCs w:val="24"/>
              <w14:ligatures w14:val="standardContextual"/>
            </w:rPr>
          </w:pPr>
          <w:r>
            <w:fldChar w:fldCharType="begin"/>
          </w:r>
          <w:r>
            <w:instrText xml:space="preserve"> TOC \o "1-3" \h \z \u </w:instrText>
          </w:r>
          <w:r>
            <w:fldChar w:fldCharType="separate"/>
          </w:r>
          <w:hyperlink w:anchor="_Toc173407322" w:history="1">
            <w:r w:rsidR="00180F39" w:rsidRPr="004870B5">
              <w:rPr>
                <w:rStyle w:val="Hyperlink"/>
                <w:noProof/>
              </w:rPr>
              <w:t>1.</w:t>
            </w:r>
            <w:r w:rsidR="00180F39">
              <w:rPr>
                <w:rFonts w:asciiTheme="minorHAnsi" w:eastAsiaTheme="minorEastAsia" w:hAnsiTheme="minorHAnsi" w:cstheme="minorBidi"/>
                <w:b w:val="0"/>
                <w:noProof/>
                <w:kern w:val="2"/>
                <w:szCs w:val="24"/>
                <w14:ligatures w14:val="standardContextual"/>
              </w:rPr>
              <w:tab/>
            </w:r>
            <w:r w:rsidR="00180F39" w:rsidRPr="004870B5">
              <w:rPr>
                <w:rStyle w:val="Hyperlink"/>
                <w:noProof/>
              </w:rPr>
              <w:t>Program Budget and Savings Information</w:t>
            </w:r>
            <w:r w:rsidR="00180F39">
              <w:rPr>
                <w:noProof/>
                <w:webHidden/>
              </w:rPr>
              <w:tab/>
            </w:r>
            <w:r w:rsidR="00180F39">
              <w:rPr>
                <w:noProof/>
                <w:webHidden/>
              </w:rPr>
              <w:fldChar w:fldCharType="begin"/>
            </w:r>
            <w:r w:rsidR="00180F39">
              <w:rPr>
                <w:noProof/>
                <w:webHidden/>
              </w:rPr>
              <w:instrText xml:space="preserve"> PAGEREF _Toc173407322 \h </w:instrText>
            </w:r>
            <w:r w:rsidR="00180F39">
              <w:rPr>
                <w:noProof/>
                <w:webHidden/>
              </w:rPr>
            </w:r>
            <w:r w:rsidR="00180F39">
              <w:rPr>
                <w:noProof/>
                <w:webHidden/>
              </w:rPr>
              <w:fldChar w:fldCharType="separate"/>
            </w:r>
            <w:r w:rsidR="00180F39">
              <w:rPr>
                <w:noProof/>
                <w:webHidden/>
              </w:rPr>
              <w:t>3</w:t>
            </w:r>
            <w:r w:rsidR="00180F39">
              <w:rPr>
                <w:noProof/>
                <w:webHidden/>
              </w:rPr>
              <w:fldChar w:fldCharType="end"/>
            </w:r>
          </w:hyperlink>
        </w:p>
        <w:p w14:paraId="495B60A0" w14:textId="18259FE2" w:rsidR="00180F39" w:rsidRDefault="00000000">
          <w:pPr>
            <w:pStyle w:val="TOC2"/>
            <w:rPr>
              <w:rFonts w:asciiTheme="minorHAnsi" w:eastAsiaTheme="minorEastAsia" w:hAnsiTheme="minorHAnsi" w:cstheme="minorBidi"/>
              <w:noProof/>
              <w:kern w:val="2"/>
              <w:szCs w:val="24"/>
              <w14:ligatures w14:val="standardContextual"/>
            </w:rPr>
          </w:pPr>
          <w:hyperlink w:anchor="_Toc173407323" w:history="1">
            <w:r w:rsidR="00180F39" w:rsidRPr="004870B5">
              <w:rPr>
                <w:rStyle w:val="Hyperlink"/>
                <w:noProof/>
              </w:rPr>
              <w:t>a.</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Program Information</w:t>
            </w:r>
            <w:r w:rsidR="00180F39">
              <w:rPr>
                <w:noProof/>
                <w:webHidden/>
              </w:rPr>
              <w:tab/>
            </w:r>
            <w:r w:rsidR="00180F39">
              <w:rPr>
                <w:noProof/>
                <w:webHidden/>
              </w:rPr>
              <w:fldChar w:fldCharType="begin"/>
            </w:r>
            <w:r w:rsidR="00180F39">
              <w:rPr>
                <w:noProof/>
                <w:webHidden/>
              </w:rPr>
              <w:instrText xml:space="preserve"> PAGEREF _Toc173407323 \h </w:instrText>
            </w:r>
            <w:r w:rsidR="00180F39">
              <w:rPr>
                <w:noProof/>
                <w:webHidden/>
              </w:rPr>
            </w:r>
            <w:r w:rsidR="00180F39">
              <w:rPr>
                <w:noProof/>
                <w:webHidden/>
              </w:rPr>
              <w:fldChar w:fldCharType="separate"/>
            </w:r>
            <w:r w:rsidR="00180F39">
              <w:rPr>
                <w:noProof/>
                <w:webHidden/>
              </w:rPr>
              <w:t>3</w:t>
            </w:r>
            <w:r w:rsidR="00180F39">
              <w:rPr>
                <w:noProof/>
                <w:webHidden/>
              </w:rPr>
              <w:fldChar w:fldCharType="end"/>
            </w:r>
          </w:hyperlink>
        </w:p>
        <w:p w14:paraId="5196C054" w14:textId="392CAA04" w:rsidR="00180F39" w:rsidRDefault="00000000">
          <w:pPr>
            <w:pStyle w:val="TOC2"/>
            <w:rPr>
              <w:rFonts w:asciiTheme="minorHAnsi" w:eastAsiaTheme="minorEastAsia" w:hAnsiTheme="minorHAnsi" w:cstheme="minorBidi"/>
              <w:noProof/>
              <w:kern w:val="2"/>
              <w:szCs w:val="24"/>
              <w14:ligatures w14:val="standardContextual"/>
            </w:rPr>
          </w:pPr>
          <w:hyperlink w:anchor="_Toc173407324" w:history="1">
            <w:r w:rsidR="00180F39" w:rsidRPr="004870B5">
              <w:rPr>
                <w:rStyle w:val="Hyperlink"/>
                <w:noProof/>
              </w:rPr>
              <w:t>b.</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Program Implementer</w:t>
            </w:r>
            <w:r w:rsidR="00180F39">
              <w:rPr>
                <w:noProof/>
                <w:webHidden/>
              </w:rPr>
              <w:tab/>
            </w:r>
            <w:r w:rsidR="00180F39">
              <w:rPr>
                <w:noProof/>
                <w:webHidden/>
              </w:rPr>
              <w:fldChar w:fldCharType="begin"/>
            </w:r>
            <w:r w:rsidR="00180F39">
              <w:rPr>
                <w:noProof/>
                <w:webHidden/>
              </w:rPr>
              <w:instrText xml:space="preserve"> PAGEREF _Toc173407324 \h </w:instrText>
            </w:r>
            <w:r w:rsidR="00180F39">
              <w:rPr>
                <w:noProof/>
                <w:webHidden/>
              </w:rPr>
            </w:r>
            <w:r w:rsidR="00180F39">
              <w:rPr>
                <w:noProof/>
                <w:webHidden/>
              </w:rPr>
              <w:fldChar w:fldCharType="separate"/>
            </w:r>
            <w:r w:rsidR="00180F39">
              <w:rPr>
                <w:noProof/>
                <w:webHidden/>
              </w:rPr>
              <w:t>3</w:t>
            </w:r>
            <w:r w:rsidR="00180F39">
              <w:rPr>
                <w:noProof/>
                <w:webHidden/>
              </w:rPr>
              <w:fldChar w:fldCharType="end"/>
            </w:r>
          </w:hyperlink>
        </w:p>
        <w:p w14:paraId="1F5D2711" w14:textId="16E88AD4" w:rsidR="00180F39" w:rsidRDefault="00000000">
          <w:pPr>
            <w:pStyle w:val="TOC2"/>
            <w:rPr>
              <w:rFonts w:asciiTheme="minorHAnsi" w:eastAsiaTheme="minorEastAsia" w:hAnsiTheme="minorHAnsi" w:cstheme="minorBidi"/>
              <w:noProof/>
              <w:kern w:val="2"/>
              <w:szCs w:val="24"/>
              <w14:ligatures w14:val="standardContextual"/>
            </w:rPr>
          </w:pPr>
          <w:hyperlink w:anchor="_Toc173407325" w:history="1">
            <w:r w:rsidR="00180F39" w:rsidRPr="004870B5">
              <w:rPr>
                <w:rStyle w:val="Hyperlink"/>
                <w:noProof/>
              </w:rPr>
              <w:t>c.</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Program Segment</w:t>
            </w:r>
            <w:r w:rsidR="00180F39">
              <w:rPr>
                <w:noProof/>
                <w:webHidden/>
              </w:rPr>
              <w:tab/>
            </w:r>
            <w:r w:rsidR="00180F39">
              <w:rPr>
                <w:noProof/>
                <w:webHidden/>
              </w:rPr>
              <w:fldChar w:fldCharType="begin"/>
            </w:r>
            <w:r w:rsidR="00180F39">
              <w:rPr>
                <w:noProof/>
                <w:webHidden/>
              </w:rPr>
              <w:instrText xml:space="preserve"> PAGEREF _Toc173407325 \h </w:instrText>
            </w:r>
            <w:r w:rsidR="00180F39">
              <w:rPr>
                <w:noProof/>
                <w:webHidden/>
              </w:rPr>
            </w:r>
            <w:r w:rsidR="00180F39">
              <w:rPr>
                <w:noProof/>
                <w:webHidden/>
              </w:rPr>
              <w:fldChar w:fldCharType="separate"/>
            </w:r>
            <w:r w:rsidR="00180F39">
              <w:rPr>
                <w:noProof/>
                <w:webHidden/>
              </w:rPr>
              <w:t>3</w:t>
            </w:r>
            <w:r w:rsidR="00180F39">
              <w:rPr>
                <w:noProof/>
                <w:webHidden/>
              </w:rPr>
              <w:fldChar w:fldCharType="end"/>
            </w:r>
          </w:hyperlink>
        </w:p>
        <w:p w14:paraId="53B074C4" w14:textId="22BF4469" w:rsidR="00180F39" w:rsidRDefault="00000000">
          <w:pPr>
            <w:pStyle w:val="TOC2"/>
            <w:rPr>
              <w:rFonts w:asciiTheme="minorHAnsi" w:eastAsiaTheme="minorEastAsia" w:hAnsiTheme="minorHAnsi" w:cstheme="minorBidi"/>
              <w:noProof/>
              <w:kern w:val="2"/>
              <w:szCs w:val="24"/>
              <w14:ligatures w14:val="standardContextual"/>
            </w:rPr>
          </w:pPr>
          <w:hyperlink w:anchor="_Toc173407326" w:history="1">
            <w:r w:rsidR="00180F39" w:rsidRPr="004870B5">
              <w:rPr>
                <w:rStyle w:val="Hyperlink"/>
                <w:noProof/>
              </w:rPr>
              <w:t>d.</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Program Sector</w:t>
            </w:r>
            <w:r w:rsidR="00180F39">
              <w:rPr>
                <w:noProof/>
                <w:webHidden/>
              </w:rPr>
              <w:tab/>
            </w:r>
            <w:r w:rsidR="00180F39">
              <w:rPr>
                <w:noProof/>
                <w:webHidden/>
              </w:rPr>
              <w:fldChar w:fldCharType="begin"/>
            </w:r>
            <w:r w:rsidR="00180F39">
              <w:rPr>
                <w:noProof/>
                <w:webHidden/>
              </w:rPr>
              <w:instrText xml:space="preserve"> PAGEREF _Toc173407326 \h </w:instrText>
            </w:r>
            <w:r w:rsidR="00180F39">
              <w:rPr>
                <w:noProof/>
                <w:webHidden/>
              </w:rPr>
            </w:r>
            <w:r w:rsidR="00180F39">
              <w:rPr>
                <w:noProof/>
                <w:webHidden/>
              </w:rPr>
              <w:fldChar w:fldCharType="separate"/>
            </w:r>
            <w:r w:rsidR="00180F39">
              <w:rPr>
                <w:noProof/>
                <w:webHidden/>
              </w:rPr>
              <w:t>3</w:t>
            </w:r>
            <w:r w:rsidR="00180F39">
              <w:rPr>
                <w:noProof/>
                <w:webHidden/>
              </w:rPr>
              <w:fldChar w:fldCharType="end"/>
            </w:r>
          </w:hyperlink>
        </w:p>
        <w:p w14:paraId="337C68E2" w14:textId="1A8C895F" w:rsidR="00180F39" w:rsidRDefault="00000000">
          <w:pPr>
            <w:pStyle w:val="TOC2"/>
            <w:rPr>
              <w:rFonts w:asciiTheme="minorHAnsi" w:eastAsiaTheme="minorEastAsia" w:hAnsiTheme="minorHAnsi" w:cstheme="minorBidi"/>
              <w:noProof/>
              <w:kern w:val="2"/>
              <w:szCs w:val="24"/>
              <w14:ligatures w14:val="standardContextual"/>
            </w:rPr>
          </w:pPr>
          <w:hyperlink w:anchor="_Toc173407327" w:history="1">
            <w:r w:rsidR="00180F39" w:rsidRPr="004870B5">
              <w:rPr>
                <w:rStyle w:val="Hyperlink"/>
                <w:noProof/>
              </w:rPr>
              <w:t>e.</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Market Channels</w:t>
            </w:r>
            <w:r w:rsidR="00180F39">
              <w:rPr>
                <w:noProof/>
                <w:webHidden/>
              </w:rPr>
              <w:tab/>
            </w:r>
            <w:r w:rsidR="00180F39">
              <w:rPr>
                <w:noProof/>
                <w:webHidden/>
              </w:rPr>
              <w:fldChar w:fldCharType="begin"/>
            </w:r>
            <w:r w:rsidR="00180F39">
              <w:rPr>
                <w:noProof/>
                <w:webHidden/>
              </w:rPr>
              <w:instrText xml:space="preserve"> PAGEREF _Toc173407327 \h </w:instrText>
            </w:r>
            <w:r w:rsidR="00180F39">
              <w:rPr>
                <w:noProof/>
                <w:webHidden/>
              </w:rPr>
            </w:r>
            <w:r w:rsidR="00180F39">
              <w:rPr>
                <w:noProof/>
                <w:webHidden/>
              </w:rPr>
              <w:fldChar w:fldCharType="separate"/>
            </w:r>
            <w:r w:rsidR="00180F39">
              <w:rPr>
                <w:noProof/>
                <w:webHidden/>
              </w:rPr>
              <w:t>3</w:t>
            </w:r>
            <w:r w:rsidR="00180F39">
              <w:rPr>
                <w:noProof/>
                <w:webHidden/>
              </w:rPr>
              <w:fldChar w:fldCharType="end"/>
            </w:r>
          </w:hyperlink>
        </w:p>
        <w:p w14:paraId="46D06C3C" w14:textId="110E23AF" w:rsidR="00180F39" w:rsidRDefault="00000000">
          <w:pPr>
            <w:pStyle w:val="TOC2"/>
            <w:rPr>
              <w:rFonts w:asciiTheme="minorHAnsi" w:eastAsiaTheme="minorEastAsia" w:hAnsiTheme="minorHAnsi" w:cstheme="minorBidi"/>
              <w:noProof/>
              <w:kern w:val="2"/>
              <w:szCs w:val="24"/>
              <w14:ligatures w14:val="standardContextual"/>
            </w:rPr>
          </w:pPr>
          <w:hyperlink w:anchor="_Toc173407328" w:history="1">
            <w:r w:rsidR="00180F39" w:rsidRPr="004870B5">
              <w:rPr>
                <w:rStyle w:val="Hyperlink"/>
                <w:noProof/>
              </w:rPr>
              <w:t>f.</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Intervention Strategies</w:t>
            </w:r>
            <w:r w:rsidR="00180F39">
              <w:rPr>
                <w:noProof/>
                <w:webHidden/>
              </w:rPr>
              <w:tab/>
            </w:r>
            <w:r w:rsidR="00180F39">
              <w:rPr>
                <w:noProof/>
                <w:webHidden/>
              </w:rPr>
              <w:fldChar w:fldCharType="begin"/>
            </w:r>
            <w:r w:rsidR="00180F39">
              <w:rPr>
                <w:noProof/>
                <w:webHidden/>
              </w:rPr>
              <w:instrText xml:space="preserve"> PAGEREF _Toc173407328 \h </w:instrText>
            </w:r>
            <w:r w:rsidR="00180F39">
              <w:rPr>
                <w:noProof/>
                <w:webHidden/>
              </w:rPr>
            </w:r>
            <w:r w:rsidR="00180F39">
              <w:rPr>
                <w:noProof/>
                <w:webHidden/>
              </w:rPr>
              <w:fldChar w:fldCharType="separate"/>
            </w:r>
            <w:r w:rsidR="00180F39">
              <w:rPr>
                <w:noProof/>
                <w:webHidden/>
              </w:rPr>
              <w:t>3</w:t>
            </w:r>
            <w:r w:rsidR="00180F39">
              <w:rPr>
                <w:noProof/>
                <w:webHidden/>
              </w:rPr>
              <w:fldChar w:fldCharType="end"/>
            </w:r>
          </w:hyperlink>
        </w:p>
        <w:p w14:paraId="44D5143C" w14:textId="1A0D8ED2" w:rsidR="00180F39" w:rsidRDefault="00000000">
          <w:pPr>
            <w:pStyle w:val="TOC2"/>
            <w:rPr>
              <w:rFonts w:asciiTheme="minorHAnsi" w:eastAsiaTheme="minorEastAsia" w:hAnsiTheme="minorHAnsi" w:cstheme="minorBidi"/>
              <w:noProof/>
              <w:kern w:val="2"/>
              <w:szCs w:val="24"/>
              <w14:ligatures w14:val="standardContextual"/>
            </w:rPr>
          </w:pPr>
          <w:hyperlink w:anchor="_Toc173407329" w:history="1">
            <w:r w:rsidR="00180F39" w:rsidRPr="004870B5">
              <w:rPr>
                <w:rStyle w:val="Hyperlink"/>
                <w:noProof/>
              </w:rPr>
              <w:t>g.</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Projected Program Budget</w:t>
            </w:r>
            <w:r w:rsidR="00180F39">
              <w:rPr>
                <w:noProof/>
                <w:webHidden/>
              </w:rPr>
              <w:tab/>
            </w:r>
            <w:r w:rsidR="00180F39">
              <w:rPr>
                <w:noProof/>
                <w:webHidden/>
              </w:rPr>
              <w:fldChar w:fldCharType="begin"/>
            </w:r>
            <w:r w:rsidR="00180F39">
              <w:rPr>
                <w:noProof/>
                <w:webHidden/>
              </w:rPr>
              <w:instrText xml:space="preserve"> PAGEREF _Toc173407329 \h </w:instrText>
            </w:r>
            <w:r w:rsidR="00180F39">
              <w:rPr>
                <w:noProof/>
                <w:webHidden/>
              </w:rPr>
            </w:r>
            <w:r w:rsidR="00180F39">
              <w:rPr>
                <w:noProof/>
                <w:webHidden/>
              </w:rPr>
              <w:fldChar w:fldCharType="separate"/>
            </w:r>
            <w:r w:rsidR="00180F39">
              <w:rPr>
                <w:noProof/>
                <w:webHidden/>
              </w:rPr>
              <w:t>4</w:t>
            </w:r>
            <w:r w:rsidR="00180F39">
              <w:rPr>
                <w:noProof/>
                <w:webHidden/>
              </w:rPr>
              <w:fldChar w:fldCharType="end"/>
            </w:r>
          </w:hyperlink>
        </w:p>
        <w:p w14:paraId="3D7624DA" w14:textId="79474C66" w:rsidR="00180F39" w:rsidRDefault="00000000">
          <w:pPr>
            <w:pStyle w:val="TOC2"/>
            <w:rPr>
              <w:rFonts w:asciiTheme="minorHAnsi" w:eastAsiaTheme="minorEastAsia" w:hAnsiTheme="minorHAnsi" w:cstheme="minorBidi"/>
              <w:noProof/>
              <w:kern w:val="2"/>
              <w:szCs w:val="24"/>
              <w14:ligatures w14:val="standardContextual"/>
            </w:rPr>
          </w:pPr>
          <w:hyperlink w:anchor="_Toc173407330" w:history="1">
            <w:r w:rsidR="00180F39" w:rsidRPr="004870B5">
              <w:rPr>
                <w:rStyle w:val="Hyperlink"/>
                <w:noProof/>
              </w:rPr>
              <w:t>h.</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Gross Program Impacts</w:t>
            </w:r>
            <w:r w:rsidR="00180F39">
              <w:rPr>
                <w:noProof/>
                <w:webHidden/>
              </w:rPr>
              <w:tab/>
            </w:r>
            <w:r w:rsidR="00180F39">
              <w:rPr>
                <w:noProof/>
                <w:webHidden/>
              </w:rPr>
              <w:fldChar w:fldCharType="begin"/>
            </w:r>
            <w:r w:rsidR="00180F39">
              <w:rPr>
                <w:noProof/>
                <w:webHidden/>
              </w:rPr>
              <w:instrText xml:space="preserve"> PAGEREF _Toc173407330 \h </w:instrText>
            </w:r>
            <w:r w:rsidR="00180F39">
              <w:rPr>
                <w:noProof/>
                <w:webHidden/>
              </w:rPr>
            </w:r>
            <w:r w:rsidR="00180F39">
              <w:rPr>
                <w:noProof/>
                <w:webHidden/>
              </w:rPr>
              <w:fldChar w:fldCharType="separate"/>
            </w:r>
            <w:r w:rsidR="00180F39">
              <w:rPr>
                <w:noProof/>
                <w:webHidden/>
              </w:rPr>
              <w:t>4</w:t>
            </w:r>
            <w:r w:rsidR="00180F39">
              <w:rPr>
                <w:noProof/>
                <w:webHidden/>
              </w:rPr>
              <w:fldChar w:fldCharType="end"/>
            </w:r>
          </w:hyperlink>
        </w:p>
        <w:p w14:paraId="78709DFA" w14:textId="0B66A78B" w:rsidR="00180F39" w:rsidRDefault="00000000">
          <w:pPr>
            <w:pStyle w:val="TOC2"/>
            <w:rPr>
              <w:rFonts w:asciiTheme="minorHAnsi" w:eastAsiaTheme="minorEastAsia" w:hAnsiTheme="minorHAnsi" w:cstheme="minorBidi"/>
              <w:noProof/>
              <w:kern w:val="2"/>
              <w:szCs w:val="24"/>
              <w14:ligatures w14:val="standardContextual"/>
            </w:rPr>
          </w:pPr>
          <w:hyperlink w:anchor="_Toc173407331" w:history="1">
            <w:r w:rsidR="00180F39" w:rsidRPr="004870B5">
              <w:rPr>
                <w:rStyle w:val="Hyperlink"/>
                <w:noProof/>
              </w:rPr>
              <w:t>i.</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Program Cost-Effectiveness (TRC)</w:t>
            </w:r>
            <w:r w:rsidR="00180F39">
              <w:rPr>
                <w:noProof/>
                <w:webHidden/>
              </w:rPr>
              <w:tab/>
            </w:r>
            <w:r w:rsidR="00180F39">
              <w:rPr>
                <w:noProof/>
                <w:webHidden/>
              </w:rPr>
              <w:fldChar w:fldCharType="begin"/>
            </w:r>
            <w:r w:rsidR="00180F39">
              <w:rPr>
                <w:noProof/>
                <w:webHidden/>
              </w:rPr>
              <w:instrText xml:space="preserve"> PAGEREF _Toc173407331 \h </w:instrText>
            </w:r>
            <w:r w:rsidR="00180F39">
              <w:rPr>
                <w:noProof/>
                <w:webHidden/>
              </w:rPr>
            </w:r>
            <w:r w:rsidR="00180F39">
              <w:rPr>
                <w:noProof/>
                <w:webHidden/>
              </w:rPr>
              <w:fldChar w:fldCharType="separate"/>
            </w:r>
            <w:r w:rsidR="00180F39">
              <w:rPr>
                <w:noProof/>
                <w:webHidden/>
              </w:rPr>
              <w:t>4</w:t>
            </w:r>
            <w:r w:rsidR="00180F39">
              <w:rPr>
                <w:noProof/>
                <w:webHidden/>
              </w:rPr>
              <w:fldChar w:fldCharType="end"/>
            </w:r>
          </w:hyperlink>
        </w:p>
        <w:p w14:paraId="13697769" w14:textId="2D7C4256" w:rsidR="00180F39" w:rsidRDefault="00000000">
          <w:pPr>
            <w:pStyle w:val="TOC2"/>
            <w:rPr>
              <w:rFonts w:asciiTheme="minorHAnsi" w:eastAsiaTheme="minorEastAsia" w:hAnsiTheme="minorHAnsi" w:cstheme="minorBidi"/>
              <w:noProof/>
              <w:kern w:val="2"/>
              <w:szCs w:val="24"/>
              <w14:ligatures w14:val="standardContextual"/>
            </w:rPr>
          </w:pPr>
          <w:hyperlink w:anchor="_Toc173407332" w:history="1">
            <w:r w:rsidR="00180F39" w:rsidRPr="004870B5">
              <w:rPr>
                <w:rStyle w:val="Hyperlink"/>
                <w:noProof/>
              </w:rPr>
              <w:t>j.</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Program Cost-Effectiveness (PAC)</w:t>
            </w:r>
            <w:r w:rsidR="00180F39">
              <w:rPr>
                <w:noProof/>
                <w:webHidden/>
              </w:rPr>
              <w:tab/>
            </w:r>
            <w:r w:rsidR="00180F39">
              <w:rPr>
                <w:noProof/>
                <w:webHidden/>
              </w:rPr>
              <w:fldChar w:fldCharType="begin"/>
            </w:r>
            <w:r w:rsidR="00180F39">
              <w:rPr>
                <w:noProof/>
                <w:webHidden/>
              </w:rPr>
              <w:instrText xml:space="preserve"> PAGEREF _Toc173407332 \h </w:instrText>
            </w:r>
            <w:r w:rsidR="00180F39">
              <w:rPr>
                <w:noProof/>
                <w:webHidden/>
              </w:rPr>
            </w:r>
            <w:r w:rsidR="00180F39">
              <w:rPr>
                <w:noProof/>
                <w:webHidden/>
              </w:rPr>
              <w:fldChar w:fldCharType="separate"/>
            </w:r>
            <w:r w:rsidR="00180F39">
              <w:rPr>
                <w:noProof/>
                <w:webHidden/>
              </w:rPr>
              <w:t>4</w:t>
            </w:r>
            <w:r w:rsidR="00180F39">
              <w:rPr>
                <w:noProof/>
                <w:webHidden/>
              </w:rPr>
              <w:fldChar w:fldCharType="end"/>
            </w:r>
          </w:hyperlink>
        </w:p>
        <w:p w14:paraId="5016A6B9" w14:textId="6919AE05" w:rsidR="00180F39" w:rsidRDefault="00000000">
          <w:pPr>
            <w:pStyle w:val="TOC2"/>
            <w:rPr>
              <w:rFonts w:asciiTheme="minorHAnsi" w:eastAsiaTheme="minorEastAsia" w:hAnsiTheme="minorHAnsi" w:cstheme="minorBidi"/>
              <w:noProof/>
              <w:kern w:val="2"/>
              <w:szCs w:val="24"/>
              <w14:ligatures w14:val="standardContextual"/>
            </w:rPr>
          </w:pPr>
          <w:hyperlink w:anchor="_Toc173407333" w:history="1">
            <w:r w:rsidR="00180F39" w:rsidRPr="004870B5">
              <w:rPr>
                <w:rStyle w:val="Hyperlink"/>
                <w:noProof/>
              </w:rPr>
              <w:t>k.</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Campaign Goals</w:t>
            </w:r>
            <w:r w:rsidR="00180F39">
              <w:rPr>
                <w:noProof/>
                <w:webHidden/>
              </w:rPr>
              <w:tab/>
            </w:r>
            <w:r w:rsidR="00180F39">
              <w:rPr>
                <w:noProof/>
                <w:webHidden/>
              </w:rPr>
              <w:fldChar w:fldCharType="begin"/>
            </w:r>
            <w:r w:rsidR="00180F39">
              <w:rPr>
                <w:noProof/>
                <w:webHidden/>
              </w:rPr>
              <w:instrText xml:space="preserve"> PAGEREF _Toc173407333 \h </w:instrText>
            </w:r>
            <w:r w:rsidR="00180F39">
              <w:rPr>
                <w:noProof/>
                <w:webHidden/>
              </w:rPr>
            </w:r>
            <w:r w:rsidR="00180F39">
              <w:rPr>
                <w:noProof/>
                <w:webHidden/>
              </w:rPr>
              <w:fldChar w:fldCharType="separate"/>
            </w:r>
            <w:r w:rsidR="00180F39">
              <w:rPr>
                <w:noProof/>
                <w:webHidden/>
              </w:rPr>
              <w:t>4</w:t>
            </w:r>
            <w:r w:rsidR="00180F39">
              <w:rPr>
                <w:noProof/>
                <w:webHidden/>
              </w:rPr>
              <w:fldChar w:fldCharType="end"/>
            </w:r>
          </w:hyperlink>
        </w:p>
        <w:p w14:paraId="1006EE29" w14:textId="3E73061B" w:rsidR="00180F39" w:rsidRDefault="00000000">
          <w:pPr>
            <w:pStyle w:val="TOC2"/>
            <w:rPr>
              <w:rFonts w:asciiTheme="minorHAnsi" w:eastAsiaTheme="minorEastAsia" w:hAnsiTheme="minorHAnsi" w:cstheme="minorBidi"/>
              <w:noProof/>
              <w:kern w:val="2"/>
              <w:szCs w:val="24"/>
              <w14:ligatures w14:val="standardContextual"/>
            </w:rPr>
          </w:pPr>
          <w:hyperlink w:anchor="_Toc173407334" w:history="1">
            <w:r w:rsidR="00180F39" w:rsidRPr="004870B5">
              <w:rPr>
                <w:rStyle w:val="Hyperlink"/>
                <w:noProof/>
              </w:rPr>
              <w:t>l.</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Timeline</w:t>
            </w:r>
            <w:r w:rsidR="00180F39">
              <w:rPr>
                <w:noProof/>
                <w:webHidden/>
              </w:rPr>
              <w:tab/>
            </w:r>
            <w:r w:rsidR="00180F39">
              <w:rPr>
                <w:noProof/>
                <w:webHidden/>
              </w:rPr>
              <w:fldChar w:fldCharType="begin"/>
            </w:r>
            <w:r w:rsidR="00180F39">
              <w:rPr>
                <w:noProof/>
                <w:webHidden/>
              </w:rPr>
              <w:instrText xml:space="preserve"> PAGEREF _Toc173407334 \h </w:instrText>
            </w:r>
            <w:r w:rsidR="00180F39">
              <w:rPr>
                <w:noProof/>
                <w:webHidden/>
              </w:rPr>
            </w:r>
            <w:r w:rsidR="00180F39">
              <w:rPr>
                <w:noProof/>
                <w:webHidden/>
              </w:rPr>
              <w:fldChar w:fldCharType="separate"/>
            </w:r>
            <w:r w:rsidR="00180F39">
              <w:rPr>
                <w:noProof/>
                <w:webHidden/>
              </w:rPr>
              <w:t>4</w:t>
            </w:r>
            <w:r w:rsidR="00180F39">
              <w:rPr>
                <w:noProof/>
                <w:webHidden/>
              </w:rPr>
              <w:fldChar w:fldCharType="end"/>
            </w:r>
          </w:hyperlink>
        </w:p>
        <w:p w14:paraId="74EB6465" w14:textId="1FE512B9" w:rsidR="00180F39" w:rsidRDefault="00000000">
          <w:pPr>
            <w:pStyle w:val="TOC1"/>
            <w:rPr>
              <w:rFonts w:asciiTheme="minorHAnsi" w:eastAsiaTheme="minorEastAsia" w:hAnsiTheme="minorHAnsi" w:cstheme="minorBidi"/>
              <w:b w:val="0"/>
              <w:noProof/>
              <w:kern w:val="2"/>
              <w:szCs w:val="24"/>
              <w14:ligatures w14:val="standardContextual"/>
            </w:rPr>
          </w:pPr>
          <w:hyperlink w:anchor="_Toc173407335" w:history="1">
            <w:r w:rsidR="00180F39" w:rsidRPr="004870B5">
              <w:rPr>
                <w:rStyle w:val="Hyperlink"/>
                <w:noProof/>
              </w:rPr>
              <w:t>2.</w:t>
            </w:r>
            <w:r w:rsidR="00180F39">
              <w:rPr>
                <w:rFonts w:asciiTheme="minorHAnsi" w:eastAsiaTheme="minorEastAsia" w:hAnsiTheme="minorHAnsi" w:cstheme="minorBidi"/>
                <w:b w:val="0"/>
                <w:noProof/>
                <w:kern w:val="2"/>
                <w:szCs w:val="24"/>
                <w14:ligatures w14:val="standardContextual"/>
              </w:rPr>
              <w:tab/>
            </w:r>
            <w:r w:rsidR="00180F39" w:rsidRPr="004870B5">
              <w:rPr>
                <w:rStyle w:val="Hyperlink"/>
                <w:noProof/>
              </w:rPr>
              <w:t>Implementation Plan Narrative</w:t>
            </w:r>
            <w:r w:rsidR="00180F39">
              <w:rPr>
                <w:noProof/>
                <w:webHidden/>
              </w:rPr>
              <w:tab/>
            </w:r>
            <w:r w:rsidR="00180F39">
              <w:rPr>
                <w:noProof/>
                <w:webHidden/>
              </w:rPr>
              <w:fldChar w:fldCharType="begin"/>
            </w:r>
            <w:r w:rsidR="00180F39">
              <w:rPr>
                <w:noProof/>
                <w:webHidden/>
              </w:rPr>
              <w:instrText xml:space="preserve"> PAGEREF _Toc173407335 \h </w:instrText>
            </w:r>
            <w:r w:rsidR="00180F39">
              <w:rPr>
                <w:noProof/>
                <w:webHidden/>
              </w:rPr>
            </w:r>
            <w:r w:rsidR="00180F39">
              <w:rPr>
                <w:noProof/>
                <w:webHidden/>
              </w:rPr>
              <w:fldChar w:fldCharType="separate"/>
            </w:r>
            <w:r w:rsidR="00180F39">
              <w:rPr>
                <w:noProof/>
                <w:webHidden/>
              </w:rPr>
              <w:t>5</w:t>
            </w:r>
            <w:r w:rsidR="00180F39">
              <w:rPr>
                <w:noProof/>
                <w:webHidden/>
              </w:rPr>
              <w:fldChar w:fldCharType="end"/>
            </w:r>
          </w:hyperlink>
        </w:p>
        <w:p w14:paraId="05777E2A" w14:textId="094496D1" w:rsidR="00180F39" w:rsidRDefault="00000000">
          <w:pPr>
            <w:pStyle w:val="TOC2"/>
            <w:rPr>
              <w:rFonts w:asciiTheme="minorHAnsi" w:eastAsiaTheme="minorEastAsia" w:hAnsiTheme="minorHAnsi" w:cstheme="minorBidi"/>
              <w:noProof/>
              <w:kern w:val="2"/>
              <w:szCs w:val="24"/>
              <w14:ligatures w14:val="standardContextual"/>
            </w:rPr>
          </w:pPr>
          <w:hyperlink w:anchor="_Toc173407336" w:history="1">
            <w:r w:rsidR="00180F39" w:rsidRPr="004870B5">
              <w:rPr>
                <w:rStyle w:val="Hyperlink"/>
                <w:noProof/>
              </w:rPr>
              <w:t>a.</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Program Description</w:t>
            </w:r>
            <w:r w:rsidR="00180F39">
              <w:rPr>
                <w:noProof/>
                <w:webHidden/>
              </w:rPr>
              <w:tab/>
            </w:r>
            <w:r w:rsidR="00180F39">
              <w:rPr>
                <w:noProof/>
                <w:webHidden/>
              </w:rPr>
              <w:fldChar w:fldCharType="begin"/>
            </w:r>
            <w:r w:rsidR="00180F39">
              <w:rPr>
                <w:noProof/>
                <w:webHidden/>
              </w:rPr>
              <w:instrText xml:space="preserve"> PAGEREF _Toc173407336 \h </w:instrText>
            </w:r>
            <w:r w:rsidR="00180F39">
              <w:rPr>
                <w:noProof/>
                <w:webHidden/>
              </w:rPr>
            </w:r>
            <w:r w:rsidR="00180F39">
              <w:rPr>
                <w:noProof/>
                <w:webHidden/>
              </w:rPr>
              <w:fldChar w:fldCharType="separate"/>
            </w:r>
            <w:r w:rsidR="00180F39">
              <w:rPr>
                <w:noProof/>
                <w:webHidden/>
              </w:rPr>
              <w:t>5</w:t>
            </w:r>
            <w:r w:rsidR="00180F39">
              <w:rPr>
                <w:noProof/>
                <w:webHidden/>
              </w:rPr>
              <w:fldChar w:fldCharType="end"/>
            </w:r>
          </w:hyperlink>
        </w:p>
        <w:p w14:paraId="542FD451" w14:textId="5313A45A" w:rsidR="00180F39" w:rsidRDefault="00000000">
          <w:pPr>
            <w:pStyle w:val="TOC2"/>
            <w:rPr>
              <w:rFonts w:asciiTheme="minorHAnsi" w:eastAsiaTheme="minorEastAsia" w:hAnsiTheme="minorHAnsi" w:cstheme="minorBidi"/>
              <w:noProof/>
              <w:kern w:val="2"/>
              <w:szCs w:val="24"/>
              <w14:ligatures w14:val="standardContextual"/>
            </w:rPr>
          </w:pPr>
          <w:hyperlink w:anchor="_Toc173407337" w:history="1">
            <w:r w:rsidR="00180F39" w:rsidRPr="004870B5">
              <w:rPr>
                <w:rStyle w:val="Hyperlink"/>
                <w:noProof/>
              </w:rPr>
              <w:t>b.</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Program Delivery and Customer Services</w:t>
            </w:r>
            <w:r w:rsidR="00180F39">
              <w:rPr>
                <w:noProof/>
                <w:webHidden/>
              </w:rPr>
              <w:tab/>
            </w:r>
            <w:r w:rsidR="00180F39">
              <w:rPr>
                <w:noProof/>
                <w:webHidden/>
              </w:rPr>
              <w:fldChar w:fldCharType="begin"/>
            </w:r>
            <w:r w:rsidR="00180F39">
              <w:rPr>
                <w:noProof/>
                <w:webHidden/>
              </w:rPr>
              <w:instrText xml:space="preserve"> PAGEREF _Toc173407337 \h </w:instrText>
            </w:r>
            <w:r w:rsidR="00180F39">
              <w:rPr>
                <w:noProof/>
                <w:webHidden/>
              </w:rPr>
            </w:r>
            <w:r w:rsidR="00180F39">
              <w:rPr>
                <w:noProof/>
                <w:webHidden/>
              </w:rPr>
              <w:fldChar w:fldCharType="separate"/>
            </w:r>
            <w:r w:rsidR="00180F39">
              <w:rPr>
                <w:noProof/>
                <w:webHidden/>
              </w:rPr>
              <w:t>6</w:t>
            </w:r>
            <w:r w:rsidR="00180F39">
              <w:rPr>
                <w:noProof/>
                <w:webHidden/>
              </w:rPr>
              <w:fldChar w:fldCharType="end"/>
            </w:r>
          </w:hyperlink>
        </w:p>
        <w:p w14:paraId="49F11712" w14:textId="4CE9E56F" w:rsidR="00180F39" w:rsidRDefault="00000000">
          <w:pPr>
            <w:pStyle w:val="TOC2"/>
            <w:rPr>
              <w:rFonts w:asciiTheme="minorHAnsi" w:eastAsiaTheme="minorEastAsia" w:hAnsiTheme="minorHAnsi" w:cstheme="minorBidi"/>
              <w:noProof/>
              <w:kern w:val="2"/>
              <w:szCs w:val="24"/>
              <w14:ligatures w14:val="standardContextual"/>
            </w:rPr>
          </w:pPr>
          <w:hyperlink w:anchor="_Toc173407338" w:history="1">
            <w:r w:rsidR="00180F39" w:rsidRPr="004870B5">
              <w:rPr>
                <w:rStyle w:val="Hyperlink"/>
                <w:noProof/>
              </w:rPr>
              <w:t>c.</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Program Design and Best Practices</w:t>
            </w:r>
            <w:r w:rsidR="00180F39">
              <w:rPr>
                <w:noProof/>
                <w:webHidden/>
              </w:rPr>
              <w:tab/>
            </w:r>
            <w:r w:rsidR="00180F39">
              <w:rPr>
                <w:noProof/>
                <w:webHidden/>
              </w:rPr>
              <w:fldChar w:fldCharType="begin"/>
            </w:r>
            <w:r w:rsidR="00180F39">
              <w:rPr>
                <w:noProof/>
                <w:webHidden/>
              </w:rPr>
              <w:instrText xml:space="preserve"> PAGEREF _Toc173407338 \h </w:instrText>
            </w:r>
            <w:r w:rsidR="00180F39">
              <w:rPr>
                <w:noProof/>
                <w:webHidden/>
              </w:rPr>
            </w:r>
            <w:r w:rsidR="00180F39">
              <w:rPr>
                <w:noProof/>
                <w:webHidden/>
              </w:rPr>
              <w:fldChar w:fldCharType="separate"/>
            </w:r>
            <w:r w:rsidR="00180F39">
              <w:rPr>
                <w:noProof/>
                <w:webHidden/>
              </w:rPr>
              <w:t>7</w:t>
            </w:r>
            <w:r w:rsidR="00180F39">
              <w:rPr>
                <w:noProof/>
                <w:webHidden/>
              </w:rPr>
              <w:fldChar w:fldCharType="end"/>
            </w:r>
          </w:hyperlink>
        </w:p>
        <w:p w14:paraId="410ED9BE" w14:textId="67B8A7B3" w:rsidR="00180F39" w:rsidRDefault="00000000">
          <w:pPr>
            <w:pStyle w:val="TOC2"/>
            <w:rPr>
              <w:rFonts w:asciiTheme="minorHAnsi" w:eastAsiaTheme="minorEastAsia" w:hAnsiTheme="minorHAnsi" w:cstheme="minorBidi"/>
              <w:noProof/>
              <w:kern w:val="2"/>
              <w:szCs w:val="24"/>
              <w14:ligatures w14:val="standardContextual"/>
            </w:rPr>
          </w:pPr>
          <w:hyperlink w:anchor="_Toc173407339" w:history="1">
            <w:r w:rsidR="00180F39" w:rsidRPr="004870B5">
              <w:rPr>
                <w:rStyle w:val="Hyperlink"/>
                <w:noProof/>
              </w:rPr>
              <w:t>d.</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Evaluation, Measurement, and Verification (EM&amp;V):</w:t>
            </w:r>
            <w:r w:rsidR="00180F39">
              <w:rPr>
                <w:noProof/>
                <w:webHidden/>
              </w:rPr>
              <w:tab/>
            </w:r>
            <w:r w:rsidR="00180F39">
              <w:rPr>
                <w:noProof/>
                <w:webHidden/>
              </w:rPr>
              <w:fldChar w:fldCharType="begin"/>
            </w:r>
            <w:r w:rsidR="00180F39">
              <w:rPr>
                <w:noProof/>
                <w:webHidden/>
              </w:rPr>
              <w:instrText xml:space="preserve"> PAGEREF _Toc173407339 \h </w:instrText>
            </w:r>
            <w:r w:rsidR="00180F39">
              <w:rPr>
                <w:noProof/>
                <w:webHidden/>
              </w:rPr>
            </w:r>
            <w:r w:rsidR="00180F39">
              <w:rPr>
                <w:noProof/>
                <w:webHidden/>
              </w:rPr>
              <w:fldChar w:fldCharType="separate"/>
            </w:r>
            <w:r w:rsidR="00180F39">
              <w:rPr>
                <w:noProof/>
                <w:webHidden/>
              </w:rPr>
              <w:t>9</w:t>
            </w:r>
            <w:r w:rsidR="00180F39">
              <w:rPr>
                <w:noProof/>
                <w:webHidden/>
              </w:rPr>
              <w:fldChar w:fldCharType="end"/>
            </w:r>
          </w:hyperlink>
        </w:p>
        <w:p w14:paraId="71C41D72" w14:textId="3F2A395F" w:rsidR="00180F39" w:rsidRDefault="00000000">
          <w:pPr>
            <w:pStyle w:val="TOC2"/>
            <w:rPr>
              <w:rFonts w:asciiTheme="minorHAnsi" w:eastAsiaTheme="minorEastAsia" w:hAnsiTheme="minorHAnsi" w:cstheme="minorBidi"/>
              <w:noProof/>
              <w:kern w:val="2"/>
              <w:szCs w:val="24"/>
              <w14:ligatures w14:val="standardContextual"/>
            </w:rPr>
          </w:pPr>
          <w:hyperlink w:anchor="_Toc173407340" w:history="1">
            <w:r w:rsidR="00180F39" w:rsidRPr="004870B5">
              <w:rPr>
                <w:rStyle w:val="Hyperlink"/>
                <w:noProof/>
              </w:rPr>
              <w:t>e.</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 xml:space="preserve">Program Performance Metrics </w:t>
            </w:r>
            <w:r w:rsidR="00180F39">
              <w:rPr>
                <w:noProof/>
                <w:webHidden/>
              </w:rPr>
              <w:tab/>
            </w:r>
            <w:r w:rsidR="00180F39">
              <w:rPr>
                <w:noProof/>
                <w:webHidden/>
              </w:rPr>
              <w:fldChar w:fldCharType="begin"/>
            </w:r>
            <w:r w:rsidR="00180F39">
              <w:rPr>
                <w:noProof/>
                <w:webHidden/>
              </w:rPr>
              <w:instrText xml:space="preserve"> PAGEREF _Toc173407340 \h </w:instrText>
            </w:r>
            <w:r w:rsidR="00180F39">
              <w:rPr>
                <w:noProof/>
                <w:webHidden/>
              </w:rPr>
            </w:r>
            <w:r w:rsidR="00180F39">
              <w:rPr>
                <w:noProof/>
                <w:webHidden/>
              </w:rPr>
              <w:fldChar w:fldCharType="separate"/>
            </w:r>
            <w:r w:rsidR="00180F39">
              <w:rPr>
                <w:noProof/>
                <w:webHidden/>
              </w:rPr>
              <w:t>10</w:t>
            </w:r>
            <w:r w:rsidR="00180F39">
              <w:rPr>
                <w:noProof/>
                <w:webHidden/>
              </w:rPr>
              <w:fldChar w:fldCharType="end"/>
            </w:r>
          </w:hyperlink>
        </w:p>
        <w:p w14:paraId="0BAA8CF0" w14:textId="05969158" w:rsidR="00180F39" w:rsidRDefault="00000000">
          <w:pPr>
            <w:pStyle w:val="TOC2"/>
            <w:rPr>
              <w:rFonts w:asciiTheme="minorHAnsi" w:eastAsiaTheme="minorEastAsia" w:hAnsiTheme="minorHAnsi" w:cstheme="minorBidi"/>
              <w:noProof/>
              <w:kern w:val="2"/>
              <w:szCs w:val="24"/>
              <w14:ligatures w14:val="standardContextual"/>
            </w:rPr>
          </w:pPr>
          <w:hyperlink w:anchor="_Toc173407341" w:history="1">
            <w:r w:rsidR="00180F39" w:rsidRPr="004870B5">
              <w:rPr>
                <w:rStyle w:val="Hyperlink"/>
                <w:noProof/>
              </w:rPr>
              <w:t>f.</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Unique Value Metrics</w:t>
            </w:r>
            <w:r w:rsidR="00180F39">
              <w:rPr>
                <w:noProof/>
                <w:webHidden/>
              </w:rPr>
              <w:tab/>
            </w:r>
            <w:r w:rsidR="00180F39">
              <w:rPr>
                <w:noProof/>
                <w:webHidden/>
              </w:rPr>
              <w:fldChar w:fldCharType="begin"/>
            </w:r>
            <w:r w:rsidR="00180F39">
              <w:rPr>
                <w:noProof/>
                <w:webHidden/>
              </w:rPr>
              <w:instrText xml:space="preserve"> PAGEREF _Toc173407341 \h </w:instrText>
            </w:r>
            <w:r w:rsidR="00180F39">
              <w:rPr>
                <w:noProof/>
                <w:webHidden/>
              </w:rPr>
            </w:r>
            <w:r w:rsidR="00180F39">
              <w:rPr>
                <w:noProof/>
                <w:webHidden/>
              </w:rPr>
              <w:fldChar w:fldCharType="separate"/>
            </w:r>
            <w:r w:rsidR="00180F39">
              <w:rPr>
                <w:noProof/>
                <w:webHidden/>
              </w:rPr>
              <w:t>11</w:t>
            </w:r>
            <w:r w:rsidR="00180F39">
              <w:rPr>
                <w:noProof/>
                <w:webHidden/>
              </w:rPr>
              <w:fldChar w:fldCharType="end"/>
            </w:r>
          </w:hyperlink>
        </w:p>
        <w:p w14:paraId="28ED83AB" w14:textId="239EE778" w:rsidR="00180F39" w:rsidRDefault="00000000">
          <w:pPr>
            <w:pStyle w:val="TOC2"/>
            <w:rPr>
              <w:rFonts w:asciiTheme="minorHAnsi" w:eastAsiaTheme="minorEastAsia" w:hAnsiTheme="minorHAnsi" w:cstheme="minorBidi"/>
              <w:noProof/>
              <w:kern w:val="2"/>
              <w:szCs w:val="24"/>
              <w14:ligatures w14:val="standardContextual"/>
            </w:rPr>
          </w:pPr>
          <w:hyperlink w:anchor="_Toc173407342" w:history="1">
            <w:r w:rsidR="00180F39" w:rsidRPr="004870B5">
              <w:rPr>
                <w:rStyle w:val="Hyperlink"/>
                <w:noProof/>
              </w:rPr>
              <w:t>g.</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Quantitative Program Targets</w:t>
            </w:r>
            <w:r w:rsidR="00180F39">
              <w:rPr>
                <w:noProof/>
                <w:webHidden/>
              </w:rPr>
              <w:tab/>
            </w:r>
            <w:r w:rsidR="00180F39">
              <w:rPr>
                <w:noProof/>
                <w:webHidden/>
              </w:rPr>
              <w:fldChar w:fldCharType="begin"/>
            </w:r>
            <w:r w:rsidR="00180F39">
              <w:rPr>
                <w:noProof/>
                <w:webHidden/>
              </w:rPr>
              <w:instrText xml:space="preserve"> PAGEREF _Toc173407342 \h </w:instrText>
            </w:r>
            <w:r w:rsidR="00180F39">
              <w:rPr>
                <w:noProof/>
                <w:webHidden/>
              </w:rPr>
            </w:r>
            <w:r w:rsidR="00180F39">
              <w:rPr>
                <w:noProof/>
                <w:webHidden/>
              </w:rPr>
              <w:fldChar w:fldCharType="separate"/>
            </w:r>
            <w:r w:rsidR="00180F39">
              <w:rPr>
                <w:noProof/>
                <w:webHidden/>
              </w:rPr>
              <w:t>12</w:t>
            </w:r>
            <w:r w:rsidR="00180F39">
              <w:rPr>
                <w:noProof/>
                <w:webHidden/>
              </w:rPr>
              <w:fldChar w:fldCharType="end"/>
            </w:r>
          </w:hyperlink>
        </w:p>
        <w:p w14:paraId="3AE0FE9A" w14:textId="131E9CE2" w:rsidR="00180F39" w:rsidRDefault="00000000">
          <w:pPr>
            <w:pStyle w:val="TOC2"/>
            <w:rPr>
              <w:rFonts w:asciiTheme="minorHAnsi" w:eastAsiaTheme="minorEastAsia" w:hAnsiTheme="minorHAnsi" w:cstheme="minorBidi"/>
              <w:noProof/>
              <w:kern w:val="2"/>
              <w:szCs w:val="24"/>
              <w14:ligatures w14:val="standardContextual"/>
            </w:rPr>
          </w:pPr>
          <w:hyperlink w:anchor="_Toc173407343" w:history="1">
            <w:r w:rsidR="00180F39" w:rsidRPr="004870B5">
              <w:rPr>
                <w:rStyle w:val="Hyperlink"/>
                <w:noProof/>
              </w:rPr>
              <w:t>h.</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To-Code Savings Claims</w:t>
            </w:r>
            <w:r w:rsidR="00180F39">
              <w:rPr>
                <w:noProof/>
                <w:webHidden/>
              </w:rPr>
              <w:tab/>
            </w:r>
            <w:r w:rsidR="00180F39">
              <w:rPr>
                <w:noProof/>
                <w:webHidden/>
              </w:rPr>
              <w:fldChar w:fldCharType="begin"/>
            </w:r>
            <w:r w:rsidR="00180F39">
              <w:rPr>
                <w:noProof/>
                <w:webHidden/>
              </w:rPr>
              <w:instrText xml:space="preserve"> PAGEREF _Toc173407343 \h </w:instrText>
            </w:r>
            <w:r w:rsidR="00180F39">
              <w:rPr>
                <w:noProof/>
                <w:webHidden/>
              </w:rPr>
            </w:r>
            <w:r w:rsidR="00180F39">
              <w:rPr>
                <w:noProof/>
                <w:webHidden/>
              </w:rPr>
              <w:fldChar w:fldCharType="separate"/>
            </w:r>
            <w:r w:rsidR="00180F39">
              <w:rPr>
                <w:noProof/>
                <w:webHidden/>
              </w:rPr>
              <w:t>12</w:t>
            </w:r>
            <w:r w:rsidR="00180F39">
              <w:rPr>
                <w:noProof/>
                <w:webHidden/>
              </w:rPr>
              <w:fldChar w:fldCharType="end"/>
            </w:r>
          </w:hyperlink>
        </w:p>
        <w:p w14:paraId="64943EB9" w14:textId="755FBA54" w:rsidR="00180F39" w:rsidRDefault="00000000">
          <w:pPr>
            <w:pStyle w:val="TOC2"/>
            <w:rPr>
              <w:rFonts w:asciiTheme="minorHAnsi" w:eastAsiaTheme="minorEastAsia" w:hAnsiTheme="minorHAnsi" w:cstheme="minorBidi"/>
              <w:noProof/>
              <w:kern w:val="2"/>
              <w:szCs w:val="24"/>
              <w14:ligatures w14:val="standardContextual"/>
            </w:rPr>
          </w:pPr>
          <w:hyperlink w:anchor="_Toc173407344" w:history="1">
            <w:r w:rsidR="00180F39" w:rsidRPr="004870B5">
              <w:rPr>
                <w:rStyle w:val="Hyperlink"/>
                <w:noProof/>
              </w:rPr>
              <w:t>i.</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Pilots</w:t>
            </w:r>
            <w:r w:rsidR="00180F39">
              <w:rPr>
                <w:noProof/>
                <w:webHidden/>
              </w:rPr>
              <w:tab/>
            </w:r>
            <w:r w:rsidR="00180F39">
              <w:rPr>
                <w:noProof/>
                <w:webHidden/>
              </w:rPr>
              <w:fldChar w:fldCharType="begin"/>
            </w:r>
            <w:r w:rsidR="00180F39">
              <w:rPr>
                <w:noProof/>
                <w:webHidden/>
              </w:rPr>
              <w:instrText xml:space="preserve"> PAGEREF _Toc173407344 \h </w:instrText>
            </w:r>
            <w:r w:rsidR="00180F39">
              <w:rPr>
                <w:noProof/>
                <w:webHidden/>
              </w:rPr>
            </w:r>
            <w:r w:rsidR="00180F39">
              <w:rPr>
                <w:noProof/>
                <w:webHidden/>
              </w:rPr>
              <w:fldChar w:fldCharType="separate"/>
            </w:r>
            <w:r w:rsidR="00180F39">
              <w:rPr>
                <w:noProof/>
                <w:webHidden/>
              </w:rPr>
              <w:t>12</w:t>
            </w:r>
            <w:r w:rsidR="00180F39">
              <w:rPr>
                <w:noProof/>
                <w:webHidden/>
              </w:rPr>
              <w:fldChar w:fldCharType="end"/>
            </w:r>
          </w:hyperlink>
        </w:p>
        <w:p w14:paraId="263724D0" w14:textId="433C499F" w:rsidR="00180F39" w:rsidRDefault="00000000">
          <w:pPr>
            <w:pStyle w:val="TOC2"/>
            <w:rPr>
              <w:rFonts w:asciiTheme="minorHAnsi" w:eastAsiaTheme="minorEastAsia" w:hAnsiTheme="minorHAnsi" w:cstheme="minorBidi"/>
              <w:noProof/>
              <w:kern w:val="2"/>
              <w:szCs w:val="24"/>
              <w14:ligatures w14:val="standardContextual"/>
            </w:rPr>
          </w:pPr>
          <w:hyperlink w:anchor="_Toc173407345" w:history="1">
            <w:r w:rsidR="00180F39" w:rsidRPr="004870B5">
              <w:rPr>
                <w:rStyle w:val="Hyperlink"/>
                <w:noProof/>
              </w:rPr>
              <w:t>j.</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Program Logic Model</w:t>
            </w:r>
            <w:r w:rsidR="00180F39">
              <w:rPr>
                <w:noProof/>
                <w:webHidden/>
              </w:rPr>
              <w:tab/>
            </w:r>
            <w:r w:rsidR="00180F39">
              <w:rPr>
                <w:noProof/>
                <w:webHidden/>
              </w:rPr>
              <w:fldChar w:fldCharType="begin"/>
            </w:r>
            <w:r w:rsidR="00180F39">
              <w:rPr>
                <w:noProof/>
                <w:webHidden/>
              </w:rPr>
              <w:instrText xml:space="preserve"> PAGEREF _Toc173407345 \h </w:instrText>
            </w:r>
            <w:r w:rsidR="00180F39">
              <w:rPr>
                <w:noProof/>
                <w:webHidden/>
              </w:rPr>
            </w:r>
            <w:r w:rsidR="00180F39">
              <w:rPr>
                <w:noProof/>
                <w:webHidden/>
              </w:rPr>
              <w:fldChar w:fldCharType="separate"/>
            </w:r>
            <w:r w:rsidR="00180F39">
              <w:rPr>
                <w:noProof/>
                <w:webHidden/>
              </w:rPr>
              <w:t>13</w:t>
            </w:r>
            <w:r w:rsidR="00180F39">
              <w:rPr>
                <w:noProof/>
                <w:webHidden/>
              </w:rPr>
              <w:fldChar w:fldCharType="end"/>
            </w:r>
          </w:hyperlink>
        </w:p>
        <w:p w14:paraId="2C8BFEBB" w14:textId="47BCF1AB" w:rsidR="00180F39" w:rsidRDefault="00000000">
          <w:pPr>
            <w:pStyle w:val="TOC2"/>
            <w:rPr>
              <w:rFonts w:asciiTheme="minorHAnsi" w:eastAsiaTheme="minorEastAsia" w:hAnsiTheme="minorHAnsi" w:cstheme="minorBidi"/>
              <w:noProof/>
              <w:kern w:val="2"/>
              <w:szCs w:val="24"/>
              <w14:ligatures w14:val="standardContextual"/>
            </w:rPr>
          </w:pPr>
          <w:hyperlink w:anchor="_Toc173407346" w:history="1">
            <w:r w:rsidR="00180F39" w:rsidRPr="004870B5">
              <w:rPr>
                <w:rStyle w:val="Hyperlink"/>
                <w:noProof/>
              </w:rPr>
              <w:t>k.</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Process Flow Chart</w:t>
            </w:r>
            <w:r w:rsidR="00180F39">
              <w:rPr>
                <w:noProof/>
                <w:webHidden/>
              </w:rPr>
              <w:tab/>
            </w:r>
            <w:r w:rsidR="00180F39">
              <w:rPr>
                <w:noProof/>
                <w:webHidden/>
              </w:rPr>
              <w:fldChar w:fldCharType="begin"/>
            </w:r>
            <w:r w:rsidR="00180F39">
              <w:rPr>
                <w:noProof/>
                <w:webHidden/>
              </w:rPr>
              <w:instrText xml:space="preserve"> PAGEREF _Toc173407346 \h </w:instrText>
            </w:r>
            <w:r w:rsidR="00180F39">
              <w:rPr>
                <w:noProof/>
                <w:webHidden/>
              </w:rPr>
            </w:r>
            <w:r w:rsidR="00180F39">
              <w:rPr>
                <w:noProof/>
                <w:webHidden/>
              </w:rPr>
              <w:fldChar w:fldCharType="separate"/>
            </w:r>
            <w:r w:rsidR="00180F39">
              <w:rPr>
                <w:noProof/>
                <w:webHidden/>
              </w:rPr>
              <w:t>14</w:t>
            </w:r>
            <w:r w:rsidR="00180F39">
              <w:rPr>
                <w:noProof/>
                <w:webHidden/>
              </w:rPr>
              <w:fldChar w:fldCharType="end"/>
            </w:r>
          </w:hyperlink>
        </w:p>
        <w:p w14:paraId="11B80422" w14:textId="6C1043C8" w:rsidR="00180F39" w:rsidRDefault="00000000">
          <w:pPr>
            <w:pStyle w:val="TOC2"/>
            <w:rPr>
              <w:rFonts w:asciiTheme="minorHAnsi" w:eastAsiaTheme="minorEastAsia" w:hAnsiTheme="minorHAnsi" w:cstheme="minorBidi"/>
              <w:noProof/>
              <w:kern w:val="2"/>
              <w:szCs w:val="24"/>
              <w14:ligatures w14:val="standardContextual"/>
            </w:rPr>
          </w:pPr>
          <w:hyperlink w:anchor="_Toc173407347" w:history="1">
            <w:r w:rsidR="00180F39" w:rsidRPr="004870B5">
              <w:rPr>
                <w:rStyle w:val="Hyperlink"/>
                <w:noProof/>
              </w:rPr>
              <w:t>l.</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Diagram of Program</w:t>
            </w:r>
            <w:r w:rsidR="00180F39">
              <w:rPr>
                <w:noProof/>
                <w:webHidden/>
              </w:rPr>
              <w:tab/>
            </w:r>
            <w:r w:rsidR="00180F39">
              <w:rPr>
                <w:noProof/>
                <w:webHidden/>
              </w:rPr>
              <w:fldChar w:fldCharType="begin"/>
            </w:r>
            <w:r w:rsidR="00180F39">
              <w:rPr>
                <w:noProof/>
                <w:webHidden/>
              </w:rPr>
              <w:instrText xml:space="preserve"> PAGEREF _Toc173407347 \h </w:instrText>
            </w:r>
            <w:r w:rsidR="00180F39">
              <w:rPr>
                <w:noProof/>
                <w:webHidden/>
              </w:rPr>
            </w:r>
            <w:r w:rsidR="00180F39">
              <w:rPr>
                <w:noProof/>
                <w:webHidden/>
              </w:rPr>
              <w:fldChar w:fldCharType="separate"/>
            </w:r>
            <w:r w:rsidR="00180F39">
              <w:rPr>
                <w:noProof/>
                <w:webHidden/>
              </w:rPr>
              <w:t>15</w:t>
            </w:r>
            <w:r w:rsidR="00180F39">
              <w:rPr>
                <w:noProof/>
                <w:webHidden/>
              </w:rPr>
              <w:fldChar w:fldCharType="end"/>
            </w:r>
          </w:hyperlink>
        </w:p>
        <w:p w14:paraId="5B8348AB" w14:textId="42A96043" w:rsidR="00180F39" w:rsidRDefault="00000000">
          <w:pPr>
            <w:pStyle w:val="TOC2"/>
            <w:rPr>
              <w:rFonts w:asciiTheme="minorHAnsi" w:eastAsiaTheme="minorEastAsia" w:hAnsiTheme="minorHAnsi" w:cstheme="minorBidi"/>
              <w:noProof/>
              <w:kern w:val="2"/>
              <w:szCs w:val="24"/>
              <w14:ligatures w14:val="standardContextual"/>
            </w:rPr>
          </w:pPr>
          <w:hyperlink w:anchor="_Toc173407348" w:history="1">
            <w:r w:rsidR="00180F39" w:rsidRPr="004870B5">
              <w:rPr>
                <w:rStyle w:val="Hyperlink"/>
                <w:noProof/>
              </w:rPr>
              <w:t>m.</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Workforce Education and Training</w:t>
            </w:r>
            <w:r w:rsidR="00180F39">
              <w:rPr>
                <w:noProof/>
                <w:webHidden/>
              </w:rPr>
              <w:tab/>
            </w:r>
            <w:r w:rsidR="00180F39">
              <w:rPr>
                <w:noProof/>
                <w:webHidden/>
              </w:rPr>
              <w:fldChar w:fldCharType="begin"/>
            </w:r>
            <w:r w:rsidR="00180F39">
              <w:rPr>
                <w:noProof/>
                <w:webHidden/>
              </w:rPr>
              <w:instrText xml:space="preserve"> PAGEREF _Toc173407348 \h </w:instrText>
            </w:r>
            <w:r w:rsidR="00180F39">
              <w:rPr>
                <w:noProof/>
                <w:webHidden/>
              </w:rPr>
            </w:r>
            <w:r w:rsidR="00180F39">
              <w:rPr>
                <w:noProof/>
                <w:webHidden/>
              </w:rPr>
              <w:fldChar w:fldCharType="separate"/>
            </w:r>
            <w:r w:rsidR="00180F39">
              <w:rPr>
                <w:noProof/>
                <w:webHidden/>
              </w:rPr>
              <w:t>15</w:t>
            </w:r>
            <w:r w:rsidR="00180F39">
              <w:rPr>
                <w:noProof/>
                <w:webHidden/>
              </w:rPr>
              <w:fldChar w:fldCharType="end"/>
            </w:r>
          </w:hyperlink>
        </w:p>
        <w:p w14:paraId="5687AA6D" w14:textId="3EE1D102" w:rsidR="00180F39" w:rsidRDefault="00000000">
          <w:pPr>
            <w:pStyle w:val="TOC2"/>
            <w:rPr>
              <w:rFonts w:asciiTheme="minorHAnsi" w:eastAsiaTheme="minorEastAsia" w:hAnsiTheme="minorHAnsi" w:cstheme="minorBidi"/>
              <w:noProof/>
              <w:kern w:val="2"/>
              <w:szCs w:val="24"/>
              <w14:ligatures w14:val="standardContextual"/>
            </w:rPr>
          </w:pPr>
          <w:hyperlink w:anchor="_Toc173407349" w:history="1">
            <w:r w:rsidR="00180F39" w:rsidRPr="004870B5">
              <w:rPr>
                <w:rStyle w:val="Hyperlink"/>
                <w:noProof/>
              </w:rPr>
              <w:t>n.</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Workforce Standards</w:t>
            </w:r>
            <w:r w:rsidR="00180F39">
              <w:rPr>
                <w:noProof/>
                <w:webHidden/>
              </w:rPr>
              <w:tab/>
            </w:r>
            <w:r w:rsidR="00180F39">
              <w:rPr>
                <w:noProof/>
                <w:webHidden/>
              </w:rPr>
              <w:fldChar w:fldCharType="begin"/>
            </w:r>
            <w:r w:rsidR="00180F39">
              <w:rPr>
                <w:noProof/>
                <w:webHidden/>
              </w:rPr>
              <w:instrText xml:space="preserve"> PAGEREF _Toc173407349 \h </w:instrText>
            </w:r>
            <w:r w:rsidR="00180F39">
              <w:rPr>
                <w:noProof/>
                <w:webHidden/>
              </w:rPr>
            </w:r>
            <w:r w:rsidR="00180F39">
              <w:rPr>
                <w:noProof/>
                <w:webHidden/>
              </w:rPr>
              <w:fldChar w:fldCharType="separate"/>
            </w:r>
            <w:r w:rsidR="00180F39">
              <w:rPr>
                <w:noProof/>
                <w:webHidden/>
              </w:rPr>
              <w:t>15</w:t>
            </w:r>
            <w:r w:rsidR="00180F39">
              <w:rPr>
                <w:noProof/>
                <w:webHidden/>
              </w:rPr>
              <w:fldChar w:fldCharType="end"/>
            </w:r>
          </w:hyperlink>
        </w:p>
        <w:p w14:paraId="2DA1FD6D" w14:textId="7DA1B6C8" w:rsidR="00180F39" w:rsidRDefault="00000000">
          <w:pPr>
            <w:pStyle w:val="TOC2"/>
            <w:rPr>
              <w:rFonts w:asciiTheme="minorHAnsi" w:eastAsiaTheme="minorEastAsia" w:hAnsiTheme="minorHAnsi" w:cstheme="minorBidi"/>
              <w:noProof/>
              <w:kern w:val="2"/>
              <w:szCs w:val="24"/>
              <w14:ligatures w14:val="standardContextual"/>
            </w:rPr>
          </w:pPr>
          <w:hyperlink w:anchor="_Toc173407350" w:history="1">
            <w:r w:rsidR="00180F39" w:rsidRPr="004870B5">
              <w:rPr>
                <w:rStyle w:val="Hyperlink"/>
                <w:noProof/>
              </w:rPr>
              <w:t>o.</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Disadvantaged Worker Plan</w:t>
            </w:r>
            <w:r w:rsidR="00180F39">
              <w:rPr>
                <w:noProof/>
                <w:webHidden/>
              </w:rPr>
              <w:tab/>
            </w:r>
            <w:r w:rsidR="00180F39">
              <w:rPr>
                <w:noProof/>
                <w:webHidden/>
              </w:rPr>
              <w:fldChar w:fldCharType="begin"/>
            </w:r>
            <w:r w:rsidR="00180F39">
              <w:rPr>
                <w:noProof/>
                <w:webHidden/>
              </w:rPr>
              <w:instrText xml:space="preserve"> PAGEREF _Toc173407350 \h </w:instrText>
            </w:r>
            <w:r w:rsidR="00180F39">
              <w:rPr>
                <w:noProof/>
                <w:webHidden/>
              </w:rPr>
            </w:r>
            <w:r w:rsidR="00180F39">
              <w:rPr>
                <w:noProof/>
                <w:webHidden/>
              </w:rPr>
              <w:fldChar w:fldCharType="separate"/>
            </w:r>
            <w:r w:rsidR="00180F39">
              <w:rPr>
                <w:noProof/>
                <w:webHidden/>
              </w:rPr>
              <w:t>16</w:t>
            </w:r>
            <w:r w:rsidR="00180F39">
              <w:rPr>
                <w:noProof/>
                <w:webHidden/>
              </w:rPr>
              <w:fldChar w:fldCharType="end"/>
            </w:r>
          </w:hyperlink>
        </w:p>
        <w:p w14:paraId="3A8412AB" w14:textId="5C8B3E4C" w:rsidR="00180F39" w:rsidRDefault="00000000">
          <w:pPr>
            <w:pStyle w:val="TOC2"/>
            <w:rPr>
              <w:rFonts w:asciiTheme="minorHAnsi" w:eastAsiaTheme="minorEastAsia" w:hAnsiTheme="minorHAnsi" w:cstheme="minorBidi"/>
              <w:noProof/>
              <w:kern w:val="2"/>
              <w:szCs w:val="24"/>
              <w14:ligatures w14:val="standardContextual"/>
            </w:rPr>
          </w:pPr>
          <w:hyperlink w:anchor="_Toc173407351" w:history="1">
            <w:r w:rsidR="00180F39" w:rsidRPr="004870B5">
              <w:rPr>
                <w:rStyle w:val="Hyperlink"/>
                <w:noProof/>
              </w:rPr>
              <w:t>p.</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Additional Information</w:t>
            </w:r>
            <w:r w:rsidR="00180F39">
              <w:rPr>
                <w:noProof/>
                <w:webHidden/>
              </w:rPr>
              <w:tab/>
            </w:r>
            <w:r w:rsidR="00180F39">
              <w:rPr>
                <w:noProof/>
                <w:webHidden/>
              </w:rPr>
              <w:fldChar w:fldCharType="begin"/>
            </w:r>
            <w:r w:rsidR="00180F39">
              <w:rPr>
                <w:noProof/>
                <w:webHidden/>
              </w:rPr>
              <w:instrText xml:space="preserve"> PAGEREF _Toc173407351 \h </w:instrText>
            </w:r>
            <w:r w:rsidR="00180F39">
              <w:rPr>
                <w:noProof/>
                <w:webHidden/>
              </w:rPr>
            </w:r>
            <w:r w:rsidR="00180F39">
              <w:rPr>
                <w:noProof/>
                <w:webHidden/>
              </w:rPr>
              <w:fldChar w:fldCharType="separate"/>
            </w:r>
            <w:r w:rsidR="00180F39">
              <w:rPr>
                <w:noProof/>
                <w:webHidden/>
              </w:rPr>
              <w:t>16</w:t>
            </w:r>
            <w:r w:rsidR="00180F39">
              <w:rPr>
                <w:noProof/>
                <w:webHidden/>
              </w:rPr>
              <w:fldChar w:fldCharType="end"/>
            </w:r>
          </w:hyperlink>
        </w:p>
        <w:p w14:paraId="77CCFC50" w14:textId="3BA889A7" w:rsidR="00180F39" w:rsidRDefault="00000000">
          <w:pPr>
            <w:pStyle w:val="TOC1"/>
            <w:rPr>
              <w:rFonts w:asciiTheme="minorHAnsi" w:eastAsiaTheme="minorEastAsia" w:hAnsiTheme="minorHAnsi" w:cstheme="minorBidi"/>
              <w:b w:val="0"/>
              <w:noProof/>
              <w:kern w:val="2"/>
              <w:szCs w:val="24"/>
              <w14:ligatures w14:val="standardContextual"/>
            </w:rPr>
          </w:pPr>
          <w:hyperlink w:anchor="_Toc173407352" w:history="1">
            <w:r w:rsidR="00180F39" w:rsidRPr="004870B5">
              <w:rPr>
                <w:rStyle w:val="Hyperlink"/>
                <w:noProof/>
              </w:rPr>
              <w:t>3.</w:t>
            </w:r>
            <w:r w:rsidR="00180F39">
              <w:rPr>
                <w:rFonts w:asciiTheme="minorHAnsi" w:eastAsiaTheme="minorEastAsia" w:hAnsiTheme="minorHAnsi" w:cstheme="minorBidi"/>
                <w:b w:val="0"/>
                <w:noProof/>
                <w:kern w:val="2"/>
                <w:szCs w:val="24"/>
                <w14:ligatures w14:val="standardContextual"/>
              </w:rPr>
              <w:tab/>
            </w:r>
            <w:r w:rsidR="00180F39" w:rsidRPr="004870B5">
              <w:rPr>
                <w:rStyle w:val="Hyperlink"/>
                <w:noProof/>
              </w:rPr>
              <w:t>Appendix: Supporting Information and Documents</w:t>
            </w:r>
            <w:r w:rsidR="00180F39">
              <w:rPr>
                <w:noProof/>
                <w:webHidden/>
              </w:rPr>
              <w:tab/>
            </w:r>
            <w:r w:rsidR="00180F39">
              <w:rPr>
                <w:noProof/>
                <w:webHidden/>
              </w:rPr>
              <w:fldChar w:fldCharType="begin"/>
            </w:r>
            <w:r w:rsidR="00180F39">
              <w:rPr>
                <w:noProof/>
                <w:webHidden/>
              </w:rPr>
              <w:instrText xml:space="preserve"> PAGEREF _Toc173407352 \h </w:instrText>
            </w:r>
            <w:r w:rsidR="00180F39">
              <w:rPr>
                <w:noProof/>
                <w:webHidden/>
              </w:rPr>
            </w:r>
            <w:r w:rsidR="00180F39">
              <w:rPr>
                <w:noProof/>
                <w:webHidden/>
              </w:rPr>
              <w:fldChar w:fldCharType="separate"/>
            </w:r>
            <w:r w:rsidR="00180F39">
              <w:rPr>
                <w:noProof/>
                <w:webHidden/>
              </w:rPr>
              <w:t>17</w:t>
            </w:r>
            <w:r w:rsidR="00180F39">
              <w:rPr>
                <w:noProof/>
                <w:webHidden/>
              </w:rPr>
              <w:fldChar w:fldCharType="end"/>
            </w:r>
          </w:hyperlink>
        </w:p>
        <w:p w14:paraId="0DF8933C" w14:textId="280C5F3C" w:rsidR="00180F39" w:rsidRDefault="00000000">
          <w:pPr>
            <w:pStyle w:val="TOC2"/>
            <w:rPr>
              <w:rFonts w:asciiTheme="minorHAnsi" w:eastAsiaTheme="minorEastAsia" w:hAnsiTheme="minorHAnsi" w:cstheme="minorBidi"/>
              <w:noProof/>
              <w:kern w:val="2"/>
              <w:szCs w:val="24"/>
              <w14:ligatures w14:val="standardContextual"/>
            </w:rPr>
          </w:pPr>
          <w:hyperlink w:anchor="_Toc173407353" w:history="1">
            <w:r w:rsidR="00180F39" w:rsidRPr="004870B5">
              <w:rPr>
                <w:rStyle w:val="Hyperlink"/>
                <w:noProof/>
              </w:rPr>
              <w:t>a.</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Program Manuals and Program Rules</w:t>
            </w:r>
            <w:r w:rsidR="00180F39">
              <w:rPr>
                <w:noProof/>
                <w:webHidden/>
              </w:rPr>
              <w:tab/>
            </w:r>
            <w:r w:rsidR="00180F39">
              <w:rPr>
                <w:noProof/>
                <w:webHidden/>
              </w:rPr>
              <w:fldChar w:fldCharType="begin"/>
            </w:r>
            <w:r w:rsidR="00180F39">
              <w:rPr>
                <w:noProof/>
                <w:webHidden/>
              </w:rPr>
              <w:instrText xml:space="preserve"> PAGEREF _Toc173407353 \h </w:instrText>
            </w:r>
            <w:r w:rsidR="00180F39">
              <w:rPr>
                <w:noProof/>
                <w:webHidden/>
              </w:rPr>
            </w:r>
            <w:r w:rsidR="00180F39">
              <w:rPr>
                <w:noProof/>
                <w:webHidden/>
              </w:rPr>
              <w:fldChar w:fldCharType="separate"/>
            </w:r>
            <w:r w:rsidR="00180F39">
              <w:rPr>
                <w:noProof/>
                <w:webHidden/>
              </w:rPr>
              <w:t>17</w:t>
            </w:r>
            <w:r w:rsidR="00180F39">
              <w:rPr>
                <w:noProof/>
                <w:webHidden/>
              </w:rPr>
              <w:fldChar w:fldCharType="end"/>
            </w:r>
          </w:hyperlink>
        </w:p>
        <w:p w14:paraId="1435162D" w14:textId="1D57FB70" w:rsidR="00180F39" w:rsidRDefault="00000000">
          <w:pPr>
            <w:pStyle w:val="TOC2"/>
            <w:rPr>
              <w:rFonts w:asciiTheme="minorHAnsi" w:eastAsiaTheme="minorEastAsia" w:hAnsiTheme="minorHAnsi" w:cstheme="minorBidi"/>
              <w:noProof/>
              <w:kern w:val="2"/>
              <w:szCs w:val="24"/>
              <w14:ligatures w14:val="standardContextual"/>
            </w:rPr>
          </w:pPr>
          <w:hyperlink w:anchor="_Toc173407354" w:history="1">
            <w:r w:rsidR="00180F39" w:rsidRPr="004870B5">
              <w:rPr>
                <w:rStyle w:val="Hyperlink"/>
                <w:noProof/>
              </w:rPr>
              <w:t>b.</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Incentive Tables, Measure Packages, Software Tools</w:t>
            </w:r>
            <w:r w:rsidR="00180F39">
              <w:rPr>
                <w:noProof/>
                <w:webHidden/>
              </w:rPr>
              <w:tab/>
            </w:r>
            <w:r w:rsidR="00180F39">
              <w:rPr>
                <w:noProof/>
                <w:webHidden/>
              </w:rPr>
              <w:fldChar w:fldCharType="begin"/>
            </w:r>
            <w:r w:rsidR="00180F39">
              <w:rPr>
                <w:noProof/>
                <w:webHidden/>
              </w:rPr>
              <w:instrText xml:space="preserve"> PAGEREF _Toc173407354 \h </w:instrText>
            </w:r>
            <w:r w:rsidR="00180F39">
              <w:rPr>
                <w:noProof/>
                <w:webHidden/>
              </w:rPr>
            </w:r>
            <w:r w:rsidR="00180F39">
              <w:rPr>
                <w:noProof/>
                <w:webHidden/>
              </w:rPr>
              <w:fldChar w:fldCharType="separate"/>
            </w:r>
            <w:r w:rsidR="00180F39">
              <w:rPr>
                <w:noProof/>
                <w:webHidden/>
              </w:rPr>
              <w:t>18</w:t>
            </w:r>
            <w:r w:rsidR="00180F39">
              <w:rPr>
                <w:noProof/>
                <w:webHidden/>
              </w:rPr>
              <w:fldChar w:fldCharType="end"/>
            </w:r>
          </w:hyperlink>
        </w:p>
        <w:p w14:paraId="53A08AB9" w14:textId="586CF8A6" w:rsidR="00180F39" w:rsidRDefault="00000000">
          <w:pPr>
            <w:pStyle w:val="TOC2"/>
            <w:rPr>
              <w:rFonts w:asciiTheme="minorHAnsi" w:eastAsiaTheme="minorEastAsia" w:hAnsiTheme="minorHAnsi" w:cstheme="minorBidi"/>
              <w:noProof/>
              <w:kern w:val="2"/>
              <w:szCs w:val="24"/>
              <w14:ligatures w14:val="standardContextual"/>
            </w:rPr>
          </w:pPr>
          <w:hyperlink w:anchor="_Toc173407355" w:history="1">
            <w:r w:rsidR="00180F39" w:rsidRPr="004870B5">
              <w:rPr>
                <w:rStyle w:val="Hyperlink"/>
                <w:noProof/>
              </w:rPr>
              <w:t>c.</w:t>
            </w:r>
            <w:r w:rsidR="00180F39">
              <w:rPr>
                <w:rFonts w:asciiTheme="minorHAnsi" w:eastAsiaTheme="minorEastAsia" w:hAnsiTheme="minorHAnsi" w:cstheme="minorBidi"/>
                <w:noProof/>
                <w:kern w:val="2"/>
                <w:szCs w:val="24"/>
                <w14:ligatures w14:val="standardContextual"/>
              </w:rPr>
              <w:tab/>
            </w:r>
            <w:r w:rsidR="00180F39" w:rsidRPr="004870B5">
              <w:rPr>
                <w:rStyle w:val="Hyperlink"/>
                <w:noProof/>
              </w:rPr>
              <w:t>Program Manual</w:t>
            </w:r>
            <w:r w:rsidR="00180F39">
              <w:rPr>
                <w:noProof/>
                <w:webHidden/>
              </w:rPr>
              <w:tab/>
            </w:r>
            <w:r w:rsidR="00180F39">
              <w:rPr>
                <w:noProof/>
                <w:webHidden/>
              </w:rPr>
              <w:fldChar w:fldCharType="begin"/>
            </w:r>
            <w:r w:rsidR="00180F39">
              <w:rPr>
                <w:noProof/>
                <w:webHidden/>
              </w:rPr>
              <w:instrText xml:space="preserve"> PAGEREF _Toc173407355 \h </w:instrText>
            </w:r>
            <w:r w:rsidR="00180F39">
              <w:rPr>
                <w:noProof/>
                <w:webHidden/>
              </w:rPr>
            </w:r>
            <w:r w:rsidR="00180F39">
              <w:rPr>
                <w:noProof/>
                <w:webHidden/>
              </w:rPr>
              <w:fldChar w:fldCharType="separate"/>
            </w:r>
            <w:r w:rsidR="00180F39">
              <w:rPr>
                <w:noProof/>
                <w:webHidden/>
              </w:rPr>
              <w:t>20</w:t>
            </w:r>
            <w:r w:rsidR="00180F39">
              <w:rPr>
                <w:noProof/>
                <w:webHidden/>
              </w:rPr>
              <w:fldChar w:fldCharType="end"/>
            </w:r>
          </w:hyperlink>
        </w:p>
        <w:p w14:paraId="3BD7A697" w14:textId="50F6B4E5" w:rsidR="00854DAB" w:rsidRDefault="00854DAB">
          <w:r>
            <w:rPr>
              <w:b/>
              <w:bCs/>
              <w:noProof/>
            </w:rPr>
            <w:fldChar w:fldCharType="end"/>
          </w:r>
        </w:p>
      </w:sdtContent>
    </w:sdt>
    <w:p w14:paraId="5B1ECB04" w14:textId="77777777" w:rsidR="00692C1F" w:rsidRDefault="00CA4676" w:rsidP="00F24FD3">
      <w:pPr>
        <w:pStyle w:val="Heading1"/>
      </w:pPr>
      <w:bookmarkStart w:id="0" w:name="_Toc173407322"/>
      <w:r>
        <w:lastRenderedPageBreak/>
        <w:t>Program Budget and Savings Information</w:t>
      </w:r>
      <w:bookmarkEnd w:id="0"/>
    </w:p>
    <w:p w14:paraId="475F4254" w14:textId="77777777" w:rsidR="0098660C" w:rsidRDefault="00AB491A" w:rsidP="00284CC0">
      <w:pPr>
        <w:pStyle w:val="Heading2"/>
      </w:pPr>
      <w:bookmarkStart w:id="1" w:name="_Toc173407323"/>
      <w:r w:rsidRPr="00284CC0">
        <w:t>Program Information</w:t>
      </w:r>
      <w:bookmarkEnd w:id="1"/>
    </w:p>
    <w:p w14:paraId="389A92FE" w14:textId="1105ADE1" w:rsidR="009D0DE2" w:rsidRDefault="009D0DE2" w:rsidP="001C4AD8">
      <w:pPr>
        <w:ind w:firstLine="720"/>
      </w:pPr>
      <w:r w:rsidRPr="001C4AD8">
        <w:rPr>
          <w:b/>
          <w:bCs/>
        </w:rPr>
        <w:t>Program Name</w:t>
      </w:r>
      <w:r w:rsidR="001C4AD8" w:rsidRPr="001C4AD8">
        <w:rPr>
          <w:b/>
          <w:bCs/>
        </w:rPr>
        <w:t>:</w:t>
      </w:r>
      <w:r w:rsidR="001C4AD8">
        <w:t xml:space="preserve"> </w:t>
      </w:r>
      <w:r>
        <w:t>SoCalREN Small Hard-to-Reach Multifamily Direct Install Program</w:t>
      </w:r>
    </w:p>
    <w:p w14:paraId="7CDF0019" w14:textId="02016CA3" w:rsidR="0013465B" w:rsidRDefault="009D0DE2" w:rsidP="001C4AD8">
      <w:pPr>
        <w:ind w:firstLine="720"/>
      </w:pPr>
      <w:r w:rsidRPr="001C4AD8">
        <w:rPr>
          <w:b/>
          <w:bCs/>
        </w:rPr>
        <w:t>Program ID#</w:t>
      </w:r>
      <w:r w:rsidR="001C4AD8" w:rsidRPr="001C4AD8">
        <w:rPr>
          <w:b/>
          <w:bCs/>
        </w:rPr>
        <w:t>:</w:t>
      </w:r>
      <w:r w:rsidR="001C4AD8">
        <w:t xml:space="preserve"> </w:t>
      </w:r>
      <w:r>
        <w:t>SCR-RES-A5</w:t>
      </w:r>
    </w:p>
    <w:p w14:paraId="441DE52F" w14:textId="77777777" w:rsidR="00B27991" w:rsidRDefault="00B27991" w:rsidP="00506B6B">
      <w:pPr>
        <w:pStyle w:val="Heading2"/>
        <w:spacing w:after="120"/>
      </w:pPr>
      <w:bookmarkStart w:id="2" w:name="_Toc523841327"/>
      <w:bookmarkStart w:id="3" w:name="_Toc523843038"/>
      <w:bookmarkStart w:id="4" w:name="_Toc523843890"/>
      <w:bookmarkStart w:id="5" w:name="_Toc523844629"/>
      <w:bookmarkStart w:id="6" w:name="_Toc173407324"/>
      <w:r w:rsidRPr="00B27991">
        <w:t>Program Implementer</w:t>
      </w:r>
      <w:bookmarkEnd w:id="2"/>
      <w:bookmarkEnd w:id="3"/>
      <w:bookmarkEnd w:id="4"/>
      <w:bookmarkEnd w:id="5"/>
      <w:bookmarkEnd w:id="6"/>
      <w:r w:rsidRPr="00B27991">
        <w:t xml:space="preserve"> </w:t>
      </w:r>
    </w:p>
    <w:tbl>
      <w:tblPr>
        <w:tblStyle w:val="TableGrid2"/>
        <w:tblpPr w:leftFromText="180" w:rightFromText="180" w:vertAnchor="text" w:horzAnchor="page" w:tblpX="2089" w:tblpY="216"/>
        <w:tblW w:w="0" w:type="auto"/>
        <w:tblLook w:val="04A0" w:firstRow="1" w:lastRow="0" w:firstColumn="1" w:lastColumn="0" w:noHBand="0" w:noVBand="1"/>
      </w:tblPr>
      <w:tblGrid>
        <w:gridCol w:w="4032"/>
        <w:gridCol w:w="566"/>
        <w:gridCol w:w="566"/>
      </w:tblGrid>
      <w:tr w:rsidR="00E57238" w:rsidRPr="00B27991" w14:paraId="6EB9722C" w14:textId="70714E6E" w:rsidTr="67C763DF">
        <w:tc>
          <w:tcPr>
            <w:tcW w:w="4032" w:type="dxa"/>
            <w:tcBorders>
              <w:top w:val="nil"/>
              <w:left w:val="nil"/>
            </w:tcBorders>
            <w:shd w:val="clear" w:color="auto" w:fill="auto"/>
          </w:tcPr>
          <w:p w14:paraId="5FC913EA" w14:textId="1B2B706C" w:rsidR="00E57238" w:rsidRPr="00B27991" w:rsidRDefault="00E57238">
            <w:pPr>
              <w:jc w:val="center"/>
            </w:pPr>
          </w:p>
        </w:tc>
        <w:tc>
          <w:tcPr>
            <w:tcW w:w="566" w:type="dxa"/>
            <w:shd w:val="clear" w:color="auto" w:fill="D0CECE" w:themeFill="background2" w:themeFillShade="E6"/>
            <w:vAlign w:val="center"/>
          </w:tcPr>
          <w:p w14:paraId="400DDBE3" w14:textId="77777777" w:rsidR="00E57238" w:rsidRPr="00B27991" w:rsidRDefault="00E57238">
            <w:pPr>
              <w:jc w:val="center"/>
              <w:rPr>
                <w:b/>
              </w:rPr>
            </w:pPr>
            <w:r w:rsidRPr="00B27991">
              <w:rPr>
                <w:b/>
              </w:rPr>
              <w:t>Yes</w:t>
            </w:r>
          </w:p>
        </w:tc>
        <w:tc>
          <w:tcPr>
            <w:tcW w:w="566" w:type="dxa"/>
            <w:shd w:val="clear" w:color="auto" w:fill="D0CECE" w:themeFill="background2" w:themeFillShade="E6"/>
          </w:tcPr>
          <w:p w14:paraId="45DACC2B" w14:textId="69D067A5" w:rsidR="00E57238" w:rsidRPr="00B27991" w:rsidRDefault="00E57238">
            <w:pPr>
              <w:jc w:val="center"/>
              <w:rPr>
                <w:b/>
              </w:rPr>
            </w:pPr>
            <w:r>
              <w:rPr>
                <w:b/>
              </w:rPr>
              <w:t>No</w:t>
            </w:r>
          </w:p>
        </w:tc>
      </w:tr>
      <w:tr w:rsidR="00E57238" w:rsidRPr="00B27991" w14:paraId="72DE8B2C" w14:textId="3EAF803D" w:rsidTr="67C763DF">
        <w:tc>
          <w:tcPr>
            <w:tcW w:w="4032" w:type="dxa"/>
          </w:tcPr>
          <w:p w14:paraId="5B5DF29A" w14:textId="77777777" w:rsidR="00E57238" w:rsidRPr="00B27991" w:rsidRDefault="00E57238">
            <w:r>
              <w:t>SoCalREN</w:t>
            </w:r>
            <w:r w:rsidRPr="00B27991">
              <w:t xml:space="preserve"> Only</w:t>
            </w:r>
          </w:p>
        </w:tc>
        <w:tc>
          <w:tcPr>
            <w:tcW w:w="566" w:type="dxa"/>
            <w:vAlign w:val="center"/>
          </w:tcPr>
          <w:p w14:paraId="3E30D816" w14:textId="77777777" w:rsidR="00E57238" w:rsidRPr="00B27991" w:rsidRDefault="00E57238">
            <w:pPr>
              <w:jc w:val="center"/>
            </w:pPr>
          </w:p>
        </w:tc>
        <w:tc>
          <w:tcPr>
            <w:tcW w:w="566" w:type="dxa"/>
          </w:tcPr>
          <w:p w14:paraId="6DD78B69" w14:textId="5D15D235" w:rsidR="00E57238" w:rsidRPr="00B27991" w:rsidRDefault="00362A92">
            <w:pPr>
              <w:jc w:val="center"/>
            </w:pPr>
            <w:r>
              <w:t>X</w:t>
            </w:r>
          </w:p>
        </w:tc>
      </w:tr>
      <w:tr w:rsidR="00E57238" w:rsidRPr="00B27991" w14:paraId="5D2C9624" w14:textId="7E31A5C4" w:rsidTr="67C763DF">
        <w:tc>
          <w:tcPr>
            <w:tcW w:w="4032" w:type="dxa"/>
          </w:tcPr>
          <w:p w14:paraId="5E8E0640" w14:textId="62ECDA68" w:rsidR="00E57238" w:rsidRPr="00B27991" w:rsidRDefault="6D5C9F18">
            <w:r>
              <w:t>SoCalREN</w:t>
            </w:r>
            <w:r w:rsidR="00180F39" w:rsidRPr="67C763DF">
              <w:rPr>
                <w:rFonts w:cs="Times New Roman"/>
              </w:rPr>
              <w:t>—</w:t>
            </w:r>
            <w:r>
              <w:t>Statewide Lead</w:t>
            </w:r>
          </w:p>
        </w:tc>
        <w:tc>
          <w:tcPr>
            <w:tcW w:w="566" w:type="dxa"/>
            <w:vAlign w:val="center"/>
          </w:tcPr>
          <w:p w14:paraId="0992BB6A" w14:textId="77777777" w:rsidR="00E57238" w:rsidRPr="00B27991" w:rsidRDefault="00E57238">
            <w:pPr>
              <w:jc w:val="center"/>
            </w:pPr>
          </w:p>
        </w:tc>
        <w:tc>
          <w:tcPr>
            <w:tcW w:w="566" w:type="dxa"/>
          </w:tcPr>
          <w:p w14:paraId="51B1391A" w14:textId="292E2A73" w:rsidR="00E57238" w:rsidRPr="00B27991" w:rsidRDefault="00362A92">
            <w:pPr>
              <w:jc w:val="center"/>
            </w:pPr>
            <w:r>
              <w:t>X</w:t>
            </w:r>
          </w:p>
        </w:tc>
      </w:tr>
      <w:tr w:rsidR="00E57238" w:rsidRPr="00B27991" w14:paraId="4EE872F4" w14:textId="19779E93" w:rsidTr="67C763DF">
        <w:tc>
          <w:tcPr>
            <w:tcW w:w="4032" w:type="dxa"/>
          </w:tcPr>
          <w:p w14:paraId="1288CB9B" w14:textId="4BE30D64" w:rsidR="00E57238" w:rsidRPr="00B27991" w:rsidRDefault="6D5C9F18">
            <w:r>
              <w:t>Other PA</w:t>
            </w:r>
            <w:r w:rsidR="00180F39" w:rsidRPr="67C763DF">
              <w:rPr>
                <w:rFonts w:cs="Times New Roman"/>
              </w:rPr>
              <w:t>—</w:t>
            </w:r>
            <w:r>
              <w:t>Statewide Lead</w:t>
            </w:r>
          </w:p>
        </w:tc>
        <w:tc>
          <w:tcPr>
            <w:tcW w:w="566" w:type="dxa"/>
            <w:vAlign w:val="center"/>
          </w:tcPr>
          <w:p w14:paraId="24F7BBB2" w14:textId="77777777" w:rsidR="00E57238" w:rsidRPr="00B27991" w:rsidRDefault="00E57238">
            <w:pPr>
              <w:jc w:val="center"/>
            </w:pPr>
          </w:p>
        </w:tc>
        <w:tc>
          <w:tcPr>
            <w:tcW w:w="566" w:type="dxa"/>
          </w:tcPr>
          <w:p w14:paraId="1D0B27EC" w14:textId="6B1F4688" w:rsidR="00E57238" w:rsidRPr="00B27991" w:rsidRDefault="00362A92">
            <w:pPr>
              <w:jc w:val="center"/>
            </w:pPr>
            <w:r>
              <w:t>X</w:t>
            </w:r>
          </w:p>
        </w:tc>
      </w:tr>
      <w:tr w:rsidR="00E57238" w:rsidRPr="00B27991" w14:paraId="71B4A839" w14:textId="748D1B0D" w:rsidTr="67C763DF">
        <w:tc>
          <w:tcPr>
            <w:tcW w:w="4032" w:type="dxa"/>
          </w:tcPr>
          <w:p w14:paraId="468EEBEF" w14:textId="77777777" w:rsidR="00E57238" w:rsidRPr="00B27991" w:rsidRDefault="00E57238">
            <w:r w:rsidRPr="00B27991">
              <w:t>Third Party</w:t>
            </w:r>
          </w:p>
        </w:tc>
        <w:tc>
          <w:tcPr>
            <w:tcW w:w="566" w:type="dxa"/>
            <w:vAlign w:val="center"/>
          </w:tcPr>
          <w:p w14:paraId="73FDFBE0" w14:textId="77777777" w:rsidR="00E57238" w:rsidRPr="00B27991" w:rsidRDefault="00E57238">
            <w:pPr>
              <w:jc w:val="center"/>
            </w:pPr>
            <w:r>
              <w:t>X</w:t>
            </w:r>
          </w:p>
        </w:tc>
        <w:tc>
          <w:tcPr>
            <w:tcW w:w="566" w:type="dxa"/>
          </w:tcPr>
          <w:p w14:paraId="6453C213" w14:textId="77777777" w:rsidR="00E57238" w:rsidRDefault="00E57238">
            <w:pPr>
              <w:jc w:val="center"/>
            </w:pPr>
          </w:p>
        </w:tc>
      </w:tr>
      <w:tr w:rsidR="00E57238" w:rsidRPr="00B27991" w14:paraId="1BD2803F" w14:textId="22873787" w:rsidTr="67C763DF">
        <w:tc>
          <w:tcPr>
            <w:tcW w:w="4032" w:type="dxa"/>
          </w:tcPr>
          <w:p w14:paraId="3AA6899E" w14:textId="77777777" w:rsidR="00E57238" w:rsidRPr="00B27991" w:rsidRDefault="00E57238">
            <w:r w:rsidRPr="00B27991">
              <w:t>Other</w:t>
            </w:r>
          </w:p>
        </w:tc>
        <w:tc>
          <w:tcPr>
            <w:tcW w:w="566" w:type="dxa"/>
            <w:vAlign w:val="center"/>
          </w:tcPr>
          <w:p w14:paraId="21FA566E" w14:textId="77777777" w:rsidR="00E57238" w:rsidRPr="00B27991" w:rsidRDefault="00E57238">
            <w:pPr>
              <w:jc w:val="center"/>
            </w:pPr>
          </w:p>
        </w:tc>
        <w:tc>
          <w:tcPr>
            <w:tcW w:w="566" w:type="dxa"/>
          </w:tcPr>
          <w:p w14:paraId="3869FB21" w14:textId="29E1B78F" w:rsidR="00E57238" w:rsidRPr="00B27991" w:rsidRDefault="00362A92">
            <w:pPr>
              <w:jc w:val="center"/>
            </w:pPr>
            <w:r>
              <w:t>X</w:t>
            </w:r>
          </w:p>
        </w:tc>
      </w:tr>
    </w:tbl>
    <w:p w14:paraId="5AC8AE06" w14:textId="77777777" w:rsidR="0086153E" w:rsidRDefault="0086153E" w:rsidP="00F63C57">
      <w:pPr>
        <w:spacing w:line="240" w:lineRule="auto"/>
      </w:pPr>
    </w:p>
    <w:p w14:paraId="33907AB6" w14:textId="77777777" w:rsidR="0086153E" w:rsidRDefault="0086153E" w:rsidP="0086153E"/>
    <w:p w14:paraId="16E6D7F3" w14:textId="77777777" w:rsidR="0086153E" w:rsidRDefault="0086153E" w:rsidP="0086153E"/>
    <w:p w14:paraId="2B03503E" w14:textId="77777777" w:rsidR="0086153E" w:rsidRDefault="0086153E" w:rsidP="0086153E"/>
    <w:p w14:paraId="7D9FBDAE" w14:textId="77777777" w:rsidR="0086153E" w:rsidRPr="0086153E" w:rsidRDefault="0086153E" w:rsidP="0086153E"/>
    <w:p w14:paraId="422AC44B" w14:textId="77777777" w:rsidR="00B27991" w:rsidRPr="00B27991" w:rsidRDefault="00B27991" w:rsidP="00B27991">
      <w:pPr>
        <w:keepNext/>
        <w:spacing w:before="240" w:after="120" w:line="240" w:lineRule="auto"/>
        <w:ind w:left="720"/>
        <w:outlineLvl w:val="1"/>
        <w:rPr>
          <w:rFonts w:eastAsia="Times New Roman" w:cs="Times New Roman"/>
          <w:b/>
          <w:sz w:val="24"/>
          <w:szCs w:val="20"/>
          <w:u w:val="single"/>
        </w:rPr>
      </w:pPr>
      <w:bookmarkStart w:id="7" w:name="_Toc523841328"/>
      <w:bookmarkStart w:id="8" w:name="_Toc523843039"/>
    </w:p>
    <w:p w14:paraId="4D13AA3B" w14:textId="6DE18F13" w:rsidR="00F0135B" w:rsidRPr="00371B29" w:rsidRDefault="00F0135B" w:rsidP="00B62223">
      <w:pPr>
        <w:keepNext/>
        <w:numPr>
          <w:ilvl w:val="0"/>
          <w:numId w:val="1"/>
        </w:numPr>
        <w:spacing w:before="120" w:line="240" w:lineRule="auto"/>
        <w:outlineLvl w:val="1"/>
        <w:rPr>
          <w:rFonts w:eastAsia="Times New Roman" w:cs="Times New Roman"/>
          <w:b/>
          <w:sz w:val="24"/>
          <w:szCs w:val="20"/>
          <w:u w:val="single"/>
        </w:rPr>
      </w:pPr>
      <w:bookmarkStart w:id="9" w:name="_Toc173407325"/>
      <w:bookmarkStart w:id="10" w:name="_Toc523843891"/>
      <w:bookmarkStart w:id="11" w:name="_Toc523844630"/>
      <w:r w:rsidRPr="00371B29">
        <w:rPr>
          <w:rFonts w:eastAsia="Times New Roman" w:cs="Times New Roman"/>
          <w:b/>
          <w:sz w:val="24"/>
          <w:szCs w:val="20"/>
          <w:u w:val="single"/>
        </w:rPr>
        <w:t>Program Segment</w:t>
      </w:r>
      <w:bookmarkEnd w:id="9"/>
    </w:p>
    <w:tbl>
      <w:tblPr>
        <w:tblStyle w:val="TableGrid"/>
        <w:tblW w:w="0" w:type="auto"/>
        <w:tblInd w:w="720" w:type="dxa"/>
        <w:tblLook w:val="04A0" w:firstRow="1" w:lastRow="0" w:firstColumn="1" w:lastColumn="0" w:noHBand="0" w:noVBand="1"/>
      </w:tblPr>
      <w:tblGrid>
        <w:gridCol w:w="3960"/>
        <w:gridCol w:w="559"/>
        <w:gridCol w:w="521"/>
      </w:tblGrid>
      <w:tr w:rsidR="000B7EDB" w:rsidRPr="000B7EDB" w14:paraId="5567376C" w14:textId="6D32CB8E" w:rsidTr="00FE5F90">
        <w:trPr>
          <w:trHeight w:val="276"/>
        </w:trPr>
        <w:tc>
          <w:tcPr>
            <w:tcW w:w="3960" w:type="dxa"/>
            <w:tcBorders>
              <w:top w:val="nil"/>
              <w:left w:val="nil"/>
            </w:tcBorders>
          </w:tcPr>
          <w:p w14:paraId="37EAAF3C" w14:textId="5B9E450D" w:rsidR="00E57238" w:rsidRPr="000B7EDB" w:rsidRDefault="00E57238" w:rsidP="009B1E0F">
            <w:pPr>
              <w:pStyle w:val="BodyText"/>
              <w:spacing w:after="0"/>
              <w:ind w:left="0"/>
              <w:rPr>
                <w:i/>
                <w:iCs/>
                <w:color w:val="FF0000"/>
              </w:rPr>
            </w:pPr>
          </w:p>
        </w:tc>
        <w:tc>
          <w:tcPr>
            <w:tcW w:w="559" w:type="dxa"/>
            <w:shd w:val="clear" w:color="auto" w:fill="D0CECE" w:themeFill="background2" w:themeFillShade="E6"/>
          </w:tcPr>
          <w:p w14:paraId="41517487" w14:textId="2E140DD8" w:rsidR="00E57238" w:rsidRPr="00EF1DF4" w:rsidRDefault="00E57238" w:rsidP="009B1E0F">
            <w:pPr>
              <w:pStyle w:val="BodyText"/>
              <w:spacing w:after="0"/>
              <w:ind w:left="0"/>
              <w:jc w:val="center"/>
              <w:rPr>
                <w:b/>
                <w:bCs/>
              </w:rPr>
            </w:pPr>
            <w:r w:rsidRPr="00EF1DF4">
              <w:rPr>
                <w:b/>
                <w:bCs/>
              </w:rPr>
              <w:t>Yes</w:t>
            </w:r>
          </w:p>
        </w:tc>
        <w:tc>
          <w:tcPr>
            <w:tcW w:w="521" w:type="dxa"/>
            <w:shd w:val="clear" w:color="auto" w:fill="D0CECE" w:themeFill="background2" w:themeFillShade="E6"/>
          </w:tcPr>
          <w:p w14:paraId="50B80657" w14:textId="5959E1C5" w:rsidR="00E57238" w:rsidRPr="00EF1DF4" w:rsidRDefault="00E57238" w:rsidP="009B1E0F">
            <w:pPr>
              <w:pStyle w:val="BodyText"/>
              <w:spacing w:after="0"/>
              <w:ind w:left="0"/>
              <w:jc w:val="center"/>
              <w:rPr>
                <w:b/>
                <w:bCs/>
              </w:rPr>
            </w:pPr>
            <w:r w:rsidRPr="00EF1DF4">
              <w:rPr>
                <w:b/>
                <w:bCs/>
              </w:rPr>
              <w:t>No</w:t>
            </w:r>
          </w:p>
        </w:tc>
      </w:tr>
      <w:tr w:rsidR="000B7EDB" w:rsidRPr="000B7EDB" w14:paraId="781946C0" w14:textId="1A0DB639" w:rsidTr="00FE5F90">
        <w:trPr>
          <w:trHeight w:val="287"/>
        </w:trPr>
        <w:tc>
          <w:tcPr>
            <w:tcW w:w="3960" w:type="dxa"/>
          </w:tcPr>
          <w:p w14:paraId="73C6039F" w14:textId="0739D741" w:rsidR="00E57238" w:rsidRPr="00FE5F90" w:rsidRDefault="00E57238" w:rsidP="009B1E0F">
            <w:pPr>
              <w:pStyle w:val="BodyText"/>
              <w:spacing w:after="0"/>
              <w:ind w:left="0"/>
            </w:pPr>
            <w:r w:rsidRPr="00FE5F90">
              <w:t>Equity</w:t>
            </w:r>
          </w:p>
        </w:tc>
        <w:tc>
          <w:tcPr>
            <w:tcW w:w="559" w:type="dxa"/>
            <w:vAlign w:val="center"/>
          </w:tcPr>
          <w:p w14:paraId="0E85DF5A" w14:textId="77777777" w:rsidR="00E57238" w:rsidRPr="00FE5F90" w:rsidRDefault="00E57238" w:rsidP="00FF07FB">
            <w:pPr>
              <w:pStyle w:val="BodyText"/>
              <w:spacing w:after="0"/>
              <w:jc w:val="center"/>
            </w:pPr>
          </w:p>
        </w:tc>
        <w:tc>
          <w:tcPr>
            <w:tcW w:w="521" w:type="dxa"/>
          </w:tcPr>
          <w:p w14:paraId="1B14639B" w14:textId="5429A7C3" w:rsidR="00E57238" w:rsidRPr="00FE5F90" w:rsidRDefault="00362A92" w:rsidP="00277A7D">
            <w:pPr>
              <w:pStyle w:val="BodyText"/>
              <w:spacing w:after="0"/>
              <w:ind w:left="0"/>
              <w:jc w:val="center"/>
            </w:pPr>
            <w:r w:rsidRPr="00FE5F90">
              <w:t>X</w:t>
            </w:r>
          </w:p>
        </w:tc>
      </w:tr>
      <w:tr w:rsidR="00E57238" w14:paraId="34DB9C30" w14:textId="54164D2B" w:rsidTr="00FE5F90">
        <w:trPr>
          <w:trHeight w:val="276"/>
        </w:trPr>
        <w:tc>
          <w:tcPr>
            <w:tcW w:w="3960" w:type="dxa"/>
          </w:tcPr>
          <w:p w14:paraId="7CBC3AFE" w14:textId="59C19404" w:rsidR="00E57238" w:rsidRDefault="00E57238" w:rsidP="009B1E0F">
            <w:pPr>
              <w:pStyle w:val="BodyText"/>
              <w:spacing w:after="0"/>
              <w:ind w:left="0"/>
            </w:pPr>
            <w:r>
              <w:t>Market Support</w:t>
            </w:r>
          </w:p>
        </w:tc>
        <w:tc>
          <w:tcPr>
            <w:tcW w:w="559" w:type="dxa"/>
            <w:vAlign w:val="center"/>
          </w:tcPr>
          <w:p w14:paraId="5C301D3B" w14:textId="77777777" w:rsidR="00E57238" w:rsidRDefault="00E57238" w:rsidP="00FF07FB">
            <w:pPr>
              <w:pStyle w:val="BodyText"/>
              <w:spacing w:after="0"/>
              <w:jc w:val="center"/>
            </w:pPr>
          </w:p>
        </w:tc>
        <w:tc>
          <w:tcPr>
            <w:tcW w:w="521" w:type="dxa"/>
          </w:tcPr>
          <w:p w14:paraId="769B50E5" w14:textId="22814465" w:rsidR="00E57238" w:rsidRDefault="00362A92" w:rsidP="00277A7D">
            <w:pPr>
              <w:pStyle w:val="BodyText"/>
              <w:spacing w:after="0"/>
              <w:ind w:left="0"/>
              <w:jc w:val="center"/>
            </w:pPr>
            <w:r>
              <w:t>X</w:t>
            </w:r>
          </w:p>
        </w:tc>
      </w:tr>
      <w:tr w:rsidR="00E57238" w14:paraId="0AA53E55" w14:textId="0D6FC391" w:rsidTr="00FE5F90">
        <w:trPr>
          <w:trHeight w:val="287"/>
        </w:trPr>
        <w:tc>
          <w:tcPr>
            <w:tcW w:w="3960" w:type="dxa"/>
          </w:tcPr>
          <w:p w14:paraId="6803B3AE" w14:textId="19B1AB84" w:rsidR="00E57238" w:rsidRDefault="00E57238" w:rsidP="009B1E0F">
            <w:pPr>
              <w:pStyle w:val="BodyText"/>
              <w:spacing w:after="0"/>
              <w:ind w:left="0"/>
            </w:pPr>
            <w:r>
              <w:t>Resource Acquisition</w:t>
            </w:r>
          </w:p>
        </w:tc>
        <w:tc>
          <w:tcPr>
            <w:tcW w:w="559" w:type="dxa"/>
            <w:vAlign w:val="center"/>
          </w:tcPr>
          <w:p w14:paraId="7110F6AB" w14:textId="14726A67" w:rsidR="00E57238" w:rsidRDefault="00E57238" w:rsidP="00FF07FB">
            <w:pPr>
              <w:pStyle w:val="BodyText"/>
              <w:spacing w:after="0"/>
              <w:ind w:left="0"/>
              <w:jc w:val="center"/>
            </w:pPr>
            <w:r>
              <w:t>X</w:t>
            </w:r>
          </w:p>
        </w:tc>
        <w:tc>
          <w:tcPr>
            <w:tcW w:w="521" w:type="dxa"/>
          </w:tcPr>
          <w:p w14:paraId="13AE5471" w14:textId="77777777" w:rsidR="00E57238" w:rsidRDefault="00E57238" w:rsidP="00577B91">
            <w:pPr>
              <w:pStyle w:val="BodyText"/>
              <w:spacing w:after="0"/>
              <w:ind w:left="0"/>
            </w:pPr>
          </w:p>
        </w:tc>
      </w:tr>
    </w:tbl>
    <w:p w14:paraId="7DB943E3" w14:textId="3E7296E5" w:rsidR="00B27991" w:rsidRPr="00B27991" w:rsidRDefault="00C47BDB" w:rsidP="00B62223">
      <w:pPr>
        <w:keepNext/>
        <w:numPr>
          <w:ilvl w:val="0"/>
          <w:numId w:val="1"/>
        </w:numPr>
        <w:spacing w:before="120" w:line="240" w:lineRule="auto"/>
        <w:outlineLvl w:val="1"/>
        <w:rPr>
          <w:rFonts w:eastAsia="Times New Roman" w:cs="Times New Roman"/>
          <w:b/>
          <w:sz w:val="24"/>
          <w:szCs w:val="20"/>
          <w:u w:val="single"/>
        </w:rPr>
      </w:pPr>
      <w:bookmarkStart w:id="12" w:name="_Toc173407326"/>
      <w:r>
        <w:rPr>
          <w:rFonts w:eastAsia="Times New Roman" w:cs="Times New Roman"/>
          <w:b/>
          <w:sz w:val="24"/>
          <w:szCs w:val="20"/>
          <w:u w:val="single"/>
        </w:rPr>
        <w:t>Program</w:t>
      </w:r>
      <w:r w:rsidR="00B27991" w:rsidRPr="00B27991">
        <w:rPr>
          <w:rFonts w:eastAsia="Times New Roman" w:cs="Times New Roman"/>
          <w:b/>
          <w:sz w:val="24"/>
          <w:szCs w:val="20"/>
          <w:u w:val="single"/>
        </w:rPr>
        <w:t xml:space="preserve"> S</w:t>
      </w:r>
      <w:bookmarkEnd w:id="7"/>
      <w:bookmarkEnd w:id="8"/>
      <w:bookmarkEnd w:id="10"/>
      <w:bookmarkEnd w:id="11"/>
      <w:r>
        <w:rPr>
          <w:rFonts w:eastAsia="Times New Roman" w:cs="Times New Roman"/>
          <w:b/>
          <w:sz w:val="24"/>
          <w:szCs w:val="20"/>
          <w:u w:val="single"/>
        </w:rPr>
        <w:t>ector</w:t>
      </w:r>
      <w:bookmarkEnd w:id="12"/>
      <w:r w:rsidR="00B27991" w:rsidRPr="00B27991">
        <w:rPr>
          <w:rFonts w:eastAsia="Times New Roman" w:cs="Times New Roman"/>
          <w:b/>
          <w:sz w:val="24"/>
          <w:szCs w:val="20"/>
          <w:u w:val="single"/>
        </w:rPr>
        <w:t xml:space="preserve"> </w:t>
      </w:r>
    </w:p>
    <w:tbl>
      <w:tblPr>
        <w:tblStyle w:val="TableGrid2"/>
        <w:tblpPr w:leftFromText="180" w:rightFromText="180" w:vertAnchor="text" w:horzAnchor="page" w:tblpX="2089" w:tblpY="216"/>
        <w:tblW w:w="0" w:type="auto"/>
        <w:tblLook w:val="04A0" w:firstRow="1" w:lastRow="0" w:firstColumn="1" w:lastColumn="0" w:noHBand="0" w:noVBand="1"/>
      </w:tblPr>
      <w:tblGrid>
        <w:gridCol w:w="4032"/>
        <w:gridCol w:w="566"/>
        <w:gridCol w:w="566"/>
      </w:tblGrid>
      <w:tr w:rsidR="00E57238" w:rsidRPr="00B27991" w14:paraId="3BFE8F4E" w14:textId="63201C7D">
        <w:tc>
          <w:tcPr>
            <w:tcW w:w="4032" w:type="dxa"/>
            <w:tcBorders>
              <w:top w:val="nil"/>
              <w:left w:val="nil"/>
            </w:tcBorders>
            <w:shd w:val="clear" w:color="auto" w:fill="auto"/>
          </w:tcPr>
          <w:p w14:paraId="476E6914" w14:textId="058A64DB" w:rsidR="00E57238" w:rsidRPr="00B27991" w:rsidRDefault="00E57238" w:rsidP="00B27991">
            <w:pPr>
              <w:jc w:val="center"/>
            </w:pPr>
          </w:p>
        </w:tc>
        <w:tc>
          <w:tcPr>
            <w:tcW w:w="566" w:type="dxa"/>
            <w:shd w:val="clear" w:color="auto" w:fill="D0CECE" w:themeFill="background2" w:themeFillShade="E6"/>
            <w:vAlign w:val="center"/>
          </w:tcPr>
          <w:p w14:paraId="71C209CA" w14:textId="77777777" w:rsidR="00E57238" w:rsidRPr="00B27991" w:rsidRDefault="00E57238" w:rsidP="00B27991">
            <w:pPr>
              <w:jc w:val="center"/>
              <w:rPr>
                <w:b/>
              </w:rPr>
            </w:pPr>
            <w:r w:rsidRPr="00B27991">
              <w:rPr>
                <w:b/>
              </w:rPr>
              <w:t>Yes</w:t>
            </w:r>
          </w:p>
        </w:tc>
        <w:tc>
          <w:tcPr>
            <w:tcW w:w="566" w:type="dxa"/>
            <w:shd w:val="clear" w:color="auto" w:fill="D0CECE" w:themeFill="background2" w:themeFillShade="E6"/>
          </w:tcPr>
          <w:p w14:paraId="61F1D21B" w14:textId="2720FE3F" w:rsidR="00E57238" w:rsidRPr="00B27991" w:rsidRDefault="00E57238" w:rsidP="00B27991">
            <w:pPr>
              <w:jc w:val="center"/>
              <w:rPr>
                <w:b/>
              </w:rPr>
            </w:pPr>
            <w:r>
              <w:rPr>
                <w:b/>
              </w:rPr>
              <w:t>No</w:t>
            </w:r>
          </w:p>
        </w:tc>
      </w:tr>
      <w:tr w:rsidR="00E57238" w:rsidRPr="00B27991" w14:paraId="4C61B116" w14:textId="4CB27F79">
        <w:tc>
          <w:tcPr>
            <w:tcW w:w="4032" w:type="dxa"/>
          </w:tcPr>
          <w:p w14:paraId="2FCC862B" w14:textId="77777777" w:rsidR="00E57238" w:rsidRPr="00B27991" w:rsidRDefault="00E57238" w:rsidP="00B27991">
            <w:r w:rsidRPr="00B27991">
              <w:t>Residential</w:t>
            </w:r>
          </w:p>
        </w:tc>
        <w:tc>
          <w:tcPr>
            <w:tcW w:w="566" w:type="dxa"/>
            <w:vAlign w:val="center"/>
          </w:tcPr>
          <w:p w14:paraId="5443E980" w14:textId="2EB45150" w:rsidR="00E57238" w:rsidRPr="00B27991" w:rsidRDefault="00E57238" w:rsidP="00B27991">
            <w:pPr>
              <w:jc w:val="center"/>
            </w:pPr>
            <w:r>
              <w:t>X</w:t>
            </w:r>
          </w:p>
        </w:tc>
        <w:tc>
          <w:tcPr>
            <w:tcW w:w="566" w:type="dxa"/>
          </w:tcPr>
          <w:p w14:paraId="76D11DF8" w14:textId="77777777" w:rsidR="00E57238" w:rsidRDefault="00E57238" w:rsidP="00B27991">
            <w:pPr>
              <w:jc w:val="center"/>
            </w:pPr>
          </w:p>
        </w:tc>
      </w:tr>
      <w:tr w:rsidR="00E57238" w:rsidRPr="00B27991" w14:paraId="3B1E4070" w14:textId="5631A339">
        <w:tc>
          <w:tcPr>
            <w:tcW w:w="4032" w:type="dxa"/>
          </w:tcPr>
          <w:p w14:paraId="5AD36DCF" w14:textId="77777777" w:rsidR="00E57238" w:rsidRPr="00B27991" w:rsidRDefault="00E57238" w:rsidP="00B27991">
            <w:r w:rsidRPr="00B27991">
              <w:t>Commercial</w:t>
            </w:r>
          </w:p>
        </w:tc>
        <w:tc>
          <w:tcPr>
            <w:tcW w:w="566" w:type="dxa"/>
            <w:vAlign w:val="center"/>
          </w:tcPr>
          <w:p w14:paraId="7C288FB6" w14:textId="525E74B3" w:rsidR="00E57238" w:rsidRPr="00B27991" w:rsidRDefault="00E57238" w:rsidP="00B27991">
            <w:pPr>
              <w:jc w:val="center"/>
            </w:pPr>
          </w:p>
        </w:tc>
        <w:tc>
          <w:tcPr>
            <w:tcW w:w="566" w:type="dxa"/>
          </w:tcPr>
          <w:p w14:paraId="494FB013" w14:textId="37C6789A" w:rsidR="00E57238" w:rsidRPr="00B27991" w:rsidRDefault="00E57238" w:rsidP="00B27991">
            <w:pPr>
              <w:jc w:val="center"/>
            </w:pPr>
            <w:r>
              <w:t>X</w:t>
            </w:r>
          </w:p>
        </w:tc>
      </w:tr>
      <w:tr w:rsidR="00E57238" w:rsidRPr="00B27991" w14:paraId="4701013F" w14:textId="42527CE5">
        <w:tc>
          <w:tcPr>
            <w:tcW w:w="4032" w:type="dxa"/>
          </w:tcPr>
          <w:p w14:paraId="129AE454" w14:textId="77777777" w:rsidR="00E57238" w:rsidRPr="00B27991" w:rsidRDefault="00E57238" w:rsidP="00B27991">
            <w:r w:rsidRPr="00B27991">
              <w:t>Industrial</w:t>
            </w:r>
          </w:p>
        </w:tc>
        <w:tc>
          <w:tcPr>
            <w:tcW w:w="566" w:type="dxa"/>
            <w:vAlign w:val="center"/>
          </w:tcPr>
          <w:p w14:paraId="5B36239C" w14:textId="77777777" w:rsidR="00E57238" w:rsidRPr="00B27991" w:rsidRDefault="00E57238" w:rsidP="00B27991">
            <w:pPr>
              <w:jc w:val="center"/>
            </w:pPr>
          </w:p>
        </w:tc>
        <w:tc>
          <w:tcPr>
            <w:tcW w:w="566" w:type="dxa"/>
          </w:tcPr>
          <w:p w14:paraId="718E233F" w14:textId="540D6AE2" w:rsidR="00E57238" w:rsidRPr="00B27991" w:rsidRDefault="00E57238" w:rsidP="00B27991">
            <w:pPr>
              <w:jc w:val="center"/>
            </w:pPr>
            <w:r>
              <w:t>X</w:t>
            </w:r>
          </w:p>
        </w:tc>
      </w:tr>
      <w:tr w:rsidR="00E57238" w:rsidRPr="00B27991" w14:paraId="5D7315BD" w14:textId="7DDD990A">
        <w:tc>
          <w:tcPr>
            <w:tcW w:w="4032" w:type="dxa"/>
          </w:tcPr>
          <w:p w14:paraId="0C99A51B" w14:textId="77777777" w:rsidR="00E57238" w:rsidRPr="00B27991" w:rsidRDefault="00E57238" w:rsidP="00B27991">
            <w:r w:rsidRPr="00B27991">
              <w:t>Agricultural</w:t>
            </w:r>
          </w:p>
        </w:tc>
        <w:tc>
          <w:tcPr>
            <w:tcW w:w="566" w:type="dxa"/>
            <w:vAlign w:val="center"/>
          </w:tcPr>
          <w:p w14:paraId="7D5FC0C4" w14:textId="77777777" w:rsidR="00E57238" w:rsidRPr="00B27991" w:rsidRDefault="00E57238" w:rsidP="00B27991">
            <w:pPr>
              <w:jc w:val="center"/>
            </w:pPr>
          </w:p>
        </w:tc>
        <w:tc>
          <w:tcPr>
            <w:tcW w:w="566" w:type="dxa"/>
          </w:tcPr>
          <w:p w14:paraId="39450E8B" w14:textId="21CA501F" w:rsidR="00E57238" w:rsidRPr="00B27991" w:rsidRDefault="00E57238" w:rsidP="00B27991">
            <w:pPr>
              <w:jc w:val="center"/>
            </w:pPr>
            <w:r>
              <w:t>X</w:t>
            </w:r>
          </w:p>
        </w:tc>
      </w:tr>
      <w:tr w:rsidR="00E57238" w:rsidRPr="00B27991" w14:paraId="0FC68242" w14:textId="7A6BECA3">
        <w:tc>
          <w:tcPr>
            <w:tcW w:w="4032" w:type="dxa"/>
          </w:tcPr>
          <w:p w14:paraId="2315DB4A" w14:textId="77777777" w:rsidR="00E57238" w:rsidRPr="00B27991" w:rsidRDefault="00E57238" w:rsidP="00B27991">
            <w:r w:rsidRPr="00B27991">
              <w:t>Public</w:t>
            </w:r>
          </w:p>
        </w:tc>
        <w:tc>
          <w:tcPr>
            <w:tcW w:w="566" w:type="dxa"/>
            <w:vAlign w:val="center"/>
          </w:tcPr>
          <w:p w14:paraId="188A6161" w14:textId="77777777" w:rsidR="00E57238" w:rsidRPr="00B27991" w:rsidRDefault="00E57238" w:rsidP="00B27991">
            <w:pPr>
              <w:jc w:val="center"/>
            </w:pPr>
          </w:p>
        </w:tc>
        <w:tc>
          <w:tcPr>
            <w:tcW w:w="566" w:type="dxa"/>
          </w:tcPr>
          <w:p w14:paraId="1962109E" w14:textId="69707DF1" w:rsidR="00E57238" w:rsidRPr="00B27991" w:rsidRDefault="00E57238" w:rsidP="00B27991">
            <w:pPr>
              <w:jc w:val="center"/>
            </w:pPr>
            <w:r>
              <w:t>X</w:t>
            </w:r>
          </w:p>
        </w:tc>
      </w:tr>
      <w:tr w:rsidR="00E57238" w:rsidRPr="00B27991" w14:paraId="11F54B4B" w14:textId="68F8EF92">
        <w:tc>
          <w:tcPr>
            <w:tcW w:w="4032" w:type="dxa"/>
          </w:tcPr>
          <w:p w14:paraId="4D7FE469" w14:textId="77777777" w:rsidR="00E57238" w:rsidRPr="00B27991" w:rsidRDefault="00E57238" w:rsidP="00B27991">
            <w:r w:rsidRPr="00B27991">
              <w:t>Codes &amp; Standards</w:t>
            </w:r>
          </w:p>
        </w:tc>
        <w:tc>
          <w:tcPr>
            <w:tcW w:w="566" w:type="dxa"/>
            <w:vAlign w:val="center"/>
          </w:tcPr>
          <w:p w14:paraId="3E6A6018" w14:textId="77777777" w:rsidR="00E57238" w:rsidRPr="00B27991" w:rsidRDefault="00E57238" w:rsidP="00B27991">
            <w:pPr>
              <w:jc w:val="center"/>
            </w:pPr>
          </w:p>
        </w:tc>
        <w:tc>
          <w:tcPr>
            <w:tcW w:w="566" w:type="dxa"/>
          </w:tcPr>
          <w:p w14:paraId="310BB4EB" w14:textId="1B9C67BC" w:rsidR="00E57238" w:rsidRPr="00B27991" w:rsidRDefault="00E57238" w:rsidP="00B27991">
            <w:pPr>
              <w:jc w:val="center"/>
            </w:pPr>
            <w:r>
              <w:t>X</w:t>
            </w:r>
          </w:p>
        </w:tc>
      </w:tr>
      <w:tr w:rsidR="00E57238" w:rsidRPr="00B27991" w14:paraId="586A2CB9" w14:textId="050102A4">
        <w:tc>
          <w:tcPr>
            <w:tcW w:w="4032" w:type="dxa"/>
          </w:tcPr>
          <w:p w14:paraId="0A56362B" w14:textId="77777777" w:rsidR="00E57238" w:rsidRPr="00B27991" w:rsidRDefault="00E57238" w:rsidP="00B27991">
            <w:r w:rsidRPr="00B27991">
              <w:t>Workforce Education &amp; Training</w:t>
            </w:r>
          </w:p>
        </w:tc>
        <w:tc>
          <w:tcPr>
            <w:tcW w:w="566" w:type="dxa"/>
            <w:vAlign w:val="center"/>
          </w:tcPr>
          <w:p w14:paraId="2868D2C2" w14:textId="77777777" w:rsidR="00E57238" w:rsidRPr="00B27991" w:rsidRDefault="00E57238" w:rsidP="00B27991">
            <w:pPr>
              <w:jc w:val="center"/>
            </w:pPr>
          </w:p>
        </w:tc>
        <w:tc>
          <w:tcPr>
            <w:tcW w:w="566" w:type="dxa"/>
          </w:tcPr>
          <w:p w14:paraId="12CEF9A4" w14:textId="5A446153" w:rsidR="00E57238" w:rsidRPr="00B27991" w:rsidRDefault="00E57238" w:rsidP="00B27991">
            <w:pPr>
              <w:jc w:val="center"/>
            </w:pPr>
            <w:r>
              <w:t>X</w:t>
            </w:r>
          </w:p>
        </w:tc>
      </w:tr>
      <w:tr w:rsidR="00E57238" w:rsidRPr="00B27991" w14:paraId="754A794D" w14:textId="2D122CCD">
        <w:tc>
          <w:tcPr>
            <w:tcW w:w="4032" w:type="dxa"/>
          </w:tcPr>
          <w:p w14:paraId="7C42A3A6" w14:textId="77777777" w:rsidR="00E57238" w:rsidRPr="00B27991" w:rsidRDefault="00E57238" w:rsidP="00B27991">
            <w:r w:rsidRPr="00B27991">
              <w:t>Finance</w:t>
            </w:r>
          </w:p>
        </w:tc>
        <w:tc>
          <w:tcPr>
            <w:tcW w:w="566" w:type="dxa"/>
            <w:vAlign w:val="center"/>
          </w:tcPr>
          <w:p w14:paraId="238D0D78" w14:textId="77777777" w:rsidR="00E57238" w:rsidRPr="00B27991" w:rsidRDefault="00E57238" w:rsidP="00B27991">
            <w:pPr>
              <w:jc w:val="center"/>
            </w:pPr>
          </w:p>
        </w:tc>
        <w:tc>
          <w:tcPr>
            <w:tcW w:w="566" w:type="dxa"/>
          </w:tcPr>
          <w:p w14:paraId="2D4D8399" w14:textId="0C5698AE" w:rsidR="00E57238" w:rsidRPr="00B27991" w:rsidRDefault="00E57238" w:rsidP="00B27991">
            <w:pPr>
              <w:jc w:val="center"/>
            </w:pPr>
            <w:r>
              <w:t>X</w:t>
            </w:r>
          </w:p>
        </w:tc>
      </w:tr>
      <w:tr w:rsidR="00E57238" w:rsidRPr="00B27991" w14:paraId="57556296" w14:textId="042EB62C">
        <w:tc>
          <w:tcPr>
            <w:tcW w:w="4032" w:type="dxa"/>
          </w:tcPr>
          <w:p w14:paraId="451C6E77" w14:textId="77777777" w:rsidR="00E57238" w:rsidRPr="00B27991" w:rsidRDefault="00E57238" w:rsidP="00B27991">
            <w:r w:rsidRPr="00B27991">
              <w:t>Other</w:t>
            </w:r>
          </w:p>
        </w:tc>
        <w:tc>
          <w:tcPr>
            <w:tcW w:w="566" w:type="dxa"/>
            <w:vAlign w:val="center"/>
          </w:tcPr>
          <w:p w14:paraId="6EC6AFDB" w14:textId="77777777" w:rsidR="00E57238" w:rsidRPr="00B27991" w:rsidRDefault="00E57238" w:rsidP="00B27991">
            <w:pPr>
              <w:jc w:val="center"/>
            </w:pPr>
          </w:p>
        </w:tc>
        <w:tc>
          <w:tcPr>
            <w:tcW w:w="566" w:type="dxa"/>
          </w:tcPr>
          <w:p w14:paraId="0F0F603F" w14:textId="712BF16C" w:rsidR="00E57238" w:rsidRPr="00B27991" w:rsidRDefault="00E57238" w:rsidP="00B27991">
            <w:pPr>
              <w:jc w:val="center"/>
            </w:pPr>
            <w:r>
              <w:t>X</w:t>
            </w:r>
          </w:p>
        </w:tc>
      </w:tr>
    </w:tbl>
    <w:p w14:paraId="01B4026B" w14:textId="77777777" w:rsidR="00B27991" w:rsidRPr="00B27991" w:rsidRDefault="00B27991" w:rsidP="00B27991"/>
    <w:p w14:paraId="71CD61E4" w14:textId="77777777" w:rsidR="00B27991" w:rsidRPr="00B27991" w:rsidRDefault="00B27991" w:rsidP="00B27991"/>
    <w:p w14:paraId="6F31494F" w14:textId="77777777" w:rsidR="00B27991" w:rsidRPr="00B27991" w:rsidRDefault="00B27991" w:rsidP="00B27991"/>
    <w:p w14:paraId="50D6589B" w14:textId="77777777" w:rsidR="00B27991" w:rsidRPr="00B27991" w:rsidRDefault="00B27991" w:rsidP="00B27991"/>
    <w:p w14:paraId="4A12045B" w14:textId="77777777" w:rsidR="00B27991" w:rsidRPr="00B27991" w:rsidRDefault="00B27991" w:rsidP="00B27991"/>
    <w:p w14:paraId="303DECED" w14:textId="77777777" w:rsidR="00B27991" w:rsidRPr="00B27991" w:rsidRDefault="00B27991" w:rsidP="00B27991">
      <w:r w:rsidRPr="00B27991">
        <w:tab/>
      </w:r>
    </w:p>
    <w:p w14:paraId="52B72014" w14:textId="77777777" w:rsidR="00B27991" w:rsidRPr="00B27991" w:rsidRDefault="00B27991" w:rsidP="00B27991"/>
    <w:p w14:paraId="56569341" w14:textId="77777777" w:rsidR="00B27991" w:rsidRPr="00B27991" w:rsidRDefault="00B27991" w:rsidP="00B27991">
      <w:bookmarkStart w:id="13" w:name="_Toc523841329"/>
      <w:bookmarkStart w:id="14" w:name="_Toc523843040"/>
    </w:p>
    <w:p w14:paraId="525C0558" w14:textId="77777777" w:rsidR="00B27991" w:rsidRPr="00B27991" w:rsidRDefault="00B27991" w:rsidP="00B27991"/>
    <w:p w14:paraId="2F45EDEA" w14:textId="77777777" w:rsidR="00B27991" w:rsidRPr="00B27991" w:rsidRDefault="00B27991" w:rsidP="00B27991"/>
    <w:p w14:paraId="28C507E5" w14:textId="77777777" w:rsidR="00B27991" w:rsidRPr="00B27991" w:rsidRDefault="00B27991" w:rsidP="00B27991"/>
    <w:p w14:paraId="55E2C0DC" w14:textId="2FB6BF5D" w:rsidR="00685738" w:rsidRDefault="00685738" w:rsidP="00B62223">
      <w:pPr>
        <w:keepNext/>
        <w:numPr>
          <w:ilvl w:val="0"/>
          <w:numId w:val="1"/>
        </w:numPr>
        <w:spacing w:before="120" w:line="240" w:lineRule="auto"/>
        <w:outlineLvl w:val="1"/>
        <w:rPr>
          <w:rFonts w:eastAsia="Times New Roman" w:cs="Times New Roman"/>
          <w:b/>
          <w:sz w:val="24"/>
          <w:szCs w:val="20"/>
          <w:u w:val="single"/>
        </w:rPr>
      </w:pPr>
      <w:bookmarkStart w:id="15" w:name="_Toc173407327"/>
      <w:bookmarkStart w:id="16" w:name="_Toc523841330"/>
      <w:bookmarkStart w:id="17" w:name="_Toc523843041"/>
      <w:bookmarkStart w:id="18" w:name="_Toc523843893"/>
      <w:bookmarkStart w:id="19" w:name="_Toc523844632"/>
      <w:bookmarkEnd w:id="13"/>
      <w:bookmarkEnd w:id="14"/>
      <w:r>
        <w:rPr>
          <w:rFonts w:eastAsia="Times New Roman" w:cs="Times New Roman"/>
          <w:b/>
          <w:sz w:val="24"/>
          <w:szCs w:val="20"/>
          <w:u w:val="single"/>
        </w:rPr>
        <w:t>Market Channels</w:t>
      </w:r>
      <w:bookmarkEnd w:id="15"/>
    </w:p>
    <w:tbl>
      <w:tblPr>
        <w:tblStyle w:val="TableGrid"/>
        <w:tblW w:w="0" w:type="auto"/>
        <w:tblInd w:w="720" w:type="dxa"/>
        <w:tblLayout w:type="fixed"/>
        <w:tblLook w:val="04A0" w:firstRow="1" w:lastRow="0" w:firstColumn="1" w:lastColumn="0" w:noHBand="0" w:noVBand="1"/>
      </w:tblPr>
      <w:tblGrid>
        <w:gridCol w:w="3870"/>
        <w:gridCol w:w="602"/>
        <w:gridCol w:w="602"/>
      </w:tblGrid>
      <w:tr w:rsidR="00664F95" w14:paraId="38A1BF34" w14:textId="77777777" w:rsidTr="00664F95">
        <w:trPr>
          <w:trHeight w:val="366"/>
        </w:trPr>
        <w:tc>
          <w:tcPr>
            <w:tcW w:w="3870" w:type="dxa"/>
            <w:tcBorders>
              <w:top w:val="nil"/>
              <w:left w:val="nil"/>
            </w:tcBorders>
          </w:tcPr>
          <w:p w14:paraId="03037D2D" w14:textId="77777777" w:rsidR="003B1786" w:rsidRDefault="003B1786" w:rsidP="00664F95">
            <w:pPr>
              <w:pStyle w:val="BodyText"/>
            </w:pPr>
          </w:p>
        </w:tc>
        <w:tc>
          <w:tcPr>
            <w:tcW w:w="602" w:type="dxa"/>
            <w:shd w:val="clear" w:color="auto" w:fill="BFBFBF" w:themeFill="background1" w:themeFillShade="BF"/>
            <w:vAlign w:val="center"/>
          </w:tcPr>
          <w:p w14:paraId="37E5DA60" w14:textId="505017A7" w:rsidR="003B1786" w:rsidRPr="00664F95" w:rsidRDefault="003B1786" w:rsidP="00664F95">
            <w:pPr>
              <w:pStyle w:val="BodyText"/>
              <w:spacing w:after="0"/>
              <w:ind w:left="0"/>
              <w:jc w:val="center"/>
              <w:rPr>
                <w:b/>
                <w:bCs/>
              </w:rPr>
            </w:pPr>
            <w:r w:rsidRPr="00664F95">
              <w:rPr>
                <w:b/>
                <w:bCs/>
              </w:rPr>
              <w:t>Yes</w:t>
            </w:r>
          </w:p>
        </w:tc>
        <w:tc>
          <w:tcPr>
            <w:tcW w:w="602" w:type="dxa"/>
            <w:shd w:val="clear" w:color="auto" w:fill="BFBFBF" w:themeFill="background1" w:themeFillShade="BF"/>
            <w:vAlign w:val="center"/>
          </w:tcPr>
          <w:p w14:paraId="07F7631B" w14:textId="7083F5F2" w:rsidR="003B1786" w:rsidRPr="00664F95" w:rsidRDefault="003B1786" w:rsidP="00664F95">
            <w:pPr>
              <w:pStyle w:val="BodyText"/>
              <w:spacing w:after="0"/>
              <w:ind w:left="0"/>
              <w:jc w:val="center"/>
              <w:rPr>
                <w:b/>
                <w:bCs/>
              </w:rPr>
            </w:pPr>
            <w:r w:rsidRPr="00664F95">
              <w:rPr>
                <w:b/>
                <w:bCs/>
              </w:rPr>
              <w:t>No</w:t>
            </w:r>
          </w:p>
        </w:tc>
      </w:tr>
      <w:tr w:rsidR="00664F95" w14:paraId="47159C35" w14:textId="77777777" w:rsidTr="00C34B0F">
        <w:trPr>
          <w:trHeight w:val="244"/>
        </w:trPr>
        <w:tc>
          <w:tcPr>
            <w:tcW w:w="3870" w:type="dxa"/>
          </w:tcPr>
          <w:p w14:paraId="3030F0CE" w14:textId="71421153" w:rsidR="003B1786" w:rsidRDefault="003B1786" w:rsidP="00664F95">
            <w:pPr>
              <w:pStyle w:val="BodyText"/>
              <w:spacing w:after="0"/>
              <w:ind w:left="0"/>
            </w:pPr>
            <w:r>
              <w:t>Upstream</w:t>
            </w:r>
          </w:p>
        </w:tc>
        <w:tc>
          <w:tcPr>
            <w:tcW w:w="602" w:type="dxa"/>
            <w:vAlign w:val="center"/>
          </w:tcPr>
          <w:p w14:paraId="6092CA2D" w14:textId="77777777" w:rsidR="003B1786" w:rsidRDefault="003B1786" w:rsidP="00C34B0F">
            <w:pPr>
              <w:pStyle w:val="BodyText"/>
              <w:spacing w:after="0"/>
              <w:ind w:left="0"/>
              <w:jc w:val="center"/>
            </w:pPr>
          </w:p>
        </w:tc>
        <w:tc>
          <w:tcPr>
            <w:tcW w:w="602" w:type="dxa"/>
            <w:vAlign w:val="center"/>
          </w:tcPr>
          <w:p w14:paraId="7A631B27" w14:textId="1544C9BB" w:rsidR="003B1786" w:rsidRDefault="00C34B0F" w:rsidP="00C34B0F">
            <w:pPr>
              <w:pStyle w:val="BodyText"/>
              <w:spacing w:after="0"/>
              <w:ind w:left="0"/>
              <w:jc w:val="center"/>
            </w:pPr>
            <w:r>
              <w:t>X</w:t>
            </w:r>
          </w:p>
        </w:tc>
      </w:tr>
      <w:tr w:rsidR="00664F95" w14:paraId="0DB472AF" w14:textId="77777777" w:rsidTr="00C34B0F">
        <w:trPr>
          <w:trHeight w:val="253"/>
        </w:trPr>
        <w:tc>
          <w:tcPr>
            <w:tcW w:w="3870" w:type="dxa"/>
          </w:tcPr>
          <w:p w14:paraId="23166C9B" w14:textId="463CFD66" w:rsidR="003B1786" w:rsidRDefault="003B1786" w:rsidP="00664F95">
            <w:pPr>
              <w:pStyle w:val="BodyText"/>
              <w:spacing w:after="0"/>
              <w:ind w:left="0"/>
            </w:pPr>
            <w:r>
              <w:t>Midstream</w:t>
            </w:r>
          </w:p>
        </w:tc>
        <w:tc>
          <w:tcPr>
            <w:tcW w:w="602" w:type="dxa"/>
            <w:vAlign w:val="center"/>
          </w:tcPr>
          <w:p w14:paraId="2E51377F" w14:textId="77777777" w:rsidR="003B1786" w:rsidRDefault="003B1786" w:rsidP="00C34B0F">
            <w:pPr>
              <w:pStyle w:val="BodyText"/>
              <w:spacing w:after="0"/>
              <w:ind w:left="0"/>
              <w:jc w:val="center"/>
            </w:pPr>
          </w:p>
        </w:tc>
        <w:tc>
          <w:tcPr>
            <w:tcW w:w="602" w:type="dxa"/>
            <w:vAlign w:val="center"/>
          </w:tcPr>
          <w:p w14:paraId="7CCADE05" w14:textId="0AFBC5D5" w:rsidR="003B1786" w:rsidRDefault="00C34B0F" w:rsidP="00C34B0F">
            <w:pPr>
              <w:pStyle w:val="BodyText"/>
              <w:spacing w:after="0"/>
              <w:ind w:left="0"/>
              <w:jc w:val="center"/>
            </w:pPr>
            <w:r>
              <w:t>X</w:t>
            </w:r>
          </w:p>
        </w:tc>
      </w:tr>
      <w:tr w:rsidR="00664F95" w14:paraId="00F5C925" w14:textId="77777777" w:rsidTr="00C34B0F">
        <w:trPr>
          <w:trHeight w:val="244"/>
        </w:trPr>
        <w:tc>
          <w:tcPr>
            <w:tcW w:w="3870" w:type="dxa"/>
          </w:tcPr>
          <w:p w14:paraId="5EA069A1" w14:textId="1DFA9126" w:rsidR="003B1786" w:rsidRDefault="003B1786" w:rsidP="00664F95">
            <w:pPr>
              <w:pStyle w:val="BodyText"/>
              <w:spacing w:after="0"/>
              <w:ind w:left="0"/>
            </w:pPr>
            <w:r>
              <w:t>Downstream</w:t>
            </w:r>
          </w:p>
        </w:tc>
        <w:tc>
          <w:tcPr>
            <w:tcW w:w="602" w:type="dxa"/>
            <w:vAlign w:val="center"/>
          </w:tcPr>
          <w:p w14:paraId="4B013F52" w14:textId="77777777" w:rsidR="003B1786" w:rsidRDefault="003B1786" w:rsidP="00C34B0F">
            <w:pPr>
              <w:pStyle w:val="BodyText"/>
              <w:spacing w:after="0"/>
              <w:ind w:left="0"/>
              <w:jc w:val="center"/>
            </w:pPr>
          </w:p>
        </w:tc>
        <w:tc>
          <w:tcPr>
            <w:tcW w:w="602" w:type="dxa"/>
            <w:vAlign w:val="center"/>
          </w:tcPr>
          <w:p w14:paraId="09E713F8" w14:textId="77E12703" w:rsidR="003B1786" w:rsidRDefault="00C34B0F" w:rsidP="00C34B0F">
            <w:pPr>
              <w:pStyle w:val="BodyText"/>
              <w:spacing w:after="0"/>
              <w:ind w:left="0"/>
              <w:jc w:val="center"/>
            </w:pPr>
            <w:r>
              <w:t>X</w:t>
            </w:r>
          </w:p>
        </w:tc>
      </w:tr>
      <w:tr w:rsidR="00664F95" w14:paraId="6C5E857C" w14:textId="77777777" w:rsidTr="00C34B0F">
        <w:trPr>
          <w:trHeight w:val="253"/>
        </w:trPr>
        <w:tc>
          <w:tcPr>
            <w:tcW w:w="3870" w:type="dxa"/>
          </w:tcPr>
          <w:p w14:paraId="70323ED2" w14:textId="5F9424E1" w:rsidR="003B1786" w:rsidRDefault="003B1786" w:rsidP="00664F95">
            <w:pPr>
              <w:pStyle w:val="BodyText"/>
              <w:spacing w:after="0"/>
              <w:ind w:left="0"/>
            </w:pPr>
            <w:r>
              <w:t>Direct Install</w:t>
            </w:r>
          </w:p>
        </w:tc>
        <w:tc>
          <w:tcPr>
            <w:tcW w:w="602" w:type="dxa"/>
            <w:vAlign w:val="center"/>
          </w:tcPr>
          <w:p w14:paraId="52A0E8D6" w14:textId="43364D6B" w:rsidR="003B1786" w:rsidRDefault="00C34B0F" w:rsidP="00C34B0F">
            <w:pPr>
              <w:pStyle w:val="BodyText"/>
              <w:spacing w:after="0"/>
              <w:ind w:left="0"/>
              <w:jc w:val="center"/>
            </w:pPr>
            <w:r>
              <w:t>X</w:t>
            </w:r>
          </w:p>
        </w:tc>
        <w:tc>
          <w:tcPr>
            <w:tcW w:w="602" w:type="dxa"/>
            <w:vAlign w:val="center"/>
          </w:tcPr>
          <w:p w14:paraId="02114A5D" w14:textId="77777777" w:rsidR="003B1786" w:rsidRDefault="003B1786" w:rsidP="00C34B0F">
            <w:pPr>
              <w:pStyle w:val="BodyText"/>
              <w:spacing w:after="0"/>
              <w:ind w:left="0"/>
              <w:jc w:val="center"/>
            </w:pPr>
          </w:p>
        </w:tc>
      </w:tr>
    </w:tbl>
    <w:p w14:paraId="2E3150E1" w14:textId="2B07660D" w:rsidR="00B27991" w:rsidRPr="00514B23" w:rsidRDefault="00B27991" w:rsidP="00B62223">
      <w:pPr>
        <w:keepNext/>
        <w:numPr>
          <w:ilvl w:val="0"/>
          <w:numId w:val="1"/>
        </w:numPr>
        <w:spacing w:before="120" w:line="240" w:lineRule="auto"/>
        <w:outlineLvl w:val="1"/>
        <w:rPr>
          <w:rFonts w:eastAsia="Times New Roman" w:cs="Times New Roman"/>
          <w:b/>
          <w:sz w:val="24"/>
          <w:szCs w:val="20"/>
          <w:u w:val="single"/>
        </w:rPr>
      </w:pPr>
      <w:bookmarkStart w:id="20" w:name="_Toc173407328"/>
      <w:r w:rsidRPr="00514B23">
        <w:rPr>
          <w:rFonts w:eastAsia="Times New Roman" w:cs="Times New Roman"/>
          <w:b/>
          <w:sz w:val="24"/>
          <w:szCs w:val="20"/>
          <w:u w:val="single"/>
        </w:rPr>
        <w:t>Intervention Strategies</w:t>
      </w:r>
      <w:bookmarkEnd w:id="16"/>
      <w:bookmarkEnd w:id="17"/>
      <w:bookmarkEnd w:id="18"/>
      <w:bookmarkEnd w:id="19"/>
      <w:bookmarkEnd w:id="20"/>
    </w:p>
    <w:tbl>
      <w:tblPr>
        <w:tblStyle w:val="TableGrid2"/>
        <w:tblpPr w:leftFromText="180" w:rightFromText="180" w:vertAnchor="text" w:horzAnchor="page" w:tblpX="2104" w:tblpY="20"/>
        <w:tblW w:w="0" w:type="auto"/>
        <w:tblLook w:val="04A0" w:firstRow="1" w:lastRow="0" w:firstColumn="1" w:lastColumn="0" w:noHBand="0" w:noVBand="1"/>
      </w:tblPr>
      <w:tblGrid>
        <w:gridCol w:w="4032"/>
        <w:gridCol w:w="566"/>
        <w:gridCol w:w="525"/>
      </w:tblGrid>
      <w:tr w:rsidR="00B27991" w:rsidRPr="00B27991" w14:paraId="23550ABD" w14:textId="77777777" w:rsidTr="00B62223">
        <w:tc>
          <w:tcPr>
            <w:tcW w:w="4032" w:type="dxa"/>
            <w:tcBorders>
              <w:top w:val="nil"/>
              <w:left w:val="nil"/>
            </w:tcBorders>
            <w:shd w:val="clear" w:color="auto" w:fill="auto"/>
          </w:tcPr>
          <w:p w14:paraId="34F89285" w14:textId="3EB27449" w:rsidR="00B27991" w:rsidRPr="00B27991" w:rsidRDefault="00B27991" w:rsidP="00B27991">
            <w:pPr>
              <w:jc w:val="center"/>
            </w:pPr>
            <w:bookmarkStart w:id="21" w:name="_Hlk172693900"/>
          </w:p>
        </w:tc>
        <w:tc>
          <w:tcPr>
            <w:tcW w:w="566" w:type="dxa"/>
            <w:shd w:val="clear" w:color="auto" w:fill="F2F2F2" w:themeFill="background1" w:themeFillShade="F2"/>
          </w:tcPr>
          <w:p w14:paraId="3F19B66F" w14:textId="77777777" w:rsidR="00B27991" w:rsidRPr="00B27991" w:rsidRDefault="00B27991" w:rsidP="00B27991">
            <w:pPr>
              <w:jc w:val="center"/>
              <w:rPr>
                <w:b/>
              </w:rPr>
            </w:pPr>
            <w:r w:rsidRPr="00B27991">
              <w:rPr>
                <w:b/>
              </w:rPr>
              <w:t>Yes</w:t>
            </w:r>
          </w:p>
        </w:tc>
        <w:tc>
          <w:tcPr>
            <w:tcW w:w="525" w:type="dxa"/>
            <w:shd w:val="clear" w:color="auto" w:fill="F2F2F2" w:themeFill="background1" w:themeFillShade="F2"/>
          </w:tcPr>
          <w:p w14:paraId="58788A0D" w14:textId="77777777" w:rsidR="00B27991" w:rsidRPr="00B27991" w:rsidRDefault="00B27991" w:rsidP="00B27991">
            <w:pPr>
              <w:jc w:val="center"/>
              <w:rPr>
                <w:b/>
              </w:rPr>
            </w:pPr>
            <w:r w:rsidRPr="00B27991">
              <w:rPr>
                <w:b/>
              </w:rPr>
              <w:t>No</w:t>
            </w:r>
          </w:p>
        </w:tc>
      </w:tr>
      <w:tr w:rsidR="00B27991" w:rsidRPr="00B27991" w14:paraId="7AE35500" w14:textId="77777777" w:rsidTr="00F10FB4">
        <w:tc>
          <w:tcPr>
            <w:tcW w:w="4032" w:type="dxa"/>
          </w:tcPr>
          <w:p w14:paraId="1089AB5C" w14:textId="14962029" w:rsidR="00B27991" w:rsidRPr="00B27991" w:rsidRDefault="00C34B0F" w:rsidP="00B27991">
            <w:r>
              <w:t>Direct Install</w:t>
            </w:r>
          </w:p>
        </w:tc>
        <w:tc>
          <w:tcPr>
            <w:tcW w:w="566" w:type="dxa"/>
            <w:vAlign w:val="center"/>
          </w:tcPr>
          <w:p w14:paraId="0C7FB2D4" w14:textId="4DC0438A" w:rsidR="00B27991" w:rsidRPr="00B27991" w:rsidRDefault="006D1EE7" w:rsidP="00B27991">
            <w:pPr>
              <w:jc w:val="center"/>
            </w:pPr>
            <w:r>
              <w:t>X</w:t>
            </w:r>
          </w:p>
        </w:tc>
        <w:tc>
          <w:tcPr>
            <w:tcW w:w="525" w:type="dxa"/>
            <w:vAlign w:val="center"/>
          </w:tcPr>
          <w:p w14:paraId="19FC30A8" w14:textId="45F51BEA" w:rsidR="00B27991" w:rsidRPr="00B27991" w:rsidRDefault="00B27991" w:rsidP="00B27991">
            <w:pPr>
              <w:jc w:val="center"/>
            </w:pPr>
          </w:p>
        </w:tc>
      </w:tr>
      <w:tr w:rsidR="00B27991" w:rsidRPr="00B27991" w14:paraId="54CF849F" w14:textId="77777777" w:rsidTr="00F10FB4">
        <w:tc>
          <w:tcPr>
            <w:tcW w:w="4032" w:type="dxa"/>
          </w:tcPr>
          <w:p w14:paraId="7E40D523" w14:textId="49CBC387" w:rsidR="00B27991" w:rsidRPr="00B27991" w:rsidRDefault="00C34B0F" w:rsidP="00B27991">
            <w:r>
              <w:t>Incentive</w:t>
            </w:r>
          </w:p>
        </w:tc>
        <w:tc>
          <w:tcPr>
            <w:tcW w:w="566" w:type="dxa"/>
            <w:vAlign w:val="center"/>
          </w:tcPr>
          <w:p w14:paraId="183D8E89" w14:textId="5E61CEC9" w:rsidR="00B27991" w:rsidRPr="00B27991" w:rsidRDefault="00B27991" w:rsidP="00B27991">
            <w:pPr>
              <w:jc w:val="center"/>
            </w:pPr>
          </w:p>
        </w:tc>
        <w:tc>
          <w:tcPr>
            <w:tcW w:w="525" w:type="dxa"/>
            <w:vAlign w:val="center"/>
          </w:tcPr>
          <w:p w14:paraId="0C91EA20" w14:textId="63EBDD19" w:rsidR="00B27991" w:rsidRPr="00B27991" w:rsidRDefault="006D1EE7" w:rsidP="00B27991">
            <w:pPr>
              <w:jc w:val="center"/>
            </w:pPr>
            <w:r>
              <w:t>X</w:t>
            </w:r>
          </w:p>
        </w:tc>
      </w:tr>
      <w:tr w:rsidR="00B27991" w:rsidRPr="00B27991" w14:paraId="3275B545" w14:textId="77777777" w:rsidTr="00F10FB4">
        <w:tc>
          <w:tcPr>
            <w:tcW w:w="4032" w:type="dxa"/>
          </w:tcPr>
          <w:p w14:paraId="381FAE0A" w14:textId="7848AB2B" w:rsidR="00B27991" w:rsidRPr="00B27991" w:rsidRDefault="00C34B0F" w:rsidP="00B27991">
            <w:r>
              <w:t>Finance</w:t>
            </w:r>
          </w:p>
        </w:tc>
        <w:tc>
          <w:tcPr>
            <w:tcW w:w="566" w:type="dxa"/>
            <w:vAlign w:val="center"/>
          </w:tcPr>
          <w:p w14:paraId="32648D26" w14:textId="066AB02B" w:rsidR="00B27991" w:rsidRPr="00B27991" w:rsidRDefault="00B27991" w:rsidP="00B27991">
            <w:pPr>
              <w:jc w:val="center"/>
            </w:pPr>
          </w:p>
        </w:tc>
        <w:tc>
          <w:tcPr>
            <w:tcW w:w="525" w:type="dxa"/>
            <w:vAlign w:val="center"/>
          </w:tcPr>
          <w:p w14:paraId="5687CAA3" w14:textId="6A8DEB5C" w:rsidR="00B27991" w:rsidRPr="00B27991" w:rsidRDefault="006D1EE7" w:rsidP="00B27991">
            <w:pPr>
              <w:jc w:val="center"/>
            </w:pPr>
            <w:r>
              <w:t>X</w:t>
            </w:r>
          </w:p>
        </w:tc>
      </w:tr>
      <w:tr w:rsidR="00B27991" w:rsidRPr="00B27991" w14:paraId="5A911659" w14:textId="77777777" w:rsidTr="00F10FB4">
        <w:tc>
          <w:tcPr>
            <w:tcW w:w="4032" w:type="dxa"/>
          </w:tcPr>
          <w:p w14:paraId="68B7DAAD" w14:textId="1413BC4F" w:rsidR="00B27991" w:rsidRPr="00B27991" w:rsidRDefault="00C34B0F" w:rsidP="00B27991">
            <w:r>
              <w:t>Audit</w:t>
            </w:r>
          </w:p>
        </w:tc>
        <w:tc>
          <w:tcPr>
            <w:tcW w:w="566" w:type="dxa"/>
            <w:vAlign w:val="center"/>
          </w:tcPr>
          <w:p w14:paraId="704D0B0B" w14:textId="618B1C1C" w:rsidR="00B27991" w:rsidRPr="00B27991" w:rsidRDefault="006D1EE7" w:rsidP="00B27991">
            <w:pPr>
              <w:jc w:val="center"/>
            </w:pPr>
            <w:r>
              <w:t>X</w:t>
            </w:r>
          </w:p>
        </w:tc>
        <w:tc>
          <w:tcPr>
            <w:tcW w:w="525" w:type="dxa"/>
            <w:vAlign w:val="center"/>
          </w:tcPr>
          <w:p w14:paraId="56AD89EC" w14:textId="2184368E" w:rsidR="00B27991" w:rsidRPr="00B27991" w:rsidRDefault="00B27991" w:rsidP="00B27991">
            <w:pPr>
              <w:jc w:val="center"/>
            </w:pPr>
          </w:p>
        </w:tc>
      </w:tr>
      <w:tr w:rsidR="00C34B0F" w:rsidRPr="00B27991" w14:paraId="377AB144" w14:textId="77777777" w:rsidTr="00F10FB4">
        <w:tc>
          <w:tcPr>
            <w:tcW w:w="4032" w:type="dxa"/>
          </w:tcPr>
          <w:p w14:paraId="4BC560D0" w14:textId="2883E881" w:rsidR="00C34B0F" w:rsidRDefault="00C34B0F" w:rsidP="00B27991">
            <w:r>
              <w:t>Technical Assistance</w:t>
            </w:r>
          </w:p>
        </w:tc>
        <w:tc>
          <w:tcPr>
            <w:tcW w:w="566" w:type="dxa"/>
            <w:vAlign w:val="center"/>
          </w:tcPr>
          <w:p w14:paraId="6E1FDD9B" w14:textId="30C24965" w:rsidR="00C34B0F" w:rsidRPr="00B27991" w:rsidRDefault="006D1EE7" w:rsidP="00B27991">
            <w:pPr>
              <w:jc w:val="center"/>
            </w:pPr>
            <w:r>
              <w:t>X</w:t>
            </w:r>
          </w:p>
        </w:tc>
        <w:tc>
          <w:tcPr>
            <w:tcW w:w="525" w:type="dxa"/>
            <w:vAlign w:val="center"/>
          </w:tcPr>
          <w:p w14:paraId="57857F8A" w14:textId="77777777" w:rsidR="00C34B0F" w:rsidRPr="00B27991" w:rsidRDefault="00C34B0F" w:rsidP="00B27991">
            <w:pPr>
              <w:jc w:val="center"/>
            </w:pPr>
          </w:p>
        </w:tc>
      </w:tr>
      <w:bookmarkEnd w:id="21"/>
    </w:tbl>
    <w:p w14:paraId="0B133897" w14:textId="77777777" w:rsidR="00B27991" w:rsidRPr="00B27991" w:rsidRDefault="00B27991" w:rsidP="00B27991"/>
    <w:p w14:paraId="7B6EADAD" w14:textId="77777777" w:rsidR="00B27991" w:rsidRPr="00B27991" w:rsidRDefault="00B27991" w:rsidP="00B27991"/>
    <w:p w14:paraId="6009C839" w14:textId="77777777" w:rsidR="00B27991" w:rsidRPr="00B27991" w:rsidRDefault="00B27991" w:rsidP="00B27991"/>
    <w:p w14:paraId="72530EA4" w14:textId="77777777" w:rsidR="00B27991" w:rsidRPr="00B27991" w:rsidRDefault="00B27991" w:rsidP="00B27991"/>
    <w:p w14:paraId="7765A4E8" w14:textId="77777777" w:rsidR="00B27991" w:rsidRPr="00B27991" w:rsidRDefault="00B27991" w:rsidP="00B27991">
      <w:bookmarkStart w:id="22" w:name="_Toc523841331"/>
      <w:bookmarkStart w:id="23" w:name="_Toc523843042"/>
    </w:p>
    <w:p w14:paraId="41CFEB2A" w14:textId="77777777" w:rsidR="00B27991" w:rsidRDefault="00B27991">
      <w:pPr>
        <w:spacing w:after="160"/>
        <w:rPr>
          <w:rFonts w:eastAsia="Times New Roman" w:cs="Times New Roman"/>
          <w:b/>
          <w:sz w:val="24"/>
          <w:szCs w:val="20"/>
          <w:u w:val="single"/>
        </w:rPr>
      </w:pPr>
      <w:bookmarkStart w:id="24" w:name="_Toc523843894"/>
      <w:bookmarkStart w:id="25" w:name="_Toc523844633"/>
      <w:r>
        <w:rPr>
          <w:rFonts w:eastAsia="Times New Roman" w:cs="Times New Roman"/>
          <w:b/>
          <w:sz w:val="24"/>
          <w:szCs w:val="20"/>
          <w:u w:val="single"/>
        </w:rPr>
        <w:br w:type="page"/>
      </w:r>
    </w:p>
    <w:p w14:paraId="5B248AC6" w14:textId="723735CA" w:rsidR="00B27991" w:rsidRPr="003927F1" w:rsidRDefault="00B27991" w:rsidP="00B62223">
      <w:pPr>
        <w:keepNext/>
        <w:numPr>
          <w:ilvl w:val="0"/>
          <w:numId w:val="1"/>
        </w:numPr>
        <w:spacing w:after="120" w:line="240" w:lineRule="auto"/>
        <w:outlineLvl w:val="1"/>
        <w:rPr>
          <w:rFonts w:eastAsia="Times New Roman" w:cs="Times New Roman"/>
          <w:b/>
          <w:sz w:val="24"/>
          <w:szCs w:val="20"/>
          <w:u w:val="single"/>
        </w:rPr>
      </w:pPr>
      <w:bookmarkStart w:id="26" w:name="_Toc173407329"/>
      <w:r w:rsidRPr="00B27991">
        <w:rPr>
          <w:rFonts w:eastAsia="Times New Roman" w:cs="Times New Roman"/>
          <w:b/>
          <w:sz w:val="24"/>
          <w:szCs w:val="20"/>
          <w:u w:val="single"/>
        </w:rPr>
        <w:lastRenderedPageBreak/>
        <w:t>Projected Program Budget</w:t>
      </w:r>
      <w:bookmarkEnd w:id="22"/>
      <w:bookmarkEnd w:id="23"/>
      <w:bookmarkEnd w:id="24"/>
      <w:bookmarkEnd w:id="25"/>
      <w:bookmarkEnd w:id="26"/>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1420"/>
        <w:gridCol w:w="1206"/>
        <w:gridCol w:w="1206"/>
        <w:gridCol w:w="1206"/>
      </w:tblGrid>
      <w:tr w:rsidR="007C257A" w:rsidRPr="00351655" w14:paraId="3A4AFC9A" w14:textId="77777777" w:rsidTr="006B7D72">
        <w:trPr>
          <w:trHeight w:val="288"/>
          <w:jc w:val="center"/>
        </w:trPr>
        <w:tc>
          <w:tcPr>
            <w:tcW w:w="2119" w:type="pct"/>
            <w:tcBorders>
              <w:top w:val="nil"/>
              <w:left w:val="nil"/>
            </w:tcBorders>
            <w:shd w:val="clear" w:color="auto" w:fill="auto"/>
            <w:noWrap/>
            <w:vAlign w:val="center"/>
            <w:hideMark/>
          </w:tcPr>
          <w:p w14:paraId="7FBF24D2" w14:textId="0B753BFC" w:rsidR="00351655" w:rsidRPr="00351655" w:rsidRDefault="00351655" w:rsidP="00351655">
            <w:pPr>
              <w:rPr>
                <w:i/>
                <w:iCs/>
              </w:rPr>
            </w:pPr>
          </w:p>
        </w:tc>
        <w:tc>
          <w:tcPr>
            <w:tcW w:w="813" w:type="pct"/>
            <w:shd w:val="clear" w:color="auto" w:fill="D0CECE" w:themeFill="background2" w:themeFillShade="E6"/>
            <w:noWrap/>
            <w:vAlign w:val="center"/>
            <w:hideMark/>
          </w:tcPr>
          <w:p w14:paraId="62F48A77" w14:textId="6997F2E0" w:rsidR="00351655" w:rsidRPr="00351655" w:rsidRDefault="00351655" w:rsidP="00351655">
            <w:pPr>
              <w:jc w:val="center"/>
              <w:rPr>
                <w:b/>
                <w:bCs/>
              </w:rPr>
            </w:pPr>
            <w:r w:rsidRPr="00351655">
              <w:rPr>
                <w:b/>
                <w:bCs/>
              </w:rPr>
              <w:t>2024</w:t>
            </w:r>
          </w:p>
        </w:tc>
        <w:tc>
          <w:tcPr>
            <w:tcW w:w="690" w:type="pct"/>
            <w:shd w:val="clear" w:color="auto" w:fill="D0CECE" w:themeFill="background2" w:themeFillShade="E6"/>
            <w:noWrap/>
            <w:vAlign w:val="center"/>
            <w:hideMark/>
          </w:tcPr>
          <w:p w14:paraId="5A70F2F0" w14:textId="77777777" w:rsidR="00351655" w:rsidRPr="00351655" w:rsidRDefault="00351655" w:rsidP="00351655">
            <w:pPr>
              <w:jc w:val="center"/>
              <w:rPr>
                <w:b/>
                <w:bCs/>
              </w:rPr>
            </w:pPr>
            <w:r w:rsidRPr="00351655">
              <w:rPr>
                <w:b/>
                <w:bCs/>
              </w:rPr>
              <w:t>2025</w:t>
            </w:r>
          </w:p>
        </w:tc>
        <w:tc>
          <w:tcPr>
            <w:tcW w:w="690" w:type="pct"/>
            <w:shd w:val="clear" w:color="auto" w:fill="D0CECE" w:themeFill="background2" w:themeFillShade="E6"/>
            <w:noWrap/>
            <w:vAlign w:val="center"/>
            <w:hideMark/>
          </w:tcPr>
          <w:p w14:paraId="3A24B6C2" w14:textId="77777777" w:rsidR="00351655" w:rsidRPr="00351655" w:rsidRDefault="00351655" w:rsidP="00351655">
            <w:pPr>
              <w:jc w:val="center"/>
              <w:rPr>
                <w:b/>
                <w:bCs/>
              </w:rPr>
            </w:pPr>
            <w:r w:rsidRPr="00351655">
              <w:rPr>
                <w:b/>
                <w:bCs/>
              </w:rPr>
              <w:t>2026</w:t>
            </w:r>
          </w:p>
        </w:tc>
        <w:tc>
          <w:tcPr>
            <w:tcW w:w="690" w:type="pct"/>
            <w:shd w:val="clear" w:color="auto" w:fill="D0CECE" w:themeFill="background2" w:themeFillShade="E6"/>
            <w:noWrap/>
            <w:vAlign w:val="center"/>
            <w:hideMark/>
          </w:tcPr>
          <w:p w14:paraId="2D83F496" w14:textId="77777777" w:rsidR="00351655" w:rsidRPr="00351655" w:rsidRDefault="00351655" w:rsidP="00351655">
            <w:pPr>
              <w:jc w:val="center"/>
              <w:rPr>
                <w:b/>
                <w:bCs/>
              </w:rPr>
            </w:pPr>
            <w:r w:rsidRPr="00351655">
              <w:rPr>
                <w:b/>
                <w:bCs/>
              </w:rPr>
              <w:t>2027</w:t>
            </w:r>
          </w:p>
        </w:tc>
      </w:tr>
      <w:tr w:rsidR="00A24F53" w:rsidRPr="00351655" w14:paraId="59CCA3DB" w14:textId="77777777" w:rsidTr="006B7D72">
        <w:trPr>
          <w:trHeight w:val="288"/>
          <w:jc w:val="center"/>
        </w:trPr>
        <w:tc>
          <w:tcPr>
            <w:tcW w:w="2119" w:type="pct"/>
            <w:shd w:val="clear" w:color="auto" w:fill="auto"/>
            <w:noWrap/>
            <w:vAlign w:val="center"/>
            <w:hideMark/>
          </w:tcPr>
          <w:p w14:paraId="34490217" w14:textId="77777777" w:rsidR="00351655" w:rsidRPr="00351655" w:rsidRDefault="00351655" w:rsidP="00351655">
            <w:r w:rsidRPr="00351655">
              <w:t>Marketing</w:t>
            </w:r>
          </w:p>
        </w:tc>
        <w:tc>
          <w:tcPr>
            <w:tcW w:w="813" w:type="pct"/>
            <w:shd w:val="clear" w:color="auto" w:fill="auto"/>
            <w:noWrap/>
            <w:vAlign w:val="center"/>
            <w:hideMark/>
          </w:tcPr>
          <w:p w14:paraId="6FE1FBED" w14:textId="77777777" w:rsidR="00351655" w:rsidRPr="00BD5122" w:rsidRDefault="00351655" w:rsidP="009F2705">
            <w:pPr>
              <w:jc w:val="center"/>
            </w:pPr>
            <w:r w:rsidRPr="00BD5122">
              <w:t>$37,304</w:t>
            </w:r>
          </w:p>
        </w:tc>
        <w:tc>
          <w:tcPr>
            <w:tcW w:w="690" w:type="pct"/>
            <w:shd w:val="clear" w:color="auto" w:fill="auto"/>
            <w:noWrap/>
            <w:vAlign w:val="center"/>
            <w:hideMark/>
          </w:tcPr>
          <w:p w14:paraId="4B8AAF8E" w14:textId="77777777" w:rsidR="00351655" w:rsidRPr="00BD5122" w:rsidRDefault="00351655" w:rsidP="009F2705">
            <w:pPr>
              <w:jc w:val="center"/>
            </w:pPr>
            <w:r w:rsidRPr="00BD5122">
              <w:t>$46,278</w:t>
            </w:r>
          </w:p>
        </w:tc>
        <w:tc>
          <w:tcPr>
            <w:tcW w:w="690" w:type="pct"/>
            <w:shd w:val="clear" w:color="auto" w:fill="auto"/>
            <w:noWrap/>
            <w:vAlign w:val="center"/>
            <w:hideMark/>
          </w:tcPr>
          <w:p w14:paraId="227DA930" w14:textId="77777777" w:rsidR="00351655" w:rsidRPr="00BD5122" w:rsidRDefault="00351655" w:rsidP="009F2705">
            <w:pPr>
              <w:jc w:val="center"/>
            </w:pPr>
            <w:r w:rsidRPr="00BD5122">
              <w:t>$54,076</w:t>
            </w:r>
          </w:p>
        </w:tc>
        <w:tc>
          <w:tcPr>
            <w:tcW w:w="690" w:type="pct"/>
            <w:shd w:val="clear" w:color="auto" w:fill="auto"/>
            <w:noWrap/>
            <w:vAlign w:val="center"/>
            <w:hideMark/>
          </w:tcPr>
          <w:p w14:paraId="49D05EAB" w14:textId="77777777" w:rsidR="00351655" w:rsidRPr="00BD5122" w:rsidRDefault="00351655" w:rsidP="009F2705">
            <w:pPr>
              <w:jc w:val="center"/>
            </w:pPr>
            <w:r w:rsidRPr="00BD5122">
              <w:t>$60,399</w:t>
            </w:r>
          </w:p>
        </w:tc>
      </w:tr>
      <w:tr w:rsidR="00A24F53" w:rsidRPr="00351655" w14:paraId="55CE6F2C" w14:textId="77777777" w:rsidTr="006B7D72">
        <w:trPr>
          <w:trHeight w:val="288"/>
          <w:jc w:val="center"/>
        </w:trPr>
        <w:tc>
          <w:tcPr>
            <w:tcW w:w="2119" w:type="pct"/>
            <w:shd w:val="clear" w:color="auto" w:fill="auto"/>
            <w:noWrap/>
            <w:vAlign w:val="center"/>
            <w:hideMark/>
          </w:tcPr>
          <w:p w14:paraId="1AB6EB51" w14:textId="77777777" w:rsidR="00351655" w:rsidRPr="00351655" w:rsidRDefault="00351655" w:rsidP="00351655">
            <w:r w:rsidRPr="00351655">
              <w:t>Direct Implementation—Non-Incentive</w:t>
            </w:r>
          </w:p>
        </w:tc>
        <w:tc>
          <w:tcPr>
            <w:tcW w:w="813" w:type="pct"/>
            <w:shd w:val="clear" w:color="auto" w:fill="auto"/>
            <w:noWrap/>
            <w:vAlign w:val="center"/>
            <w:hideMark/>
          </w:tcPr>
          <w:p w14:paraId="766E4555" w14:textId="3D842487" w:rsidR="00351655" w:rsidRPr="00BD5122" w:rsidRDefault="00351655" w:rsidP="009F2705">
            <w:pPr>
              <w:jc w:val="center"/>
            </w:pPr>
            <w:r w:rsidRPr="00BD5122">
              <w:t>$</w:t>
            </w:r>
            <w:r w:rsidR="004F292B" w:rsidRPr="00D01549">
              <w:t>784</w:t>
            </w:r>
            <w:r w:rsidR="009D112B" w:rsidRPr="00D01549">
              <w:t>,</w:t>
            </w:r>
            <w:r w:rsidR="004F292B" w:rsidRPr="00D01549">
              <w:t>22</w:t>
            </w:r>
            <w:r w:rsidR="0006429C">
              <w:t>1</w:t>
            </w:r>
          </w:p>
        </w:tc>
        <w:tc>
          <w:tcPr>
            <w:tcW w:w="690" w:type="pct"/>
            <w:shd w:val="clear" w:color="auto" w:fill="auto"/>
            <w:noWrap/>
            <w:vAlign w:val="center"/>
            <w:hideMark/>
          </w:tcPr>
          <w:p w14:paraId="7F66D5F2" w14:textId="77777777" w:rsidR="00351655" w:rsidRPr="00BD5122" w:rsidRDefault="00351655" w:rsidP="009F2705">
            <w:pPr>
              <w:jc w:val="center"/>
            </w:pPr>
            <w:r w:rsidRPr="00BD5122">
              <w:t>$565,911</w:t>
            </w:r>
          </w:p>
        </w:tc>
        <w:tc>
          <w:tcPr>
            <w:tcW w:w="690" w:type="pct"/>
            <w:shd w:val="clear" w:color="auto" w:fill="auto"/>
            <w:noWrap/>
            <w:vAlign w:val="center"/>
            <w:hideMark/>
          </w:tcPr>
          <w:p w14:paraId="272A9FB9" w14:textId="77777777" w:rsidR="00351655" w:rsidRPr="00BD5122" w:rsidRDefault="00351655" w:rsidP="009F2705">
            <w:pPr>
              <w:jc w:val="center"/>
            </w:pPr>
            <w:r w:rsidRPr="00BD5122">
              <w:t>$661,262</w:t>
            </w:r>
          </w:p>
        </w:tc>
        <w:tc>
          <w:tcPr>
            <w:tcW w:w="690" w:type="pct"/>
            <w:shd w:val="clear" w:color="auto" w:fill="auto"/>
            <w:noWrap/>
            <w:vAlign w:val="center"/>
            <w:hideMark/>
          </w:tcPr>
          <w:p w14:paraId="293E4AF5" w14:textId="77777777" w:rsidR="00351655" w:rsidRPr="00BD5122" w:rsidRDefault="00351655" w:rsidP="009F2705">
            <w:pPr>
              <w:jc w:val="center"/>
            </w:pPr>
            <w:r w:rsidRPr="00BD5122">
              <w:t>$738,585</w:t>
            </w:r>
          </w:p>
        </w:tc>
      </w:tr>
      <w:tr w:rsidR="00A24F53" w:rsidRPr="00351655" w14:paraId="73D44188" w14:textId="77777777" w:rsidTr="006B7D72">
        <w:trPr>
          <w:trHeight w:val="288"/>
          <w:jc w:val="center"/>
        </w:trPr>
        <w:tc>
          <w:tcPr>
            <w:tcW w:w="2119" w:type="pct"/>
            <w:shd w:val="clear" w:color="auto" w:fill="auto"/>
            <w:noWrap/>
            <w:vAlign w:val="center"/>
            <w:hideMark/>
          </w:tcPr>
          <w:p w14:paraId="6B8BC07A" w14:textId="77777777" w:rsidR="00351655" w:rsidRPr="00351655" w:rsidRDefault="00351655" w:rsidP="00351655">
            <w:r w:rsidRPr="00351655">
              <w:t xml:space="preserve">Direct Implementation—Incentive </w:t>
            </w:r>
          </w:p>
        </w:tc>
        <w:tc>
          <w:tcPr>
            <w:tcW w:w="813" w:type="pct"/>
            <w:shd w:val="clear" w:color="auto" w:fill="auto"/>
            <w:noWrap/>
            <w:vAlign w:val="center"/>
            <w:hideMark/>
          </w:tcPr>
          <w:p w14:paraId="6B63EBD3" w14:textId="141C4080" w:rsidR="00351655" w:rsidRPr="00BD5122" w:rsidRDefault="00351655" w:rsidP="009F2705">
            <w:pPr>
              <w:jc w:val="center"/>
            </w:pPr>
            <w:r w:rsidRPr="00BD5122">
              <w:t>$1,</w:t>
            </w:r>
            <w:r w:rsidR="00A23DBC" w:rsidRPr="00BD5122">
              <w:t>570</w:t>
            </w:r>
            <w:r w:rsidRPr="00BD5122">
              <w:t>,</w:t>
            </w:r>
            <w:r w:rsidR="00A23DBC" w:rsidRPr="00BD5122">
              <w:t>1</w:t>
            </w:r>
            <w:r w:rsidR="001C116F">
              <w:t>40</w:t>
            </w:r>
          </w:p>
        </w:tc>
        <w:tc>
          <w:tcPr>
            <w:tcW w:w="690" w:type="pct"/>
            <w:shd w:val="clear" w:color="auto" w:fill="auto"/>
            <w:noWrap/>
            <w:vAlign w:val="center"/>
            <w:hideMark/>
          </w:tcPr>
          <w:p w14:paraId="735ADFE1" w14:textId="77777777" w:rsidR="00351655" w:rsidRPr="00BD5122" w:rsidRDefault="00351655" w:rsidP="009F2705">
            <w:pPr>
              <w:jc w:val="center"/>
            </w:pPr>
            <w:r w:rsidRPr="00BD5122">
              <w:t>$1,583,958</w:t>
            </w:r>
          </w:p>
        </w:tc>
        <w:tc>
          <w:tcPr>
            <w:tcW w:w="690" w:type="pct"/>
            <w:shd w:val="clear" w:color="auto" w:fill="auto"/>
            <w:noWrap/>
            <w:vAlign w:val="center"/>
            <w:hideMark/>
          </w:tcPr>
          <w:p w14:paraId="004BC00A" w14:textId="77777777" w:rsidR="00351655" w:rsidRPr="00BD5122" w:rsidRDefault="00351655" w:rsidP="009F2705">
            <w:pPr>
              <w:jc w:val="center"/>
            </w:pPr>
            <w:r w:rsidRPr="00BD5122">
              <w:t>$1,850,839</w:t>
            </w:r>
          </w:p>
        </w:tc>
        <w:tc>
          <w:tcPr>
            <w:tcW w:w="690" w:type="pct"/>
            <w:shd w:val="clear" w:color="auto" w:fill="auto"/>
            <w:noWrap/>
            <w:vAlign w:val="center"/>
            <w:hideMark/>
          </w:tcPr>
          <w:p w14:paraId="7512F880" w14:textId="18952EBC" w:rsidR="00351655" w:rsidRPr="00BD5122" w:rsidRDefault="00351655" w:rsidP="009F2705">
            <w:pPr>
              <w:jc w:val="center"/>
            </w:pPr>
            <w:r w:rsidRPr="00BD5122">
              <w:t>$</w:t>
            </w:r>
            <w:r w:rsidR="00192E6F" w:rsidRPr="00BD5122">
              <w:t>1,44</w:t>
            </w:r>
            <w:r w:rsidR="00001F89">
              <w:t>5</w:t>
            </w:r>
            <w:r w:rsidR="00192E6F" w:rsidRPr="00BD5122">
              <w:t>,87</w:t>
            </w:r>
            <w:r w:rsidR="00001F89">
              <w:t>4</w:t>
            </w:r>
          </w:p>
        </w:tc>
      </w:tr>
      <w:tr w:rsidR="00A24F53" w:rsidRPr="00351655" w14:paraId="47424A71" w14:textId="77777777" w:rsidTr="006B7D72">
        <w:trPr>
          <w:trHeight w:val="288"/>
          <w:jc w:val="center"/>
        </w:trPr>
        <w:tc>
          <w:tcPr>
            <w:tcW w:w="2119" w:type="pct"/>
            <w:shd w:val="clear" w:color="auto" w:fill="auto"/>
            <w:noWrap/>
            <w:vAlign w:val="center"/>
            <w:hideMark/>
          </w:tcPr>
          <w:p w14:paraId="30E2F060" w14:textId="63A69E91" w:rsidR="00351655" w:rsidRPr="0075287B" w:rsidRDefault="00351655" w:rsidP="00351655">
            <w:pPr>
              <w:rPr>
                <w:b/>
                <w:bCs/>
              </w:rPr>
            </w:pPr>
            <w:r w:rsidRPr="0075287B">
              <w:rPr>
                <w:b/>
                <w:bCs/>
              </w:rPr>
              <w:t>Total</w:t>
            </w:r>
          </w:p>
        </w:tc>
        <w:tc>
          <w:tcPr>
            <w:tcW w:w="813" w:type="pct"/>
            <w:shd w:val="clear" w:color="auto" w:fill="auto"/>
            <w:noWrap/>
            <w:vAlign w:val="center"/>
            <w:hideMark/>
          </w:tcPr>
          <w:p w14:paraId="0D2C50FE" w14:textId="16759230" w:rsidR="00351655" w:rsidRPr="0075287B" w:rsidRDefault="00351655" w:rsidP="009F2705">
            <w:pPr>
              <w:jc w:val="center"/>
              <w:rPr>
                <w:b/>
                <w:bCs/>
                <w:color w:val="FF0000"/>
              </w:rPr>
            </w:pPr>
            <w:r w:rsidRPr="0075287B">
              <w:rPr>
                <w:b/>
                <w:bCs/>
              </w:rPr>
              <w:t>$</w:t>
            </w:r>
            <w:r w:rsidR="00DB474C" w:rsidRPr="0075287B">
              <w:rPr>
                <w:b/>
                <w:bCs/>
              </w:rPr>
              <w:t>2,391,665</w:t>
            </w:r>
          </w:p>
        </w:tc>
        <w:tc>
          <w:tcPr>
            <w:tcW w:w="690" w:type="pct"/>
            <w:shd w:val="clear" w:color="auto" w:fill="auto"/>
            <w:noWrap/>
            <w:vAlign w:val="center"/>
            <w:hideMark/>
          </w:tcPr>
          <w:p w14:paraId="782BEA00" w14:textId="144BC501" w:rsidR="00351655" w:rsidRPr="0075287B" w:rsidRDefault="00351655" w:rsidP="00E80C2B">
            <w:pPr>
              <w:jc w:val="center"/>
              <w:rPr>
                <w:b/>
                <w:bCs/>
                <w:color w:val="FF0000"/>
              </w:rPr>
            </w:pPr>
            <w:r w:rsidRPr="0075287B">
              <w:rPr>
                <w:b/>
                <w:bCs/>
              </w:rPr>
              <w:t>$</w:t>
            </w:r>
            <w:r w:rsidR="00447BB7" w:rsidRPr="0075287B">
              <w:rPr>
                <w:b/>
                <w:bCs/>
              </w:rPr>
              <w:t>2,196,147</w:t>
            </w:r>
          </w:p>
        </w:tc>
        <w:tc>
          <w:tcPr>
            <w:tcW w:w="690" w:type="pct"/>
            <w:shd w:val="clear" w:color="auto" w:fill="auto"/>
            <w:noWrap/>
            <w:vAlign w:val="center"/>
            <w:hideMark/>
          </w:tcPr>
          <w:p w14:paraId="47BCF803" w14:textId="14709A15" w:rsidR="00351655" w:rsidRPr="0075287B" w:rsidRDefault="00351655" w:rsidP="009F2705">
            <w:pPr>
              <w:jc w:val="center"/>
              <w:rPr>
                <w:b/>
                <w:bCs/>
                <w:color w:val="FF0000"/>
              </w:rPr>
            </w:pPr>
            <w:r w:rsidRPr="0075287B">
              <w:rPr>
                <w:b/>
                <w:bCs/>
              </w:rPr>
              <w:t>$</w:t>
            </w:r>
            <w:r w:rsidR="0027515A" w:rsidRPr="0075287B">
              <w:rPr>
                <w:b/>
                <w:bCs/>
              </w:rPr>
              <w:t>2,566,177</w:t>
            </w:r>
          </w:p>
        </w:tc>
        <w:tc>
          <w:tcPr>
            <w:tcW w:w="690" w:type="pct"/>
            <w:shd w:val="clear" w:color="auto" w:fill="auto"/>
            <w:noWrap/>
            <w:vAlign w:val="center"/>
            <w:hideMark/>
          </w:tcPr>
          <w:p w14:paraId="3783683A" w14:textId="37EE0832" w:rsidR="00351655" w:rsidRPr="0075287B" w:rsidRDefault="00351655" w:rsidP="009F2705">
            <w:pPr>
              <w:jc w:val="center"/>
              <w:rPr>
                <w:b/>
                <w:bCs/>
                <w:color w:val="FF0000"/>
              </w:rPr>
            </w:pPr>
            <w:r w:rsidRPr="0075287B">
              <w:rPr>
                <w:b/>
                <w:bCs/>
              </w:rPr>
              <w:t>$</w:t>
            </w:r>
            <w:r w:rsidR="00FC4830" w:rsidRPr="0075287B">
              <w:rPr>
                <w:b/>
                <w:bCs/>
              </w:rPr>
              <w:t>2,244,858</w:t>
            </w:r>
          </w:p>
        </w:tc>
      </w:tr>
    </w:tbl>
    <w:p w14:paraId="6DD522FA" w14:textId="6BA39E15" w:rsidR="00B27991" w:rsidRPr="00B27991" w:rsidRDefault="000467EF" w:rsidP="00B27991">
      <w:pPr>
        <w:keepNext/>
        <w:numPr>
          <w:ilvl w:val="0"/>
          <w:numId w:val="1"/>
        </w:numPr>
        <w:spacing w:before="240" w:after="120" w:line="240" w:lineRule="auto"/>
        <w:outlineLvl w:val="1"/>
        <w:rPr>
          <w:rFonts w:eastAsia="Times New Roman" w:cs="Times New Roman"/>
          <w:b/>
          <w:sz w:val="24"/>
          <w:szCs w:val="20"/>
          <w:u w:val="single"/>
        </w:rPr>
      </w:pPr>
      <w:bookmarkStart w:id="27" w:name="_Toc523840846"/>
      <w:bookmarkStart w:id="28" w:name="_Toc523840881"/>
      <w:bookmarkStart w:id="29" w:name="_Toc523841332"/>
      <w:bookmarkStart w:id="30" w:name="_Toc523840847"/>
      <w:bookmarkStart w:id="31" w:name="_Toc523840882"/>
      <w:bookmarkStart w:id="32" w:name="_Toc523841333"/>
      <w:bookmarkStart w:id="33" w:name="_Toc173407330"/>
      <w:bookmarkEnd w:id="27"/>
      <w:bookmarkEnd w:id="28"/>
      <w:bookmarkEnd w:id="29"/>
      <w:bookmarkEnd w:id="30"/>
      <w:bookmarkEnd w:id="31"/>
      <w:bookmarkEnd w:id="32"/>
      <w:r>
        <w:rPr>
          <w:rFonts w:eastAsia="Times New Roman" w:cs="Times New Roman"/>
          <w:b/>
          <w:sz w:val="24"/>
          <w:szCs w:val="20"/>
          <w:u w:val="single"/>
        </w:rPr>
        <w:t>Gross Program Impacts</w:t>
      </w:r>
      <w:bookmarkEnd w:id="33"/>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506"/>
        <w:gridCol w:w="1506"/>
        <w:gridCol w:w="1506"/>
        <w:gridCol w:w="1507"/>
      </w:tblGrid>
      <w:tr w:rsidR="00BC4A46" w:rsidRPr="00FD6230" w14:paraId="34B6279E" w14:textId="77777777" w:rsidTr="00BC4A46">
        <w:trPr>
          <w:trHeight w:val="301"/>
          <w:jc w:val="center"/>
        </w:trPr>
        <w:tc>
          <w:tcPr>
            <w:tcW w:w="1475" w:type="pct"/>
            <w:tcBorders>
              <w:top w:val="nil"/>
              <w:left w:val="nil"/>
            </w:tcBorders>
            <w:shd w:val="clear" w:color="auto" w:fill="auto"/>
            <w:vAlign w:val="center"/>
            <w:hideMark/>
          </w:tcPr>
          <w:p w14:paraId="5E689074" w14:textId="42998F3B" w:rsidR="00FD6230" w:rsidRPr="00FD6230" w:rsidRDefault="00FD6230" w:rsidP="00FD6230">
            <w:pPr>
              <w:rPr>
                <w:i/>
                <w:iCs/>
              </w:rPr>
            </w:pPr>
          </w:p>
        </w:tc>
        <w:tc>
          <w:tcPr>
            <w:tcW w:w="881" w:type="pct"/>
            <w:shd w:val="clear" w:color="auto" w:fill="D0CECE" w:themeFill="background2" w:themeFillShade="E6"/>
            <w:vAlign w:val="center"/>
            <w:hideMark/>
          </w:tcPr>
          <w:p w14:paraId="6C7AA83A" w14:textId="77777777" w:rsidR="00FD6230" w:rsidRPr="00FD6230" w:rsidRDefault="00FD6230" w:rsidP="009C7856">
            <w:pPr>
              <w:jc w:val="center"/>
              <w:rPr>
                <w:b/>
                <w:bCs/>
              </w:rPr>
            </w:pPr>
            <w:r w:rsidRPr="00FD6230">
              <w:rPr>
                <w:b/>
                <w:bCs/>
              </w:rPr>
              <w:t>2024</w:t>
            </w:r>
          </w:p>
        </w:tc>
        <w:tc>
          <w:tcPr>
            <w:tcW w:w="881" w:type="pct"/>
            <w:shd w:val="clear" w:color="auto" w:fill="D0CECE" w:themeFill="background2" w:themeFillShade="E6"/>
            <w:vAlign w:val="center"/>
            <w:hideMark/>
          </w:tcPr>
          <w:p w14:paraId="38949D1A" w14:textId="03C3E22C" w:rsidR="00FD6230" w:rsidRPr="00FD6230" w:rsidRDefault="009C7856" w:rsidP="009C7856">
            <w:pPr>
              <w:jc w:val="center"/>
              <w:rPr>
                <w:b/>
                <w:bCs/>
              </w:rPr>
            </w:pPr>
            <w:r w:rsidRPr="009C7856">
              <w:rPr>
                <w:b/>
                <w:bCs/>
              </w:rPr>
              <w:t>2</w:t>
            </w:r>
            <w:r w:rsidR="00FD6230" w:rsidRPr="00FD6230">
              <w:rPr>
                <w:b/>
                <w:bCs/>
              </w:rPr>
              <w:t>025</w:t>
            </w:r>
          </w:p>
        </w:tc>
        <w:tc>
          <w:tcPr>
            <w:tcW w:w="881" w:type="pct"/>
            <w:shd w:val="clear" w:color="auto" w:fill="D0CECE" w:themeFill="background2" w:themeFillShade="E6"/>
            <w:vAlign w:val="center"/>
            <w:hideMark/>
          </w:tcPr>
          <w:p w14:paraId="385BB4CE" w14:textId="77777777" w:rsidR="00FD6230" w:rsidRPr="00FD6230" w:rsidRDefault="00FD6230" w:rsidP="009C7856">
            <w:pPr>
              <w:jc w:val="center"/>
              <w:rPr>
                <w:b/>
                <w:bCs/>
              </w:rPr>
            </w:pPr>
            <w:r w:rsidRPr="00FD6230">
              <w:rPr>
                <w:b/>
                <w:bCs/>
              </w:rPr>
              <w:t>2026</w:t>
            </w:r>
          </w:p>
        </w:tc>
        <w:tc>
          <w:tcPr>
            <w:tcW w:w="882" w:type="pct"/>
            <w:shd w:val="clear" w:color="auto" w:fill="D0CECE" w:themeFill="background2" w:themeFillShade="E6"/>
            <w:vAlign w:val="center"/>
            <w:hideMark/>
          </w:tcPr>
          <w:p w14:paraId="31340BD1" w14:textId="77777777" w:rsidR="00FD6230" w:rsidRPr="00FD6230" w:rsidRDefault="00FD6230" w:rsidP="009C7856">
            <w:pPr>
              <w:jc w:val="center"/>
              <w:rPr>
                <w:b/>
                <w:bCs/>
              </w:rPr>
            </w:pPr>
            <w:r w:rsidRPr="00FD6230">
              <w:rPr>
                <w:b/>
                <w:bCs/>
              </w:rPr>
              <w:t>2027</w:t>
            </w:r>
          </w:p>
        </w:tc>
      </w:tr>
      <w:tr w:rsidR="00BC4A46" w:rsidRPr="00FD6230" w14:paraId="0AC8EEE7" w14:textId="77777777" w:rsidTr="00BC4A46">
        <w:trPr>
          <w:trHeight w:val="301"/>
          <w:jc w:val="center"/>
        </w:trPr>
        <w:tc>
          <w:tcPr>
            <w:tcW w:w="1475" w:type="pct"/>
            <w:shd w:val="clear" w:color="auto" w:fill="auto"/>
            <w:vAlign w:val="center"/>
            <w:hideMark/>
          </w:tcPr>
          <w:p w14:paraId="4B1AB84E" w14:textId="49614A11" w:rsidR="00BD09B6" w:rsidRPr="00FD6230" w:rsidRDefault="00574BD1" w:rsidP="00FD6230">
            <w:r>
              <w:t>kWh</w:t>
            </w:r>
          </w:p>
        </w:tc>
        <w:tc>
          <w:tcPr>
            <w:tcW w:w="881" w:type="pct"/>
            <w:shd w:val="clear" w:color="auto" w:fill="auto"/>
            <w:vAlign w:val="center"/>
          </w:tcPr>
          <w:p w14:paraId="5B1D755B" w14:textId="06016CBC" w:rsidR="00FD6230" w:rsidRPr="00FD6230" w:rsidRDefault="00BC4A46" w:rsidP="009C7856">
            <w:pPr>
              <w:jc w:val="center"/>
              <w:rPr>
                <w:color w:val="FF0000"/>
                <w:highlight w:val="yellow"/>
              </w:rPr>
            </w:pPr>
            <w:r w:rsidRPr="00887773">
              <w:t>1,042,834.11</w:t>
            </w:r>
          </w:p>
        </w:tc>
        <w:tc>
          <w:tcPr>
            <w:tcW w:w="881" w:type="pct"/>
            <w:shd w:val="clear" w:color="auto" w:fill="auto"/>
            <w:vAlign w:val="center"/>
          </w:tcPr>
          <w:p w14:paraId="142C08EA" w14:textId="5A0C0171" w:rsidR="00FD6230" w:rsidRPr="00FD6230" w:rsidRDefault="00473CD6" w:rsidP="009C7856">
            <w:pPr>
              <w:jc w:val="center"/>
              <w:rPr>
                <w:color w:val="FF0000"/>
                <w:highlight w:val="yellow"/>
              </w:rPr>
            </w:pPr>
            <w:r w:rsidRPr="00887773">
              <w:t>1,008,771.15</w:t>
            </w:r>
          </w:p>
        </w:tc>
        <w:tc>
          <w:tcPr>
            <w:tcW w:w="881" w:type="pct"/>
            <w:shd w:val="clear" w:color="auto" w:fill="auto"/>
            <w:vAlign w:val="center"/>
          </w:tcPr>
          <w:p w14:paraId="785EBF36" w14:textId="60A0AD17" w:rsidR="00FD6230" w:rsidRPr="00FD6230" w:rsidRDefault="007F2BBA" w:rsidP="009C7856">
            <w:pPr>
              <w:jc w:val="center"/>
              <w:rPr>
                <w:color w:val="FF0000"/>
                <w:highlight w:val="yellow"/>
              </w:rPr>
            </w:pPr>
            <w:r w:rsidRPr="00887773">
              <w:t>971,2</w:t>
            </w:r>
            <w:r w:rsidR="00001F89">
              <w:t>5</w:t>
            </w:r>
            <w:r w:rsidRPr="00887773">
              <w:t>9.13</w:t>
            </w:r>
          </w:p>
        </w:tc>
        <w:tc>
          <w:tcPr>
            <w:tcW w:w="882" w:type="pct"/>
            <w:shd w:val="clear" w:color="auto" w:fill="auto"/>
            <w:vAlign w:val="center"/>
          </w:tcPr>
          <w:p w14:paraId="65DA8263" w14:textId="2CE2D0EB" w:rsidR="00FD6230" w:rsidRPr="00FD6230" w:rsidRDefault="00D219DF" w:rsidP="009C7856">
            <w:pPr>
              <w:jc w:val="center"/>
              <w:rPr>
                <w:highlight w:val="yellow"/>
              </w:rPr>
            </w:pPr>
            <w:r w:rsidRPr="00887773">
              <w:t>976,719</w:t>
            </w:r>
            <w:r w:rsidR="00277636" w:rsidRPr="00887773">
              <w:t>.56</w:t>
            </w:r>
          </w:p>
        </w:tc>
      </w:tr>
      <w:tr w:rsidR="00A24F53" w:rsidRPr="00FD6230" w14:paraId="48F24804" w14:textId="77777777" w:rsidTr="00BC4A46">
        <w:trPr>
          <w:trHeight w:val="301"/>
          <w:jc w:val="center"/>
        </w:trPr>
        <w:tc>
          <w:tcPr>
            <w:tcW w:w="1475" w:type="pct"/>
            <w:shd w:val="clear" w:color="auto" w:fill="auto"/>
            <w:vAlign w:val="center"/>
            <w:hideMark/>
          </w:tcPr>
          <w:p w14:paraId="5981CCB6" w14:textId="77777777" w:rsidR="00FD6230" w:rsidRPr="00FD6230" w:rsidRDefault="00FD6230" w:rsidP="00FD6230">
            <w:r w:rsidRPr="00FD6230">
              <w:t>kW</w:t>
            </w:r>
          </w:p>
        </w:tc>
        <w:tc>
          <w:tcPr>
            <w:tcW w:w="881" w:type="pct"/>
            <w:shd w:val="clear" w:color="auto" w:fill="auto"/>
            <w:vAlign w:val="center"/>
          </w:tcPr>
          <w:p w14:paraId="6397562E" w14:textId="276C8ED7" w:rsidR="00FD6230" w:rsidRPr="00FD6230" w:rsidRDefault="00DA66DA" w:rsidP="009C7856">
            <w:pPr>
              <w:jc w:val="center"/>
              <w:rPr>
                <w:color w:val="FF0000"/>
                <w:highlight w:val="yellow"/>
              </w:rPr>
            </w:pPr>
            <w:r w:rsidRPr="00887773">
              <w:t>403.78</w:t>
            </w:r>
          </w:p>
        </w:tc>
        <w:tc>
          <w:tcPr>
            <w:tcW w:w="881" w:type="pct"/>
            <w:shd w:val="clear" w:color="auto" w:fill="auto"/>
            <w:vAlign w:val="center"/>
          </w:tcPr>
          <w:p w14:paraId="3FD20A69" w14:textId="70658D95" w:rsidR="00FD6230" w:rsidRPr="00887773" w:rsidRDefault="00E41255" w:rsidP="009C7856">
            <w:pPr>
              <w:jc w:val="center"/>
              <w:rPr>
                <w:color w:val="FF0000"/>
              </w:rPr>
            </w:pPr>
            <w:r w:rsidRPr="00887773">
              <w:t>388.14</w:t>
            </w:r>
          </w:p>
        </w:tc>
        <w:tc>
          <w:tcPr>
            <w:tcW w:w="881" w:type="pct"/>
            <w:shd w:val="clear" w:color="auto" w:fill="auto"/>
            <w:vAlign w:val="center"/>
          </w:tcPr>
          <w:p w14:paraId="77E646F7" w14:textId="4C002DCF" w:rsidR="00FD6230" w:rsidRPr="00887773" w:rsidRDefault="00FE23F8" w:rsidP="009C7856">
            <w:pPr>
              <w:jc w:val="center"/>
              <w:rPr>
                <w:color w:val="FF0000"/>
              </w:rPr>
            </w:pPr>
            <w:r w:rsidRPr="00887773">
              <w:t>371.39</w:t>
            </w:r>
          </w:p>
        </w:tc>
        <w:tc>
          <w:tcPr>
            <w:tcW w:w="882" w:type="pct"/>
            <w:shd w:val="clear" w:color="auto" w:fill="auto"/>
            <w:vAlign w:val="center"/>
          </w:tcPr>
          <w:p w14:paraId="583D765A" w14:textId="0B925587" w:rsidR="00FD6230" w:rsidRPr="00887773" w:rsidRDefault="00FC4830" w:rsidP="009C7856">
            <w:pPr>
              <w:jc w:val="center"/>
            </w:pPr>
            <w:r w:rsidRPr="00887773">
              <w:t>361.61</w:t>
            </w:r>
          </w:p>
        </w:tc>
      </w:tr>
      <w:tr w:rsidR="00A24F53" w:rsidRPr="00FD6230" w14:paraId="0E69A1C9" w14:textId="77777777" w:rsidTr="00BC4A46">
        <w:trPr>
          <w:trHeight w:val="301"/>
          <w:jc w:val="center"/>
        </w:trPr>
        <w:tc>
          <w:tcPr>
            <w:tcW w:w="1475" w:type="pct"/>
            <w:shd w:val="clear" w:color="auto" w:fill="auto"/>
            <w:vAlign w:val="center"/>
            <w:hideMark/>
          </w:tcPr>
          <w:p w14:paraId="11C19BD2" w14:textId="77777777" w:rsidR="00FD6230" w:rsidRPr="00FD6230" w:rsidRDefault="00FD6230" w:rsidP="00FD6230">
            <w:r w:rsidRPr="00FD6230">
              <w:t>Therms</w:t>
            </w:r>
          </w:p>
        </w:tc>
        <w:tc>
          <w:tcPr>
            <w:tcW w:w="881" w:type="pct"/>
            <w:shd w:val="clear" w:color="auto" w:fill="auto"/>
            <w:vAlign w:val="center"/>
          </w:tcPr>
          <w:p w14:paraId="4B837D03" w14:textId="70FEE76E" w:rsidR="00FD6230" w:rsidRPr="00887773" w:rsidRDefault="00FD6230" w:rsidP="009C7856">
            <w:pPr>
              <w:jc w:val="center"/>
              <w:rPr>
                <w:color w:val="FF0000"/>
              </w:rPr>
            </w:pPr>
            <w:r w:rsidRPr="00887773">
              <w:t>50,</w:t>
            </w:r>
            <w:r w:rsidR="00116FBB" w:rsidRPr="00887773">
              <w:t>722.69</w:t>
            </w:r>
          </w:p>
        </w:tc>
        <w:tc>
          <w:tcPr>
            <w:tcW w:w="881" w:type="pct"/>
            <w:shd w:val="clear" w:color="auto" w:fill="auto"/>
            <w:vAlign w:val="center"/>
          </w:tcPr>
          <w:p w14:paraId="0E5FBF00" w14:textId="07B40A90" w:rsidR="00FD6230" w:rsidRPr="00887773" w:rsidRDefault="00E41255" w:rsidP="009C7856">
            <w:pPr>
              <w:jc w:val="center"/>
              <w:rPr>
                <w:color w:val="FF0000"/>
              </w:rPr>
            </w:pPr>
            <w:r w:rsidRPr="00887773">
              <w:t>50,017.27</w:t>
            </w:r>
          </w:p>
        </w:tc>
        <w:tc>
          <w:tcPr>
            <w:tcW w:w="881" w:type="pct"/>
            <w:shd w:val="clear" w:color="auto" w:fill="auto"/>
            <w:vAlign w:val="center"/>
          </w:tcPr>
          <w:p w14:paraId="0A2F0D7D" w14:textId="115C2C79" w:rsidR="00FD6230" w:rsidRPr="00887773" w:rsidRDefault="00FE23F8" w:rsidP="009C7856">
            <w:pPr>
              <w:jc w:val="center"/>
              <w:rPr>
                <w:color w:val="FF0000"/>
              </w:rPr>
            </w:pPr>
            <w:r w:rsidRPr="00887773">
              <w:t>49,053.92</w:t>
            </w:r>
          </w:p>
        </w:tc>
        <w:tc>
          <w:tcPr>
            <w:tcW w:w="882" w:type="pct"/>
            <w:shd w:val="clear" w:color="auto" w:fill="auto"/>
            <w:vAlign w:val="center"/>
          </w:tcPr>
          <w:p w14:paraId="4A252783" w14:textId="430EBB93" w:rsidR="00FD6230" w:rsidRPr="00887773" w:rsidRDefault="00FC4830" w:rsidP="009C7856">
            <w:pPr>
              <w:jc w:val="center"/>
            </w:pPr>
            <w:r w:rsidRPr="00887773">
              <w:t>56,302.34</w:t>
            </w:r>
          </w:p>
        </w:tc>
      </w:tr>
      <w:tr w:rsidR="00A24F53" w:rsidRPr="00FD6230" w14:paraId="3B7D1F69" w14:textId="77777777" w:rsidTr="00BC4A46">
        <w:trPr>
          <w:trHeight w:val="301"/>
          <w:jc w:val="center"/>
        </w:trPr>
        <w:tc>
          <w:tcPr>
            <w:tcW w:w="1475" w:type="pct"/>
            <w:shd w:val="clear" w:color="auto" w:fill="auto"/>
            <w:vAlign w:val="center"/>
          </w:tcPr>
          <w:p w14:paraId="057063A8" w14:textId="6AF76B10" w:rsidR="00FD6230" w:rsidRPr="00FD6230" w:rsidRDefault="009C7856" w:rsidP="00FD6230">
            <w:r>
              <w:t>TSB</w:t>
            </w:r>
          </w:p>
        </w:tc>
        <w:tc>
          <w:tcPr>
            <w:tcW w:w="881" w:type="pct"/>
            <w:shd w:val="clear" w:color="auto" w:fill="auto"/>
            <w:vAlign w:val="center"/>
          </w:tcPr>
          <w:p w14:paraId="43ABCA05" w14:textId="3F3602EE" w:rsidR="00FD6230" w:rsidRPr="00887773" w:rsidRDefault="00D16495" w:rsidP="009C7856">
            <w:pPr>
              <w:jc w:val="center"/>
            </w:pPr>
            <w:r w:rsidRPr="00887773">
              <w:t>$1,048,744</w:t>
            </w:r>
          </w:p>
        </w:tc>
        <w:tc>
          <w:tcPr>
            <w:tcW w:w="881" w:type="pct"/>
            <w:shd w:val="clear" w:color="auto" w:fill="auto"/>
            <w:vAlign w:val="center"/>
          </w:tcPr>
          <w:p w14:paraId="3071FF2E" w14:textId="10C38233" w:rsidR="00FD6230" w:rsidRPr="00887773" w:rsidRDefault="00FD6230" w:rsidP="009C7856">
            <w:pPr>
              <w:jc w:val="center"/>
            </w:pPr>
            <w:r w:rsidRPr="00887773">
              <w:t>$</w:t>
            </w:r>
            <w:r w:rsidR="00CB4317" w:rsidRPr="00887773">
              <w:t>1,054,097</w:t>
            </w:r>
          </w:p>
        </w:tc>
        <w:tc>
          <w:tcPr>
            <w:tcW w:w="881" w:type="pct"/>
            <w:shd w:val="clear" w:color="auto" w:fill="auto"/>
            <w:vAlign w:val="center"/>
          </w:tcPr>
          <w:p w14:paraId="205747A1" w14:textId="184FA0C7" w:rsidR="00FD6230" w:rsidRPr="00887773" w:rsidRDefault="00FD6230" w:rsidP="009C7856">
            <w:pPr>
              <w:jc w:val="center"/>
            </w:pPr>
            <w:r w:rsidRPr="00887773">
              <w:t>$</w:t>
            </w:r>
            <w:r w:rsidR="00883068" w:rsidRPr="00887773">
              <w:t>1,056,820</w:t>
            </w:r>
          </w:p>
        </w:tc>
        <w:tc>
          <w:tcPr>
            <w:tcW w:w="882" w:type="pct"/>
            <w:shd w:val="clear" w:color="auto" w:fill="auto"/>
            <w:vAlign w:val="center"/>
          </w:tcPr>
          <w:p w14:paraId="4F639CA4" w14:textId="2EE889B4" w:rsidR="00FD6230" w:rsidRPr="00887773" w:rsidRDefault="00FD6230" w:rsidP="009C7856">
            <w:pPr>
              <w:jc w:val="center"/>
            </w:pPr>
            <w:r w:rsidRPr="00887773">
              <w:t>$</w:t>
            </w:r>
            <w:r w:rsidR="00997B18" w:rsidRPr="00887773">
              <w:t>1,132,396</w:t>
            </w:r>
          </w:p>
        </w:tc>
      </w:tr>
    </w:tbl>
    <w:p w14:paraId="13403B66" w14:textId="55339D16" w:rsidR="003927F1" w:rsidRPr="003927F1" w:rsidRDefault="00C715D4" w:rsidP="003927F1">
      <w:pPr>
        <w:keepNext/>
        <w:numPr>
          <w:ilvl w:val="0"/>
          <w:numId w:val="1"/>
        </w:numPr>
        <w:spacing w:before="240" w:after="120" w:line="240" w:lineRule="auto"/>
        <w:outlineLvl w:val="1"/>
        <w:rPr>
          <w:rFonts w:eastAsia="Times New Roman" w:cs="Times New Roman"/>
          <w:b/>
          <w:sz w:val="24"/>
          <w:szCs w:val="20"/>
          <w:u w:val="single"/>
        </w:rPr>
      </w:pPr>
      <w:bookmarkStart w:id="34" w:name="_Toc173407331"/>
      <w:bookmarkStart w:id="35" w:name="_Toc523841335"/>
      <w:bookmarkStart w:id="36" w:name="_Toc523843044"/>
      <w:bookmarkStart w:id="37" w:name="_Toc523843896"/>
      <w:bookmarkStart w:id="38" w:name="_Toc523844635"/>
      <w:r>
        <w:rPr>
          <w:rFonts w:eastAsia="Times New Roman" w:cs="Times New Roman"/>
          <w:b/>
          <w:sz w:val="24"/>
          <w:szCs w:val="20"/>
          <w:u w:val="single"/>
        </w:rPr>
        <w:t>Program Cost-Effectiveness (TRC)</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172"/>
        <w:gridCol w:w="1173"/>
        <w:gridCol w:w="1172"/>
        <w:gridCol w:w="1173"/>
      </w:tblGrid>
      <w:tr w:rsidR="00BF38EC" w:rsidRPr="0032794B" w14:paraId="6C1B3796" w14:textId="77777777" w:rsidTr="008B6EE2">
        <w:trPr>
          <w:trHeight w:val="250"/>
          <w:jc w:val="center"/>
        </w:trPr>
        <w:tc>
          <w:tcPr>
            <w:tcW w:w="3775" w:type="dxa"/>
            <w:tcBorders>
              <w:top w:val="nil"/>
              <w:left w:val="nil"/>
            </w:tcBorders>
            <w:shd w:val="clear" w:color="auto" w:fill="auto"/>
            <w:vAlign w:val="center"/>
            <w:hideMark/>
          </w:tcPr>
          <w:p w14:paraId="4761647B" w14:textId="48FC467A" w:rsidR="0032794B" w:rsidRPr="0032794B" w:rsidRDefault="0032794B" w:rsidP="00F07410">
            <w:pPr>
              <w:pStyle w:val="BodyText"/>
              <w:spacing w:after="0"/>
              <w:ind w:left="0"/>
              <w:jc w:val="center"/>
              <w:rPr>
                <w:i/>
                <w:iCs/>
              </w:rPr>
            </w:pPr>
          </w:p>
        </w:tc>
        <w:tc>
          <w:tcPr>
            <w:tcW w:w="1172" w:type="dxa"/>
            <w:shd w:val="clear" w:color="auto" w:fill="D0CECE" w:themeFill="background2" w:themeFillShade="E6"/>
            <w:vAlign w:val="center"/>
            <w:hideMark/>
          </w:tcPr>
          <w:p w14:paraId="7E58A01E" w14:textId="77777777" w:rsidR="0032794B" w:rsidRPr="0032794B" w:rsidRDefault="0032794B" w:rsidP="00F07410">
            <w:pPr>
              <w:pStyle w:val="BodyText"/>
              <w:spacing w:after="0"/>
              <w:ind w:left="0"/>
              <w:jc w:val="center"/>
              <w:rPr>
                <w:b/>
                <w:bCs/>
              </w:rPr>
            </w:pPr>
            <w:r w:rsidRPr="0032794B">
              <w:rPr>
                <w:b/>
                <w:bCs/>
              </w:rPr>
              <w:t>2024</w:t>
            </w:r>
          </w:p>
        </w:tc>
        <w:tc>
          <w:tcPr>
            <w:tcW w:w="1173" w:type="dxa"/>
            <w:shd w:val="clear" w:color="auto" w:fill="D0CECE" w:themeFill="background2" w:themeFillShade="E6"/>
            <w:vAlign w:val="center"/>
            <w:hideMark/>
          </w:tcPr>
          <w:p w14:paraId="29038C25" w14:textId="77777777" w:rsidR="0032794B" w:rsidRPr="0032794B" w:rsidRDefault="0032794B" w:rsidP="00F07410">
            <w:pPr>
              <w:pStyle w:val="BodyText"/>
              <w:spacing w:after="0"/>
              <w:ind w:left="0"/>
              <w:jc w:val="center"/>
              <w:rPr>
                <w:b/>
                <w:bCs/>
              </w:rPr>
            </w:pPr>
            <w:r w:rsidRPr="0032794B">
              <w:rPr>
                <w:b/>
                <w:bCs/>
              </w:rPr>
              <w:t>2025</w:t>
            </w:r>
          </w:p>
        </w:tc>
        <w:tc>
          <w:tcPr>
            <w:tcW w:w="1172" w:type="dxa"/>
            <w:shd w:val="clear" w:color="auto" w:fill="D0CECE" w:themeFill="background2" w:themeFillShade="E6"/>
            <w:vAlign w:val="center"/>
            <w:hideMark/>
          </w:tcPr>
          <w:p w14:paraId="08243AFD" w14:textId="77777777" w:rsidR="0032794B" w:rsidRPr="0032794B" w:rsidRDefault="0032794B" w:rsidP="00F07410">
            <w:pPr>
              <w:pStyle w:val="BodyText"/>
              <w:spacing w:after="0"/>
              <w:ind w:left="0"/>
              <w:jc w:val="center"/>
              <w:rPr>
                <w:b/>
                <w:bCs/>
              </w:rPr>
            </w:pPr>
            <w:r w:rsidRPr="0032794B">
              <w:rPr>
                <w:b/>
                <w:bCs/>
              </w:rPr>
              <w:t>2026</w:t>
            </w:r>
          </w:p>
        </w:tc>
        <w:tc>
          <w:tcPr>
            <w:tcW w:w="1173" w:type="dxa"/>
            <w:shd w:val="clear" w:color="auto" w:fill="D0CECE" w:themeFill="background2" w:themeFillShade="E6"/>
            <w:vAlign w:val="center"/>
            <w:hideMark/>
          </w:tcPr>
          <w:p w14:paraId="70F7C3B0" w14:textId="77777777" w:rsidR="0032794B" w:rsidRPr="0032794B" w:rsidRDefault="0032794B" w:rsidP="00F07410">
            <w:pPr>
              <w:pStyle w:val="BodyText"/>
              <w:spacing w:after="0"/>
              <w:ind w:left="0"/>
              <w:jc w:val="center"/>
              <w:rPr>
                <w:b/>
                <w:bCs/>
              </w:rPr>
            </w:pPr>
            <w:r w:rsidRPr="0032794B">
              <w:rPr>
                <w:b/>
                <w:bCs/>
              </w:rPr>
              <w:t>2027</w:t>
            </w:r>
          </w:p>
        </w:tc>
      </w:tr>
      <w:tr w:rsidR="00FA3F2D" w:rsidRPr="0032794B" w14:paraId="61CC962A" w14:textId="77777777" w:rsidTr="00FA3F2D">
        <w:trPr>
          <w:trHeight w:val="393"/>
          <w:jc w:val="center"/>
        </w:trPr>
        <w:tc>
          <w:tcPr>
            <w:tcW w:w="3775" w:type="dxa"/>
            <w:shd w:val="clear" w:color="auto" w:fill="auto"/>
            <w:vAlign w:val="center"/>
            <w:hideMark/>
          </w:tcPr>
          <w:p w14:paraId="6B30710C" w14:textId="220320BF" w:rsidR="0032794B" w:rsidRPr="0032794B" w:rsidRDefault="0032794B" w:rsidP="00F07410">
            <w:pPr>
              <w:pStyle w:val="BodyText"/>
              <w:spacing w:after="0"/>
              <w:ind w:left="0"/>
              <w:jc w:val="center"/>
              <w:rPr>
                <w:b/>
                <w:bCs/>
              </w:rPr>
            </w:pPr>
            <w:r w:rsidRPr="0032794B">
              <w:rPr>
                <w:b/>
                <w:bCs/>
              </w:rPr>
              <w:t>TRC</w:t>
            </w:r>
            <w:r w:rsidR="001A2864">
              <w:rPr>
                <w:b/>
                <w:bCs/>
              </w:rPr>
              <w:t xml:space="preserve"> (Includes Admin)</w:t>
            </w:r>
          </w:p>
        </w:tc>
        <w:tc>
          <w:tcPr>
            <w:tcW w:w="1172" w:type="dxa"/>
            <w:shd w:val="clear" w:color="auto" w:fill="auto"/>
            <w:vAlign w:val="center"/>
          </w:tcPr>
          <w:p w14:paraId="3C6DC76E" w14:textId="58B38661" w:rsidR="0032794B" w:rsidRPr="00887773" w:rsidRDefault="0032794B" w:rsidP="00F07410">
            <w:pPr>
              <w:pStyle w:val="BodyText"/>
              <w:spacing w:after="0"/>
              <w:ind w:left="0"/>
              <w:jc w:val="center"/>
              <w:rPr>
                <w:color w:val="FF0000"/>
              </w:rPr>
            </w:pPr>
            <w:r w:rsidRPr="00887773">
              <w:t>0.</w:t>
            </w:r>
            <w:r w:rsidR="0050315A" w:rsidRPr="00887773">
              <w:t>45</w:t>
            </w:r>
          </w:p>
        </w:tc>
        <w:tc>
          <w:tcPr>
            <w:tcW w:w="1173" w:type="dxa"/>
            <w:shd w:val="clear" w:color="auto" w:fill="auto"/>
            <w:vAlign w:val="center"/>
          </w:tcPr>
          <w:p w14:paraId="5A889A5B" w14:textId="66C667D3" w:rsidR="0032794B" w:rsidRPr="00887773" w:rsidRDefault="0032794B" w:rsidP="00F07410">
            <w:pPr>
              <w:pStyle w:val="BodyText"/>
              <w:spacing w:after="0"/>
              <w:ind w:left="0"/>
              <w:jc w:val="center"/>
              <w:rPr>
                <w:color w:val="FF0000"/>
              </w:rPr>
            </w:pPr>
            <w:r w:rsidRPr="00887773">
              <w:t>0.</w:t>
            </w:r>
            <w:r w:rsidR="00004AE9" w:rsidRPr="00887773">
              <w:t>50</w:t>
            </w:r>
          </w:p>
        </w:tc>
        <w:tc>
          <w:tcPr>
            <w:tcW w:w="1172" w:type="dxa"/>
            <w:shd w:val="clear" w:color="auto" w:fill="auto"/>
            <w:vAlign w:val="center"/>
          </w:tcPr>
          <w:p w14:paraId="45967544" w14:textId="58103FFC" w:rsidR="0032794B" w:rsidRPr="00887773" w:rsidRDefault="0032794B" w:rsidP="00F07410">
            <w:pPr>
              <w:pStyle w:val="BodyText"/>
              <w:spacing w:after="0"/>
              <w:ind w:left="0"/>
              <w:jc w:val="center"/>
              <w:rPr>
                <w:color w:val="FF0000"/>
              </w:rPr>
            </w:pPr>
            <w:r w:rsidRPr="00887773">
              <w:t>0.</w:t>
            </w:r>
            <w:r w:rsidR="00473CD6" w:rsidRPr="00887773">
              <w:t>42</w:t>
            </w:r>
          </w:p>
        </w:tc>
        <w:tc>
          <w:tcPr>
            <w:tcW w:w="1173" w:type="dxa"/>
            <w:shd w:val="clear" w:color="auto" w:fill="auto"/>
            <w:vAlign w:val="center"/>
          </w:tcPr>
          <w:p w14:paraId="381D943C" w14:textId="1D2B01DF" w:rsidR="0032794B" w:rsidRPr="00887773" w:rsidRDefault="0032794B" w:rsidP="00F07410">
            <w:pPr>
              <w:pStyle w:val="BodyText"/>
              <w:spacing w:after="0"/>
              <w:ind w:left="0"/>
              <w:jc w:val="center"/>
              <w:rPr>
                <w:color w:val="FF0000"/>
              </w:rPr>
            </w:pPr>
            <w:r w:rsidRPr="00887773">
              <w:t>0.</w:t>
            </w:r>
            <w:r w:rsidR="00676E5B" w:rsidRPr="00887773">
              <w:t>52</w:t>
            </w:r>
          </w:p>
        </w:tc>
      </w:tr>
    </w:tbl>
    <w:p w14:paraId="6BB00541" w14:textId="5BFDBCD6" w:rsidR="00B27991" w:rsidRDefault="00B27991" w:rsidP="00B27991">
      <w:pPr>
        <w:keepNext/>
        <w:numPr>
          <w:ilvl w:val="0"/>
          <w:numId w:val="1"/>
        </w:numPr>
        <w:spacing w:before="240" w:after="120" w:line="240" w:lineRule="auto"/>
        <w:outlineLvl w:val="1"/>
        <w:rPr>
          <w:rFonts w:eastAsia="Times New Roman" w:cs="Times New Roman"/>
          <w:b/>
          <w:sz w:val="24"/>
          <w:szCs w:val="20"/>
          <w:u w:val="single"/>
        </w:rPr>
      </w:pPr>
      <w:bookmarkStart w:id="39" w:name="_Toc173407332"/>
      <w:r w:rsidRPr="00B27991">
        <w:rPr>
          <w:rFonts w:eastAsia="Times New Roman" w:cs="Times New Roman"/>
          <w:b/>
          <w:sz w:val="24"/>
          <w:szCs w:val="20"/>
          <w:u w:val="single"/>
        </w:rPr>
        <w:t xml:space="preserve">Program </w:t>
      </w:r>
      <w:r w:rsidR="00A66A78">
        <w:rPr>
          <w:rFonts w:eastAsia="Times New Roman" w:cs="Times New Roman"/>
          <w:b/>
          <w:sz w:val="24"/>
          <w:szCs w:val="20"/>
          <w:u w:val="single"/>
        </w:rPr>
        <w:t>Cost-</w:t>
      </w:r>
      <w:r w:rsidRPr="00B27991">
        <w:rPr>
          <w:rFonts w:eastAsia="Times New Roman" w:cs="Times New Roman"/>
          <w:b/>
          <w:sz w:val="24"/>
          <w:szCs w:val="20"/>
          <w:u w:val="single"/>
        </w:rPr>
        <w:t>Effectiveness</w:t>
      </w:r>
      <w:bookmarkEnd w:id="35"/>
      <w:bookmarkEnd w:id="36"/>
      <w:bookmarkEnd w:id="37"/>
      <w:bookmarkEnd w:id="38"/>
      <w:r w:rsidR="00A66A78">
        <w:rPr>
          <w:rFonts w:eastAsia="Times New Roman" w:cs="Times New Roman"/>
          <w:b/>
          <w:sz w:val="24"/>
          <w:szCs w:val="20"/>
          <w:u w:val="single"/>
        </w:rPr>
        <w:t xml:space="preserve"> (PAC)</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172"/>
        <w:gridCol w:w="1173"/>
        <w:gridCol w:w="1172"/>
        <w:gridCol w:w="1173"/>
      </w:tblGrid>
      <w:tr w:rsidR="00A24F53" w:rsidRPr="0032794B" w14:paraId="4AE76E5A" w14:textId="77777777">
        <w:trPr>
          <w:trHeight w:val="250"/>
          <w:jc w:val="center"/>
        </w:trPr>
        <w:tc>
          <w:tcPr>
            <w:tcW w:w="3775" w:type="dxa"/>
            <w:tcBorders>
              <w:top w:val="nil"/>
              <w:left w:val="nil"/>
            </w:tcBorders>
            <w:shd w:val="clear" w:color="auto" w:fill="auto"/>
            <w:vAlign w:val="center"/>
            <w:hideMark/>
          </w:tcPr>
          <w:p w14:paraId="3DF0D987" w14:textId="77777777" w:rsidR="008B6EE2" w:rsidRPr="0032794B" w:rsidRDefault="008B6EE2">
            <w:pPr>
              <w:pStyle w:val="BodyText"/>
              <w:spacing w:after="0"/>
              <w:ind w:left="0"/>
              <w:jc w:val="center"/>
              <w:rPr>
                <w:i/>
                <w:iCs/>
              </w:rPr>
            </w:pPr>
          </w:p>
        </w:tc>
        <w:tc>
          <w:tcPr>
            <w:tcW w:w="1172" w:type="dxa"/>
            <w:shd w:val="clear" w:color="auto" w:fill="D0CECE" w:themeFill="background2" w:themeFillShade="E6"/>
            <w:vAlign w:val="center"/>
            <w:hideMark/>
          </w:tcPr>
          <w:p w14:paraId="5BD5D7D3" w14:textId="77777777" w:rsidR="008B6EE2" w:rsidRPr="0032794B" w:rsidRDefault="008B6EE2">
            <w:pPr>
              <w:pStyle w:val="BodyText"/>
              <w:spacing w:after="0"/>
              <w:ind w:left="0"/>
              <w:jc w:val="center"/>
              <w:rPr>
                <w:b/>
                <w:bCs/>
              </w:rPr>
            </w:pPr>
            <w:r w:rsidRPr="0032794B">
              <w:rPr>
                <w:b/>
                <w:bCs/>
              </w:rPr>
              <w:t>2024</w:t>
            </w:r>
          </w:p>
        </w:tc>
        <w:tc>
          <w:tcPr>
            <w:tcW w:w="1173" w:type="dxa"/>
            <w:shd w:val="clear" w:color="auto" w:fill="D0CECE" w:themeFill="background2" w:themeFillShade="E6"/>
            <w:vAlign w:val="center"/>
            <w:hideMark/>
          </w:tcPr>
          <w:p w14:paraId="35C593F1" w14:textId="77777777" w:rsidR="008B6EE2" w:rsidRPr="0032794B" w:rsidRDefault="008B6EE2">
            <w:pPr>
              <w:pStyle w:val="BodyText"/>
              <w:spacing w:after="0"/>
              <w:ind w:left="0"/>
              <w:jc w:val="center"/>
              <w:rPr>
                <w:b/>
                <w:bCs/>
              </w:rPr>
            </w:pPr>
            <w:r w:rsidRPr="0032794B">
              <w:rPr>
                <w:b/>
                <w:bCs/>
              </w:rPr>
              <w:t>2025</w:t>
            </w:r>
          </w:p>
        </w:tc>
        <w:tc>
          <w:tcPr>
            <w:tcW w:w="1172" w:type="dxa"/>
            <w:shd w:val="clear" w:color="auto" w:fill="D0CECE" w:themeFill="background2" w:themeFillShade="E6"/>
            <w:vAlign w:val="center"/>
            <w:hideMark/>
          </w:tcPr>
          <w:p w14:paraId="77C959AB" w14:textId="77777777" w:rsidR="008B6EE2" w:rsidRPr="0032794B" w:rsidRDefault="008B6EE2">
            <w:pPr>
              <w:pStyle w:val="BodyText"/>
              <w:spacing w:after="0"/>
              <w:ind w:left="0"/>
              <w:jc w:val="center"/>
              <w:rPr>
                <w:b/>
                <w:bCs/>
              </w:rPr>
            </w:pPr>
            <w:r w:rsidRPr="0032794B">
              <w:rPr>
                <w:b/>
                <w:bCs/>
              </w:rPr>
              <w:t>2026</w:t>
            </w:r>
          </w:p>
        </w:tc>
        <w:tc>
          <w:tcPr>
            <w:tcW w:w="1173" w:type="dxa"/>
            <w:shd w:val="clear" w:color="auto" w:fill="D0CECE" w:themeFill="background2" w:themeFillShade="E6"/>
            <w:vAlign w:val="center"/>
            <w:hideMark/>
          </w:tcPr>
          <w:p w14:paraId="0281DC27" w14:textId="77777777" w:rsidR="008B6EE2" w:rsidRPr="0032794B" w:rsidRDefault="008B6EE2">
            <w:pPr>
              <w:pStyle w:val="BodyText"/>
              <w:spacing w:after="0"/>
              <w:ind w:left="0"/>
              <w:jc w:val="center"/>
              <w:rPr>
                <w:b/>
                <w:bCs/>
              </w:rPr>
            </w:pPr>
            <w:r w:rsidRPr="0032794B">
              <w:rPr>
                <w:b/>
                <w:bCs/>
              </w:rPr>
              <w:t>2027</w:t>
            </w:r>
          </w:p>
        </w:tc>
      </w:tr>
      <w:tr w:rsidR="008B6EE2" w:rsidRPr="0032794B" w14:paraId="0731FA7E" w14:textId="77777777">
        <w:trPr>
          <w:trHeight w:val="393"/>
          <w:jc w:val="center"/>
        </w:trPr>
        <w:tc>
          <w:tcPr>
            <w:tcW w:w="3775" w:type="dxa"/>
            <w:shd w:val="clear" w:color="auto" w:fill="auto"/>
            <w:vAlign w:val="center"/>
            <w:hideMark/>
          </w:tcPr>
          <w:p w14:paraId="2B8156A7" w14:textId="0FE5FF1F" w:rsidR="008B6EE2" w:rsidRPr="0032794B" w:rsidRDefault="00A040BA">
            <w:pPr>
              <w:pStyle w:val="BodyText"/>
              <w:spacing w:after="0"/>
              <w:ind w:left="0"/>
              <w:jc w:val="center"/>
              <w:rPr>
                <w:b/>
                <w:bCs/>
              </w:rPr>
            </w:pPr>
            <w:r>
              <w:rPr>
                <w:b/>
                <w:bCs/>
              </w:rPr>
              <w:t>PA</w:t>
            </w:r>
            <w:r w:rsidR="008B6EE2" w:rsidRPr="0032794B">
              <w:rPr>
                <w:b/>
                <w:bCs/>
              </w:rPr>
              <w:t>C</w:t>
            </w:r>
            <w:r w:rsidR="008B496F">
              <w:rPr>
                <w:b/>
                <w:bCs/>
              </w:rPr>
              <w:t xml:space="preserve"> (Includes Admin)</w:t>
            </w:r>
          </w:p>
        </w:tc>
        <w:tc>
          <w:tcPr>
            <w:tcW w:w="1172" w:type="dxa"/>
            <w:shd w:val="clear" w:color="auto" w:fill="auto"/>
            <w:vAlign w:val="center"/>
          </w:tcPr>
          <w:p w14:paraId="1BE61AFD" w14:textId="6DD5595F" w:rsidR="008B6EE2" w:rsidRPr="00887773" w:rsidRDefault="008B6EE2">
            <w:pPr>
              <w:pStyle w:val="BodyText"/>
              <w:spacing w:after="0"/>
              <w:ind w:left="0"/>
              <w:jc w:val="center"/>
              <w:rPr>
                <w:color w:val="FF0000"/>
              </w:rPr>
            </w:pPr>
            <w:r w:rsidRPr="00887773">
              <w:t>0.</w:t>
            </w:r>
            <w:r w:rsidR="00C67E91" w:rsidRPr="00887773">
              <w:t>45</w:t>
            </w:r>
          </w:p>
        </w:tc>
        <w:tc>
          <w:tcPr>
            <w:tcW w:w="1173" w:type="dxa"/>
            <w:shd w:val="clear" w:color="auto" w:fill="auto"/>
            <w:vAlign w:val="center"/>
          </w:tcPr>
          <w:p w14:paraId="65A618FA" w14:textId="34FF77E7" w:rsidR="008B6EE2" w:rsidRPr="00887773" w:rsidRDefault="008B6EE2">
            <w:pPr>
              <w:pStyle w:val="BodyText"/>
              <w:spacing w:after="0"/>
              <w:ind w:left="0"/>
              <w:jc w:val="center"/>
              <w:rPr>
                <w:color w:val="FF0000"/>
              </w:rPr>
            </w:pPr>
            <w:r w:rsidRPr="00887773">
              <w:t>0.</w:t>
            </w:r>
            <w:r w:rsidR="00004AE9" w:rsidRPr="00887773">
              <w:t>50</w:t>
            </w:r>
          </w:p>
        </w:tc>
        <w:tc>
          <w:tcPr>
            <w:tcW w:w="1172" w:type="dxa"/>
            <w:shd w:val="clear" w:color="auto" w:fill="auto"/>
            <w:vAlign w:val="center"/>
          </w:tcPr>
          <w:p w14:paraId="30190A16" w14:textId="21866D5A" w:rsidR="008B6EE2" w:rsidRPr="00887773" w:rsidRDefault="008B6EE2">
            <w:pPr>
              <w:pStyle w:val="BodyText"/>
              <w:spacing w:after="0"/>
              <w:ind w:left="0"/>
              <w:jc w:val="center"/>
              <w:rPr>
                <w:color w:val="FF0000"/>
              </w:rPr>
            </w:pPr>
            <w:r w:rsidRPr="00887773">
              <w:t>0.</w:t>
            </w:r>
            <w:r w:rsidR="00473CD6" w:rsidRPr="00887773">
              <w:t>42</w:t>
            </w:r>
          </w:p>
        </w:tc>
        <w:tc>
          <w:tcPr>
            <w:tcW w:w="1173" w:type="dxa"/>
            <w:shd w:val="clear" w:color="auto" w:fill="auto"/>
            <w:vAlign w:val="center"/>
          </w:tcPr>
          <w:p w14:paraId="4BA4AA9C" w14:textId="484CD60E" w:rsidR="008B6EE2" w:rsidRPr="00887773" w:rsidRDefault="008B6EE2">
            <w:pPr>
              <w:pStyle w:val="BodyText"/>
              <w:spacing w:after="0"/>
              <w:ind w:left="0"/>
              <w:jc w:val="center"/>
              <w:rPr>
                <w:color w:val="FF0000"/>
              </w:rPr>
            </w:pPr>
            <w:r w:rsidRPr="00887773">
              <w:t>0.</w:t>
            </w:r>
            <w:r w:rsidR="00676E5B" w:rsidRPr="00887773">
              <w:t>52</w:t>
            </w:r>
          </w:p>
        </w:tc>
      </w:tr>
    </w:tbl>
    <w:p w14:paraId="0E3DECF1" w14:textId="39956457" w:rsidR="00A47076" w:rsidRPr="00A47076" w:rsidRDefault="00A47076" w:rsidP="00A47076">
      <w:pPr>
        <w:keepNext/>
        <w:numPr>
          <w:ilvl w:val="0"/>
          <w:numId w:val="1"/>
        </w:numPr>
        <w:spacing w:before="240" w:after="120" w:line="240" w:lineRule="auto"/>
        <w:outlineLvl w:val="1"/>
        <w:rPr>
          <w:rFonts w:eastAsia="Times New Roman" w:cs="Times New Roman"/>
          <w:b/>
          <w:sz w:val="24"/>
          <w:szCs w:val="20"/>
          <w:u w:val="single"/>
        </w:rPr>
      </w:pPr>
      <w:bookmarkStart w:id="40" w:name="_Toc173407333"/>
      <w:r>
        <w:rPr>
          <w:rFonts w:eastAsia="Times New Roman" w:cs="Times New Roman"/>
          <w:b/>
          <w:sz w:val="24"/>
          <w:szCs w:val="20"/>
          <w:u w:val="single"/>
        </w:rPr>
        <w:t>Campaign Goals</w:t>
      </w:r>
      <w:bookmarkEnd w:id="40"/>
    </w:p>
    <w:p w14:paraId="429B97DE" w14:textId="383FAE96" w:rsidR="00AF223F" w:rsidRDefault="00AF223F" w:rsidP="007B2A32">
      <w:pPr>
        <w:pStyle w:val="BodyText"/>
        <w:ind w:left="360"/>
      </w:pPr>
      <w:r>
        <w:t>The Program has established the following goals for 2024</w:t>
      </w:r>
      <w:r w:rsidR="008A6344">
        <w:rPr>
          <w:rFonts w:ascii="Arial" w:hAnsi="Arial" w:cs="Arial"/>
        </w:rPr>
        <w:t>–</w:t>
      </w:r>
      <w:r>
        <w:t>2027:</w:t>
      </w:r>
    </w:p>
    <w:p w14:paraId="661E0600" w14:textId="48A2C3B1" w:rsidR="00AF223F" w:rsidRPr="00F36430" w:rsidRDefault="00AF223F" w:rsidP="00F62010">
      <w:pPr>
        <w:pStyle w:val="BodyText"/>
        <w:numPr>
          <w:ilvl w:val="0"/>
          <w:numId w:val="16"/>
        </w:numPr>
        <w:ind w:left="1080"/>
      </w:pPr>
      <w:r>
        <w:t xml:space="preserve">Serve 644 small multifamily buildings meeting </w:t>
      </w:r>
      <w:r w:rsidR="006D390F">
        <w:t>H</w:t>
      </w:r>
      <w:r w:rsidR="0075287B">
        <w:t>ard-to-</w:t>
      </w:r>
      <w:r w:rsidR="006D390F">
        <w:t>R</w:t>
      </w:r>
      <w:r w:rsidR="0075287B">
        <w:t>each</w:t>
      </w:r>
      <w:r>
        <w:t xml:space="preserve"> criteria (assuming an average of 25 rental units per building)</w:t>
      </w:r>
      <w:r w:rsidR="0075287B">
        <w:t>.</w:t>
      </w:r>
    </w:p>
    <w:p w14:paraId="28D90C7C" w14:textId="2BA95DD9" w:rsidR="00AF223F" w:rsidRPr="00F36430" w:rsidRDefault="00AF223F" w:rsidP="00F62010">
      <w:pPr>
        <w:pStyle w:val="BodyText"/>
        <w:numPr>
          <w:ilvl w:val="0"/>
          <w:numId w:val="16"/>
        </w:numPr>
        <w:ind w:left="1080"/>
      </w:pPr>
      <w:r>
        <w:t xml:space="preserve">Provide bill savings measures </w:t>
      </w:r>
      <w:r w:rsidR="006D390F">
        <w:t>for</w:t>
      </w:r>
      <w:r>
        <w:t xml:space="preserve"> 16,000 tenant units</w:t>
      </w:r>
      <w:r w:rsidR="0075287B">
        <w:t>.</w:t>
      </w:r>
    </w:p>
    <w:p w14:paraId="0081CA63" w14:textId="4B25FFB1" w:rsidR="00A47076" w:rsidRDefault="00AF223F" w:rsidP="00F62010">
      <w:pPr>
        <w:pStyle w:val="BodyText"/>
        <w:numPr>
          <w:ilvl w:val="0"/>
          <w:numId w:val="16"/>
        </w:numPr>
        <w:ind w:left="1080"/>
      </w:pPr>
      <w:r>
        <w:t>Establish a team of local Direct Install</w:t>
      </w:r>
      <w:r w:rsidR="00B24057">
        <w:t xml:space="preserve"> (DI</w:t>
      </w:r>
      <w:proofErr w:type="gramStart"/>
      <w:r w:rsidR="00B24057">
        <w:t xml:space="preserve">) </w:t>
      </w:r>
      <w:r>
        <w:t xml:space="preserve"> Contractors</w:t>
      </w:r>
      <w:proofErr w:type="gramEnd"/>
      <w:r>
        <w:t xml:space="preserve"> to serve a diverse geographic region</w:t>
      </w:r>
      <w:r w:rsidR="0075287B">
        <w:t>.</w:t>
      </w:r>
    </w:p>
    <w:p w14:paraId="719417E7" w14:textId="675D23C5" w:rsidR="00A47076" w:rsidRDefault="00A47076" w:rsidP="00B27991">
      <w:pPr>
        <w:keepNext/>
        <w:numPr>
          <w:ilvl w:val="0"/>
          <w:numId w:val="1"/>
        </w:numPr>
        <w:spacing w:before="240" w:after="120" w:line="240" w:lineRule="auto"/>
        <w:outlineLvl w:val="1"/>
        <w:rPr>
          <w:rFonts w:eastAsia="Times New Roman" w:cs="Times New Roman"/>
          <w:b/>
          <w:sz w:val="24"/>
          <w:szCs w:val="20"/>
          <w:u w:val="single"/>
        </w:rPr>
      </w:pPr>
      <w:bookmarkStart w:id="41" w:name="_Toc173407334"/>
      <w:r>
        <w:rPr>
          <w:rFonts w:eastAsia="Times New Roman" w:cs="Times New Roman"/>
          <w:b/>
          <w:sz w:val="24"/>
          <w:szCs w:val="20"/>
          <w:u w:val="single"/>
        </w:rPr>
        <w:t>Timeline</w:t>
      </w:r>
      <w:bookmarkEnd w:id="41"/>
    </w:p>
    <w:tbl>
      <w:tblPr>
        <w:tblStyle w:val="TableGrid"/>
        <w:tblW w:w="0" w:type="auto"/>
        <w:tblInd w:w="720" w:type="dxa"/>
        <w:tblLook w:val="04A0" w:firstRow="1" w:lastRow="0" w:firstColumn="1" w:lastColumn="0" w:noHBand="0" w:noVBand="1"/>
      </w:tblPr>
      <w:tblGrid>
        <w:gridCol w:w="1771"/>
        <w:gridCol w:w="1783"/>
        <w:gridCol w:w="1692"/>
        <w:gridCol w:w="1692"/>
        <w:gridCol w:w="1692"/>
      </w:tblGrid>
      <w:tr w:rsidR="009445CC" w14:paraId="5EA95BAF" w14:textId="77777777" w:rsidTr="000A20C2">
        <w:tc>
          <w:tcPr>
            <w:tcW w:w="1771" w:type="dxa"/>
            <w:shd w:val="clear" w:color="auto" w:fill="D9D9D9" w:themeFill="background1" w:themeFillShade="D9"/>
          </w:tcPr>
          <w:p w14:paraId="695BDF23" w14:textId="1F120AD9" w:rsidR="00C20717" w:rsidRPr="009445CC" w:rsidRDefault="00C20717" w:rsidP="009445CC">
            <w:pPr>
              <w:pStyle w:val="BodyText"/>
              <w:spacing w:after="0"/>
              <w:ind w:left="0"/>
              <w:jc w:val="center"/>
              <w:rPr>
                <w:b/>
                <w:bCs/>
              </w:rPr>
            </w:pPr>
            <w:r w:rsidRPr="009445CC">
              <w:rPr>
                <w:b/>
                <w:bCs/>
              </w:rPr>
              <w:t>2024 Q3</w:t>
            </w:r>
            <w:r w:rsidRPr="009445CC">
              <w:rPr>
                <w:rFonts w:ascii="Arial" w:hAnsi="Arial" w:cs="Arial"/>
                <w:b/>
                <w:bCs/>
              </w:rPr>
              <w:t>–</w:t>
            </w:r>
            <w:r w:rsidRPr="009445CC">
              <w:rPr>
                <w:b/>
                <w:bCs/>
              </w:rPr>
              <w:t>Q4</w:t>
            </w:r>
          </w:p>
        </w:tc>
        <w:tc>
          <w:tcPr>
            <w:tcW w:w="1783" w:type="dxa"/>
            <w:shd w:val="clear" w:color="auto" w:fill="D9D9D9" w:themeFill="background1" w:themeFillShade="D9"/>
          </w:tcPr>
          <w:p w14:paraId="048C2BF8" w14:textId="0954D0F2" w:rsidR="00C20717" w:rsidRPr="009445CC" w:rsidRDefault="00C20717" w:rsidP="009445CC">
            <w:pPr>
              <w:pStyle w:val="BodyText"/>
              <w:spacing w:after="0"/>
              <w:ind w:left="0"/>
              <w:jc w:val="center"/>
              <w:rPr>
                <w:b/>
                <w:bCs/>
              </w:rPr>
            </w:pPr>
            <w:r w:rsidRPr="009445CC">
              <w:rPr>
                <w:b/>
                <w:bCs/>
              </w:rPr>
              <w:t>202</w:t>
            </w:r>
            <w:r w:rsidR="009445CC" w:rsidRPr="009445CC">
              <w:rPr>
                <w:b/>
                <w:bCs/>
              </w:rPr>
              <w:t>4 Q4</w:t>
            </w:r>
          </w:p>
        </w:tc>
        <w:tc>
          <w:tcPr>
            <w:tcW w:w="1692" w:type="dxa"/>
            <w:shd w:val="clear" w:color="auto" w:fill="D9D9D9" w:themeFill="background1" w:themeFillShade="D9"/>
          </w:tcPr>
          <w:p w14:paraId="107F82F1" w14:textId="6F81D702" w:rsidR="00C20717" w:rsidRPr="009445CC" w:rsidRDefault="009445CC" w:rsidP="009445CC">
            <w:pPr>
              <w:pStyle w:val="BodyText"/>
              <w:spacing w:after="0"/>
              <w:ind w:left="0"/>
              <w:jc w:val="center"/>
              <w:rPr>
                <w:b/>
                <w:bCs/>
              </w:rPr>
            </w:pPr>
            <w:r w:rsidRPr="009445CC">
              <w:rPr>
                <w:b/>
                <w:bCs/>
              </w:rPr>
              <w:t>2025</w:t>
            </w:r>
          </w:p>
        </w:tc>
        <w:tc>
          <w:tcPr>
            <w:tcW w:w="1692" w:type="dxa"/>
            <w:shd w:val="clear" w:color="auto" w:fill="D9D9D9" w:themeFill="background1" w:themeFillShade="D9"/>
          </w:tcPr>
          <w:p w14:paraId="06CF13B9" w14:textId="12285F87" w:rsidR="00C20717" w:rsidRPr="009445CC" w:rsidRDefault="009445CC" w:rsidP="009445CC">
            <w:pPr>
              <w:pStyle w:val="BodyText"/>
              <w:spacing w:after="0"/>
              <w:ind w:left="0"/>
              <w:jc w:val="center"/>
              <w:rPr>
                <w:b/>
                <w:bCs/>
              </w:rPr>
            </w:pPr>
            <w:r w:rsidRPr="009445CC">
              <w:rPr>
                <w:b/>
                <w:bCs/>
              </w:rPr>
              <w:t>2026</w:t>
            </w:r>
          </w:p>
        </w:tc>
        <w:tc>
          <w:tcPr>
            <w:tcW w:w="1692" w:type="dxa"/>
            <w:shd w:val="clear" w:color="auto" w:fill="D9D9D9" w:themeFill="background1" w:themeFillShade="D9"/>
          </w:tcPr>
          <w:p w14:paraId="51344E36" w14:textId="17148F09" w:rsidR="00C20717" w:rsidRPr="009445CC" w:rsidRDefault="009445CC" w:rsidP="009445CC">
            <w:pPr>
              <w:pStyle w:val="BodyText"/>
              <w:spacing w:after="0"/>
              <w:ind w:left="0"/>
              <w:jc w:val="center"/>
              <w:rPr>
                <w:b/>
                <w:bCs/>
              </w:rPr>
            </w:pPr>
            <w:r w:rsidRPr="009445CC">
              <w:rPr>
                <w:b/>
                <w:bCs/>
              </w:rPr>
              <w:t>2027</w:t>
            </w:r>
          </w:p>
        </w:tc>
      </w:tr>
      <w:tr w:rsidR="000A20C2" w14:paraId="2015BC61" w14:textId="77777777" w:rsidTr="000A20C2">
        <w:tc>
          <w:tcPr>
            <w:tcW w:w="1771" w:type="dxa"/>
          </w:tcPr>
          <w:p w14:paraId="62A381A6" w14:textId="1CBBA67C" w:rsidR="000A20C2" w:rsidRPr="000A20C2" w:rsidRDefault="000A20C2" w:rsidP="00C77021">
            <w:pPr>
              <w:pStyle w:val="BodyText"/>
              <w:numPr>
                <w:ilvl w:val="0"/>
                <w:numId w:val="28"/>
              </w:numPr>
              <w:spacing w:after="0"/>
              <w:ind w:left="144" w:hanging="144"/>
              <w:rPr>
                <w:sz w:val="20"/>
                <w:szCs w:val="20"/>
              </w:rPr>
            </w:pPr>
            <w:r w:rsidRPr="000A20C2">
              <w:rPr>
                <w:sz w:val="20"/>
                <w:szCs w:val="20"/>
              </w:rPr>
              <w:t>Execute contracts with DI contractors</w:t>
            </w:r>
          </w:p>
          <w:p w14:paraId="222F4243" w14:textId="53EE40F8" w:rsidR="000A20C2" w:rsidRPr="000A20C2" w:rsidRDefault="000A20C2" w:rsidP="00C77021">
            <w:pPr>
              <w:pStyle w:val="BodyText"/>
              <w:numPr>
                <w:ilvl w:val="0"/>
                <w:numId w:val="28"/>
              </w:numPr>
              <w:spacing w:after="0"/>
              <w:ind w:left="144" w:hanging="144"/>
              <w:rPr>
                <w:sz w:val="20"/>
                <w:szCs w:val="20"/>
              </w:rPr>
            </w:pPr>
            <w:r w:rsidRPr="000A20C2">
              <w:rPr>
                <w:sz w:val="20"/>
                <w:szCs w:val="20"/>
              </w:rPr>
              <w:t xml:space="preserve">Complete </w:t>
            </w:r>
            <w:r w:rsidR="008403AA">
              <w:rPr>
                <w:sz w:val="20"/>
                <w:szCs w:val="20"/>
              </w:rPr>
              <w:t xml:space="preserve">DI </w:t>
            </w:r>
            <w:r w:rsidRPr="000A20C2">
              <w:rPr>
                <w:sz w:val="20"/>
                <w:szCs w:val="20"/>
              </w:rPr>
              <w:t>contractor training</w:t>
            </w:r>
          </w:p>
        </w:tc>
        <w:tc>
          <w:tcPr>
            <w:tcW w:w="1783" w:type="dxa"/>
          </w:tcPr>
          <w:p w14:paraId="1D6FE75F" w14:textId="670EDD6B" w:rsidR="000A20C2" w:rsidRPr="000A20C2" w:rsidRDefault="000A20C2" w:rsidP="00C77021">
            <w:pPr>
              <w:pStyle w:val="BodyText"/>
              <w:numPr>
                <w:ilvl w:val="0"/>
                <w:numId w:val="28"/>
              </w:numPr>
              <w:spacing w:after="0"/>
              <w:ind w:left="144" w:hanging="144"/>
              <w:rPr>
                <w:sz w:val="20"/>
                <w:szCs w:val="20"/>
              </w:rPr>
            </w:pPr>
            <w:r w:rsidRPr="000A20C2">
              <w:rPr>
                <w:sz w:val="20"/>
                <w:szCs w:val="20"/>
              </w:rPr>
              <w:t xml:space="preserve">Initiate marketing </w:t>
            </w:r>
          </w:p>
          <w:p w14:paraId="690BF6DC" w14:textId="4D5CD2AB" w:rsidR="000A20C2" w:rsidRPr="000A20C2" w:rsidRDefault="000A20C2" w:rsidP="00C77021">
            <w:pPr>
              <w:pStyle w:val="BodyText"/>
              <w:numPr>
                <w:ilvl w:val="0"/>
                <w:numId w:val="28"/>
              </w:numPr>
              <w:spacing w:after="0"/>
              <w:ind w:left="144" w:hanging="144"/>
              <w:rPr>
                <w:sz w:val="20"/>
                <w:szCs w:val="20"/>
              </w:rPr>
            </w:pPr>
            <w:r w:rsidRPr="000A20C2">
              <w:rPr>
                <w:sz w:val="20"/>
                <w:szCs w:val="20"/>
              </w:rPr>
              <w:t xml:space="preserve">Begin sales and enrollment </w:t>
            </w:r>
          </w:p>
          <w:p w14:paraId="0B0A3D7A" w14:textId="211AE565" w:rsidR="000A20C2" w:rsidRPr="000A20C2" w:rsidRDefault="000A20C2" w:rsidP="00C77021">
            <w:pPr>
              <w:pStyle w:val="BodyText"/>
              <w:numPr>
                <w:ilvl w:val="0"/>
                <w:numId w:val="28"/>
              </w:numPr>
              <w:spacing w:after="0"/>
              <w:ind w:left="144" w:hanging="144"/>
              <w:rPr>
                <w:sz w:val="20"/>
                <w:szCs w:val="20"/>
              </w:rPr>
            </w:pPr>
            <w:r w:rsidRPr="000A20C2">
              <w:rPr>
                <w:sz w:val="20"/>
                <w:szCs w:val="20"/>
              </w:rPr>
              <w:t>Begin installations</w:t>
            </w:r>
          </w:p>
          <w:p w14:paraId="0A0DB738" w14:textId="4CBDB04A" w:rsidR="000A20C2" w:rsidRPr="000A20C2" w:rsidRDefault="000A20C2" w:rsidP="00C77021">
            <w:pPr>
              <w:pStyle w:val="BodyText"/>
              <w:numPr>
                <w:ilvl w:val="0"/>
                <w:numId w:val="28"/>
              </w:numPr>
              <w:spacing w:after="0"/>
              <w:ind w:left="144" w:hanging="144"/>
              <w:rPr>
                <w:sz w:val="20"/>
                <w:szCs w:val="20"/>
              </w:rPr>
            </w:pPr>
            <w:r w:rsidRPr="000A20C2">
              <w:rPr>
                <w:sz w:val="20"/>
                <w:szCs w:val="20"/>
              </w:rPr>
              <w:t>Annual reporting and savings claim</w:t>
            </w:r>
          </w:p>
        </w:tc>
        <w:tc>
          <w:tcPr>
            <w:tcW w:w="1692" w:type="dxa"/>
          </w:tcPr>
          <w:p w14:paraId="7E7E02CA" w14:textId="77777777" w:rsidR="000A20C2" w:rsidRPr="000A20C2" w:rsidRDefault="000A20C2" w:rsidP="00C77021">
            <w:pPr>
              <w:pStyle w:val="BodyText"/>
              <w:numPr>
                <w:ilvl w:val="0"/>
                <w:numId w:val="28"/>
              </w:numPr>
              <w:spacing w:after="0"/>
              <w:ind w:left="144" w:hanging="144"/>
              <w:rPr>
                <w:sz w:val="20"/>
                <w:szCs w:val="20"/>
              </w:rPr>
            </w:pPr>
            <w:r w:rsidRPr="000A20C2">
              <w:rPr>
                <w:sz w:val="20"/>
                <w:szCs w:val="20"/>
              </w:rPr>
              <w:t>Continue enrollment and installations</w:t>
            </w:r>
          </w:p>
          <w:p w14:paraId="433DF6D2" w14:textId="77777777" w:rsidR="000A20C2" w:rsidRPr="000A20C2" w:rsidRDefault="000A20C2" w:rsidP="00C77021">
            <w:pPr>
              <w:pStyle w:val="BodyText"/>
              <w:numPr>
                <w:ilvl w:val="0"/>
                <w:numId w:val="28"/>
              </w:numPr>
              <w:spacing w:after="0"/>
              <w:ind w:left="144" w:hanging="144"/>
              <w:rPr>
                <w:sz w:val="20"/>
                <w:szCs w:val="20"/>
              </w:rPr>
            </w:pPr>
            <w:r w:rsidRPr="000A20C2">
              <w:rPr>
                <w:sz w:val="20"/>
                <w:szCs w:val="20"/>
              </w:rPr>
              <w:t>Annual reporting and savings claim</w:t>
            </w:r>
          </w:p>
          <w:p w14:paraId="4B3A9FA2" w14:textId="77777777" w:rsidR="000A20C2" w:rsidRPr="000A20C2" w:rsidRDefault="000A20C2" w:rsidP="0015237A">
            <w:pPr>
              <w:pStyle w:val="BodyText"/>
              <w:spacing w:after="0"/>
              <w:ind w:left="0"/>
              <w:rPr>
                <w:sz w:val="20"/>
                <w:szCs w:val="20"/>
              </w:rPr>
            </w:pPr>
          </w:p>
        </w:tc>
        <w:tc>
          <w:tcPr>
            <w:tcW w:w="1692" w:type="dxa"/>
          </w:tcPr>
          <w:p w14:paraId="3B329E72" w14:textId="77777777" w:rsidR="000A20C2" w:rsidRPr="000A20C2" w:rsidRDefault="000A20C2" w:rsidP="00C77021">
            <w:pPr>
              <w:pStyle w:val="BodyText"/>
              <w:numPr>
                <w:ilvl w:val="0"/>
                <w:numId w:val="28"/>
              </w:numPr>
              <w:spacing w:after="0"/>
              <w:ind w:left="144" w:hanging="144"/>
              <w:rPr>
                <w:sz w:val="20"/>
                <w:szCs w:val="20"/>
              </w:rPr>
            </w:pPr>
            <w:r w:rsidRPr="000A20C2">
              <w:rPr>
                <w:sz w:val="20"/>
                <w:szCs w:val="20"/>
              </w:rPr>
              <w:t>Continue enrollment and installations</w:t>
            </w:r>
          </w:p>
          <w:p w14:paraId="1FF5522F" w14:textId="77777777" w:rsidR="000A20C2" w:rsidRPr="000A20C2" w:rsidRDefault="000A20C2" w:rsidP="00C77021">
            <w:pPr>
              <w:pStyle w:val="BodyText"/>
              <w:numPr>
                <w:ilvl w:val="0"/>
                <w:numId w:val="28"/>
              </w:numPr>
              <w:spacing w:after="0"/>
              <w:ind w:left="144" w:hanging="144"/>
              <w:rPr>
                <w:sz w:val="20"/>
                <w:szCs w:val="20"/>
              </w:rPr>
            </w:pPr>
            <w:r w:rsidRPr="000A20C2">
              <w:rPr>
                <w:sz w:val="20"/>
                <w:szCs w:val="20"/>
              </w:rPr>
              <w:t>Annual reporting and savings claim</w:t>
            </w:r>
          </w:p>
          <w:p w14:paraId="230ADDD9" w14:textId="77777777" w:rsidR="000A20C2" w:rsidRPr="000A20C2" w:rsidRDefault="000A20C2" w:rsidP="0015237A">
            <w:pPr>
              <w:pStyle w:val="BodyText"/>
              <w:spacing w:after="0"/>
              <w:ind w:left="0"/>
              <w:rPr>
                <w:sz w:val="20"/>
                <w:szCs w:val="20"/>
              </w:rPr>
            </w:pPr>
          </w:p>
        </w:tc>
        <w:tc>
          <w:tcPr>
            <w:tcW w:w="1692" w:type="dxa"/>
          </w:tcPr>
          <w:p w14:paraId="215E9597" w14:textId="77777777" w:rsidR="000A20C2" w:rsidRPr="000A20C2" w:rsidRDefault="000A20C2" w:rsidP="00C77021">
            <w:pPr>
              <w:pStyle w:val="BodyText"/>
              <w:numPr>
                <w:ilvl w:val="0"/>
                <w:numId w:val="28"/>
              </w:numPr>
              <w:spacing w:after="0"/>
              <w:ind w:left="144" w:hanging="144"/>
              <w:rPr>
                <w:sz w:val="20"/>
                <w:szCs w:val="20"/>
              </w:rPr>
            </w:pPr>
            <w:r w:rsidRPr="000A20C2">
              <w:rPr>
                <w:sz w:val="20"/>
                <w:szCs w:val="20"/>
              </w:rPr>
              <w:t>Continue enrollment and installations</w:t>
            </w:r>
          </w:p>
          <w:p w14:paraId="449D8464" w14:textId="77777777" w:rsidR="000A20C2" w:rsidRPr="000A20C2" w:rsidRDefault="000A20C2" w:rsidP="00C77021">
            <w:pPr>
              <w:pStyle w:val="BodyText"/>
              <w:numPr>
                <w:ilvl w:val="0"/>
                <w:numId w:val="28"/>
              </w:numPr>
              <w:spacing w:after="0"/>
              <w:ind w:left="144" w:hanging="144"/>
              <w:rPr>
                <w:sz w:val="20"/>
                <w:szCs w:val="20"/>
              </w:rPr>
            </w:pPr>
            <w:r w:rsidRPr="000A20C2">
              <w:rPr>
                <w:sz w:val="20"/>
                <w:szCs w:val="20"/>
              </w:rPr>
              <w:t>Shutdown Plan</w:t>
            </w:r>
          </w:p>
          <w:p w14:paraId="69ECD58E" w14:textId="77777777" w:rsidR="000A20C2" w:rsidRPr="000A20C2" w:rsidRDefault="000A20C2" w:rsidP="00C77021">
            <w:pPr>
              <w:pStyle w:val="BodyText"/>
              <w:numPr>
                <w:ilvl w:val="0"/>
                <w:numId w:val="28"/>
              </w:numPr>
              <w:spacing w:after="0"/>
              <w:ind w:left="144" w:hanging="144"/>
              <w:rPr>
                <w:sz w:val="20"/>
                <w:szCs w:val="20"/>
              </w:rPr>
            </w:pPr>
            <w:r w:rsidRPr="000A20C2">
              <w:rPr>
                <w:sz w:val="20"/>
                <w:szCs w:val="20"/>
              </w:rPr>
              <w:t>Inform Stakeholders</w:t>
            </w:r>
          </w:p>
          <w:p w14:paraId="3DC991A3" w14:textId="23E7950A" w:rsidR="000A20C2" w:rsidRPr="000A20C2" w:rsidRDefault="000A20C2" w:rsidP="00C77021">
            <w:pPr>
              <w:pStyle w:val="BodyText"/>
              <w:numPr>
                <w:ilvl w:val="0"/>
                <w:numId w:val="28"/>
              </w:numPr>
              <w:spacing w:after="0"/>
              <w:ind w:left="144" w:hanging="144"/>
              <w:rPr>
                <w:sz w:val="20"/>
                <w:szCs w:val="20"/>
              </w:rPr>
            </w:pPr>
            <w:r w:rsidRPr="000A20C2">
              <w:rPr>
                <w:sz w:val="20"/>
                <w:szCs w:val="20"/>
              </w:rPr>
              <w:t xml:space="preserve">Resolve </w:t>
            </w:r>
            <w:r w:rsidR="006B1D1D">
              <w:rPr>
                <w:sz w:val="20"/>
                <w:szCs w:val="20"/>
              </w:rPr>
              <w:t xml:space="preserve">open </w:t>
            </w:r>
            <w:r w:rsidRPr="000A20C2">
              <w:rPr>
                <w:sz w:val="20"/>
                <w:szCs w:val="20"/>
              </w:rPr>
              <w:t>items</w:t>
            </w:r>
          </w:p>
          <w:p w14:paraId="72ED990F" w14:textId="78E4E703" w:rsidR="000A20C2" w:rsidRPr="000A20C2" w:rsidRDefault="000A20C2" w:rsidP="00C77021">
            <w:pPr>
              <w:pStyle w:val="BodyText"/>
              <w:numPr>
                <w:ilvl w:val="0"/>
                <w:numId w:val="28"/>
              </w:numPr>
              <w:spacing w:after="0"/>
              <w:ind w:left="144" w:hanging="144"/>
              <w:rPr>
                <w:sz w:val="20"/>
                <w:szCs w:val="20"/>
              </w:rPr>
            </w:pPr>
            <w:r w:rsidRPr="000A20C2">
              <w:rPr>
                <w:sz w:val="20"/>
                <w:szCs w:val="20"/>
              </w:rPr>
              <w:t>Final Program Report</w:t>
            </w:r>
          </w:p>
        </w:tc>
      </w:tr>
    </w:tbl>
    <w:p w14:paraId="7E381BE0" w14:textId="77777777" w:rsidR="00AB491A" w:rsidRDefault="00AB491A" w:rsidP="00AB491A">
      <w:pPr>
        <w:pStyle w:val="Heading1"/>
      </w:pPr>
      <w:bookmarkStart w:id="42" w:name="_Toc173407335"/>
      <w:r>
        <w:lastRenderedPageBreak/>
        <w:t>Implementation Plan Narrative</w:t>
      </w:r>
      <w:bookmarkEnd w:id="42"/>
    </w:p>
    <w:p w14:paraId="49924AEC" w14:textId="77777777" w:rsidR="00474CAE" w:rsidRDefault="00474CAE" w:rsidP="00F62010">
      <w:pPr>
        <w:pStyle w:val="Heading2"/>
        <w:numPr>
          <w:ilvl w:val="0"/>
          <w:numId w:val="7"/>
        </w:numPr>
      </w:pPr>
      <w:bookmarkStart w:id="43" w:name="_Toc173407336"/>
      <w:r>
        <w:t>Program Description</w:t>
      </w:r>
      <w:bookmarkEnd w:id="43"/>
    </w:p>
    <w:p w14:paraId="1BC7370C" w14:textId="3BFF1611" w:rsidR="003D63AC" w:rsidRDefault="003E62CA" w:rsidP="003D63AC">
      <w:pPr>
        <w:pStyle w:val="BodyText"/>
        <w:ind w:left="0"/>
      </w:pPr>
      <w:bookmarkStart w:id="44" w:name="_Hlk173230606"/>
      <w:r>
        <w:t xml:space="preserve">The Southern California Regional Energy Network (SoCalREN) Small Hard-to-Reach Multifamily Direct Install Program (Small HTR </w:t>
      </w:r>
      <w:r w:rsidR="00D66E6F">
        <w:t xml:space="preserve">MF DI Program or “the Program”) provides turnkey </w:t>
      </w:r>
      <w:r w:rsidR="003D63AC" w:rsidRPr="001567AD">
        <w:t>installation of energy efficiency measures that will reduce electric, natural gas</w:t>
      </w:r>
      <w:r w:rsidR="00B24057">
        <w:t>,</w:t>
      </w:r>
      <w:r w:rsidR="003D63AC" w:rsidRPr="001567AD">
        <w:t xml:space="preserve"> and water consumption of small </w:t>
      </w:r>
      <w:r w:rsidR="00BB16B7">
        <w:t>(50 unit</w:t>
      </w:r>
      <w:r w:rsidR="00EB6419">
        <w:t xml:space="preserve">s or </w:t>
      </w:r>
      <w:r w:rsidR="00B24057">
        <w:t>fewer</w:t>
      </w:r>
      <w:r w:rsidR="00BB16B7">
        <w:t>)</w:t>
      </w:r>
      <w:r w:rsidR="003D63AC" w:rsidRPr="001567AD">
        <w:t xml:space="preserve"> apartment buildings that are classified as </w:t>
      </w:r>
      <w:r w:rsidR="00E66902">
        <w:t>Hard-to-Reach (HTR)</w:t>
      </w:r>
      <w:r w:rsidR="003D63AC" w:rsidRPr="001567AD">
        <w:t xml:space="preserve"> or are located within Disadvantaged Communities</w:t>
      </w:r>
      <w:r>
        <w:t xml:space="preserve"> (DACs)</w:t>
      </w:r>
      <w:r w:rsidR="003D63AC" w:rsidRPr="001567AD">
        <w:t xml:space="preserve">. The measures will be applicable to both </w:t>
      </w:r>
      <w:r w:rsidR="00B24057">
        <w:t>individual residential</w:t>
      </w:r>
      <w:r w:rsidR="003D63AC" w:rsidRPr="001567AD">
        <w:t xml:space="preserve"> units and common areas, thereby</w:t>
      </w:r>
      <w:r w:rsidR="003D63AC">
        <w:t xml:space="preserve"> reducing energy costs for both owners and tenants. The program will include outreach needed to enroll buildings in the program, basic energy awareness training </w:t>
      </w:r>
      <w:r w:rsidR="00E66902">
        <w:t>for</w:t>
      </w:r>
      <w:r w:rsidR="003D63AC">
        <w:t xml:space="preserve"> tenants and owners, training and management of direct install contractors, and opportunities for contractors to provide employment and training for disadvantaged workers</w:t>
      </w:r>
      <w:r w:rsidR="00F2546D">
        <w:t>.</w:t>
      </w:r>
    </w:p>
    <w:bookmarkEnd w:id="44"/>
    <w:p w14:paraId="36F8F78D" w14:textId="6B017845" w:rsidR="00AB4F8B" w:rsidRDefault="00AB4F8B" w:rsidP="00AB4F8B">
      <w:pPr>
        <w:pStyle w:val="BodyText"/>
        <w:ind w:left="0"/>
      </w:pPr>
      <w:r>
        <w:t xml:space="preserve">Many </w:t>
      </w:r>
      <w:proofErr w:type="gramStart"/>
      <w:r w:rsidR="00181A56">
        <w:t>energy</w:t>
      </w:r>
      <w:proofErr w:type="gramEnd"/>
      <w:r w:rsidR="00181A56">
        <w:t xml:space="preserve"> efficiency (</w:t>
      </w:r>
      <w:r>
        <w:t>EE</w:t>
      </w:r>
      <w:r w:rsidR="00181A56">
        <w:t>)</w:t>
      </w:r>
      <w:r>
        <w:t xml:space="preserve"> programs offered by </w:t>
      </w:r>
      <w:r w:rsidR="00181A56">
        <w:t>Investor-Owned Utilities (</w:t>
      </w:r>
      <w:r>
        <w:t>IOUs</w:t>
      </w:r>
      <w:r w:rsidR="00181A56">
        <w:t>)</w:t>
      </w:r>
      <w:r>
        <w:t xml:space="preserve"> and </w:t>
      </w:r>
      <w:r w:rsidR="00AA07D3">
        <w:t xml:space="preserve">municipal utilities </w:t>
      </w:r>
      <w:r w:rsidR="005412C6">
        <w:t>located</w:t>
      </w:r>
      <w:r w:rsidR="00CC23B7">
        <w:t xml:space="preserve"> </w:t>
      </w:r>
      <w:r>
        <w:t>in</w:t>
      </w:r>
      <w:r w:rsidR="007960E4">
        <w:t xml:space="preserve"> the area served by</w:t>
      </w:r>
      <w:r>
        <w:t xml:space="preserve"> SoCalREN</w:t>
      </w:r>
      <w:r w:rsidR="00A477DE">
        <w:t xml:space="preserve"> </w:t>
      </w:r>
      <w:r>
        <w:t xml:space="preserve">provide services to large multifamily properties. These programs typically offer technical assistance to identify savings opportunities, as well as financial incentives that are intended to reduce the total cost of implementing </w:t>
      </w:r>
      <w:r w:rsidR="00A477DE">
        <w:t>EE</w:t>
      </w:r>
      <w:r>
        <w:t xml:space="preserve"> measures. For these larger properties, the owner, who is usually a corporation or real estate investment trust, will bear a substantial portion of the cost of the project, as justified by the need to refresh the property, address deferred maintenance needs, or qualify for subsidized, lower interest rate financing available for energy</w:t>
      </w:r>
      <w:r w:rsidR="00AE3819">
        <w:t>-</w:t>
      </w:r>
      <w:r>
        <w:t>efficient properties.</w:t>
      </w:r>
    </w:p>
    <w:p w14:paraId="56EA3659" w14:textId="20F9BD85" w:rsidR="00AB4F8B" w:rsidRDefault="00AB4F8B" w:rsidP="00AB4F8B">
      <w:pPr>
        <w:pStyle w:val="BodyText"/>
        <w:ind w:left="0"/>
      </w:pPr>
      <w:r>
        <w:t xml:space="preserve">The market dynamic within the smaller, independently owned “mom and pop” buildings is different and thus requires a </w:t>
      </w:r>
      <w:r w:rsidR="00AE3819">
        <w:t xml:space="preserve">nuanced </w:t>
      </w:r>
      <w:r>
        <w:t>approach. These small property owners are not as well capitalized as corporate property owners, lack the same financial and tax advantages, and do not have the same level of expertise to manage complex energy efficiency retrofits. As a result, these owners require a more turnkey approach with little</w:t>
      </w:r>
      <w:r w:rsidR="00A477DE">
        <w:t>-</w:t>
      </w:r>
      <w:r>
        <w:t>to</w:t>
      </w:r>
      <w:r w:rsidR="00A477DE">
        <w:t>-</w:t>
      </w:r>
      <w:r>
        <w:t xml:space="preserve">no cash </w:t>
      </w:r>
      <w:r w:rsidR="00605C7C">
        <w:t>outlay,</w:t>
      </w:r>
      <w:r>
        <w:t xml:space="preserve"> making direct </w:t>
      </w:r>
      <w:proofErr w:type="gramStart"/>
      <w:r>
        <w:t>install</w:t>
      </w:r>
      <w:proofErr w:type="gramEnd"/>
      <w:r>
        <w:t xml:space="preserve"> </w:t>
      </w:r>
      <w:r w:rsidR="002553D4">
        <w:t xml:space="preserve">(DI) </w:t>
      </w:r>
      <w:r>
        <w:t>the best option for market success.</w:t>
      </w:r>
      <w:r w:rsidR="006F2AA3">
        <w:t xml:space="preserve"> Custom measures may be used to fit the needs of specific customers where direct </w:t>
      </w:r>
      <w:proofErr w:type="gramStart"/>
      <w:r w:rsidR="006F2AA3">
        <w:t>install</w:t>
      </w:r>
      <w:proofErr w:type="gramEnd"/>
      <w:r w:rsidR="006F2AA3">
        <w:t xml:space="preserve"> measures are not optimal. </w:t>
      </w:r>
    </w:p>
    <w:p w14:paraId="02853339" w14:textId="77777777" w:rsidR="009B2FF7" w:rsidRPr="009B2FF7" w:rsidRDefault="009B2FF7" w:rsidP="009B2FF7">
      <w:pPr>
        <w:pStyle w:val="BodyText"/>
        <w:ind w:left="0"/>
      </w:pPr>
      <w:r w:rsidRPr="009B2FF7">
        <w:t>SoCalREN’s Small HTR MF DI program will:</w:t>
      </w:r>
    </w:p>
    <w:p w14:paraId="4B0ACFAC" w14:textId="3A68E61B" w:rsidR="009B2FF7" w:rsidRPr="009B2FF7" w:rsidRDefault="009B2FF7" w:rsidP="00F62010">
      <w:pPr>
        <w:pStyle w:val="BodyText"/>
        <w:numPr>
          <w:ilvl w:val="0"/>
          <w:numId w:val="15"/>
        </w:numPr>
      </w:pPr>
      <w:r w:rsidRPr="009B2FF7">
        <w:t xml:space="preserve">Improve the efficiency of </w:t>
      </w:r>
      <w:r w:rsidR="00E174A9">
        <w:t xml:space="preserve">targeted </w:t>
      </w:r>
      <w:r w:rsidRPr="009B2FF7">
        <w:t>multifamily buildings through simple retrofits, performed by program pre-qualified contractors at no cost to the property owner or tenants, which will benefit both tenants and owners by reducing their energy and water utility bills</w:t>
      </w:r>
      <w:r w:rsidR="00A44200">
        <w:t>.</w:t>
      </w:r>
    </w:p>
    <w:p w14:paraId="78CDDBA4" w14:textId="77777777" w:rsidR="009B2FF7" w:rsidRPr="009B2FF7" w:rsidRDefault="009B2FF7" w:rsidP="00F62010">
      <w:pPr>
        <w:pStyle w:val="BodyText"/>
        <w:numPr>
          <w:ilvl w:val="0"/>
          <w:numId w:val="15"/>
        </w:numPr>
      </w:pPr>
      <w:r w:rsidRPr="009B2FF7">
        <w:t>Raise the knowledge and awareness of tenants and owners about energy saving behaviors and practices so that they can make better choices and manage their utility costs to ensure persistence of savings from the program measures.</w:t>
      </w:r>
    </w:p>
    <w:p w14:paraId="0C70117A" w14:textId="45FEE9F9" w:rsidR="009B2FF7" w:rsidRPr="009B2FF7" w:rsidRDefault="009B2FF7" w:rsidP="00F62010">
      <w:pPr>
        <w:pStyle w:val="BodyText"/>
        <w:numPr>
          <w:ilvl w:val="0"/>
          <w:numId w:val="15"/>
        </w:numPr>
      </w:pPr>
      <w:r w:rsidRPr="009B2FF7">
        <w:t xml:space="preserve">Provide valuable energy services to underserved </w:t>
      </w:r>
      <w:r w:rsidR="00A477DE">
        <w:t>HTR</w:t>
      </w:r>
      <w:r w:rsidRPr="009B2FF7">
        <w:t xml:space="preserve"> customers, and those located in </w:t>
      </w:r>
      <w:r w:rsidR="00A477DE">
        <w:t>DACs</w:t>
      </w:r>
      <w:r w:rsidR="00A44200">
        <w:t>.</w:t>
      </w:r>
    </w:p>
    <w:p w14:paraId="425B2234" w14:textId="39136411" w:rsidR="009B2FF7" w:rsidRPr="009B2FF7" w:rsidRDefault="009B2FF7" w:rsidP="00F62010">
      <w:pPr>
        <w:pStyle w:val="BodyText"/>
        <w:numPr>
          <w:ilvl w:val="0"/>
          <w:numId w:val="15"/>
        </w:numPr>
      </w:pPr>
      <w:r w:rsidRPr="009B2FF7">
        <w:t>Help reduce strain on California’s energy grid while also helping California meet long-term greenhouse gas (GHG) reduction goals</w:t>
      </w:r>
      <w:r w:rsidR="00A44200">
        <w:t>.</w:t>
      </w:r>
    </w:p>
    <w:p w14:paraId="3D3BF72A" w14:textId="2A509F78" w:rsidR="009B2FF7" w:rsidRPr="009B2FF7" w:rsidRDefault="009B2FF7" w:rsidP="00F62010">
      <w:pPr>
        <w:pStyle w:val="BodyText"/>
        <w:numPr>
          <w:ilvl w:val="0"/>
          <w:numId w:val="15"/>
        </w:numPr>
      </w:pPr>
      <w:r>
        <w:t xml:space="preserve">Provide opportunities for training and employment of Disadvantaged Workers who could work for the </w:t>
      </w:r>
      <w:r w:rsidR="002553D4">
        <w:t>DI</w:t>
      </w:r>
      <w:r>
        <w:t xml:space="preserve"> contractors who will be performing the EE measure installations.</w:t>
      </w:r>
    </w:p>
    <w:p w14:paraId="758A9AD0" w14:textId="5F90510A" w:rsidR="00AD44E2" w:rsidRDefault="00474CAE" w:rsidP="00AD44E2">
      <w:pPr>
        <w:pStyle w:val="Heading2"/>
      </w:pPr>
      <w:bookmarkStart w:id="45" w:name="_Toc173407337"/>
      <w:r>
        <w:lastRenderedPageBreak/>
        <w:t>Program Delivery and Customer Services</w:t>
      </w:r>
      <w:r w:rsidR="002E6FA0">
        <w:rPr>
          <w:rStyle w:val="FootnoteReference"/>
        </w:rPr>
        <w:footnoteReference w:id="2"/>
      </w:r>
      <w:bookmarkEnd w:id="45"/>
    </w:p>
    <w:p w14:paraId="78400DEB" w14:textId="0CFF41C5" w:rsidR="00C03247" w:rsidRDefault="002C3341" w:rsidP="00AD44E2">
      <w:pPr>
        <w:pStyle w:val="BodyText"/>
        <w:ind w:left="0"/>
      </w:pPr>
      <w:r>
        <w:t>The Program will deliver information, training and direct installation of energy and water saving measures. Information will be aimed at raising tenants' and owners' awareness of the importance and benefits of reducing energy and water use, with simple pointers about how to manage and reduce usage and save money on utility bills. Town Hall style gatherings will be held in collaboration with city and county agencies, coordinated through SoCalREN’s Public Agency program. For each building enrolled in the program, simple, easy</w:t>
      </w:r>
      <w:r w:rsidR="00CF0E07">
        <w:t>-</w:t>
      </w:r>
      <w:r>
        <w:t>to</w:t>
      </w:r>
      <w:r w:rsidR="00CF0E07">
        <w:t>-</w:t>
      </w:r>
      <w:r>
        <w:t>understand education will be delivered to tenants and owners and provided with additional supporting materials such as tip sheets and refrigerator magnets.</w:t>
      </w:r>
      <w:r w:rsidR="002C225E">
        <w:t xml:space="preserve"> </w:t>
      </w:r>
    </w:p>
    <w:p w14:paraId="58695CE7" w14:textId="5E292B01" w:rsidR="008F06CC" w:rsidRPr="006F2036" w:rsidRDefault="008F06CC" w:rsidP="006F2036">
      <w:pPr>
        <w:pStyle w:val="Caption"/>
        <w:jc w:val="left"/>
        <w:rPr>
          <w:sz w:val="22"/>
          <w:szCs w:val="18"/>
        </w:rPr>
      </w:pPr>
      <w:r w:rsidRPr="006F2036">
        <w:rPr>
          <w:sz w:val="22"/>
          <w:szCs w:val="18"/>
        </w:rPr>
        <w:t xml:space="preserve">Exhibit </w:t>
      </w:r>
      <w:r w:rsidRPr="006F2036">
        <w:rPr>
          <w:sz w:val="22"/>
          <w:szCs w:val="18"/>
        </w:rPr>
        <w:fldChar w:fldCharType="begin"/>
      </w:r>
      <w:r w:rsidRPr="006F2036">
        <w:rPr>
          <w:sz w:val="22"/>
          <w:szCs w:val="18"/>
        </w:rPr>
        <w:instrText xml:space="preserve"> SEQ Exhibit \* ARABIC </w:instrText>
      </w:r>
      <w:r w:rsidRPr="006F2036">
        <w:rPr>
          <w:sz w:val="22"/>
          <w:szCs w:val="18"/>
        </w:rPr>
        <w:fldChar w:fldCharType="separate"/>
      </w:r>
      <w:r w:rsidR="00180F39">
        <w:rPr>
          <w:noProof/>
          <w:sz w:val="22"/>
          <w:szCs w:val="18"/>
        </w:rPr>
        <w:t>1</w:t>
      </w:r>
      <w:r w:rsidRPr="006F2036">
        <w:rPr>
          <w:sz w:val="22"/>
          <w:szCs w:val="18"/>
        </w:rPr>
        <w:fldChar w:fldCharType="end"/>
      </w:r>
      <w:r w:rsidRPr="006F2036">
        <w:rPr>
          <w:sz w:val="22"/>
          <w:szCs w:val="18"/>
        </w:rPr>
        <w:t>. 2024 Energy Savings Projections</w:t>
      </w:r>
    </w:p>
    <w:tbl>
      <w:tblPr>
        <w:tblStyle w:val="TableGrid"/>
        <w:tblW w:w="0" w:type="auto"/>
        <w:tblInd w:w="1795" w:type="dxa"/>
        <w:tblLook w:val="04A0" w:firstRow="1" w:lastRow="0" w:firstColumn="1" w:lastColumn="0" w:noHBand="0" w:noVBand="1"/>
      </w:tblPr>
      <w:tblGrid>
        <w:gridCol w:w="1594"/>
        <w:gridCol w:w="2273"/>
        <w:gridCol w:w="2358"/>
      </w:tblGrid>
      <w:tr w:rsidR="00A44200" w:rsidRPr="00A44200" w14:paraId="3B529660" w14:textId="77777777" w:rsidTr="008F06CC">
        <w:trPr>
          <w:trHeight w:val="287"/>
        </w:trPr>
        <w:tc>
          <w:tcPr>
            <w:tcW w:w="1594" w:type="dxa"/>
            <w:tcBorders>
              <w:top w:val="nil"/>
              <w:left w:val="nil"/>
            </w:tcBorders>
          </w:tcPr>
          <w:p w14:paraId="4F693A02" w14:textId="77777777" w:rsidR="00AD44E2" w:rsidRPr="00A44200" w:rsidRDefault="00AD44E2" w:rsidP="00F10FB4">
            <w:pPr>
              <w:spacing w:line="289" w:lineRule="auto"/>
              <w:ind w:right="5"/>
              <w:rPr>
                <w:rFonts w:cs="Times New Roman"/>
                <w:color w:val="FF0000"/>
                <w:szCs w:val="20"/>
                <w:highlight w:val="yellow"/>
              </w:rPr>
            </w:pPr>
          </w:p>
        </w:tc>
        <w:tc>
          <w:tcPr>
            <w:tcW w:w="2273" w:type="dxa"/>
            <w:shd w:val="clear" w:color="auto" w:fill="D0CECE" w:themeFill="background2" w:themeFillShade="E6"/>
          </w:tcPr>
          <w:p w14:paraId="12E32E87" w14:textId="77777777" w:rsidR="00AD44E2" w:rsidRPr="00E00E12" w:rsidRDefault="00AD44E2" w:rsidP="00F8455E">
            <w:pPr>
              <w:spacing w:before="60" w:after="60" w:line="289" w:lineRule="auto"/>
              <w:ind w:right="5"/>
              <w:jc w:val="center"/>
              <w:rPr>
                <w:rFonts w:cs="Times New Roman"/>
                <w:b/>
                <w:bCs/>
                <w:szCs w:val="20"/>
              </w:rPr>
            </w:pPr>
            <w:r w:rsidRPr="00E00E12">
              <w:rPr>
                <w:rFonts w:cs="Times New Roman"/>
                <w:b/>
                <w:bCs/>
                <w:szCs w:val="20"/>
              </w:rPr>
              <w:t>Gross</w:t>
            </w:r>
          </w:p>
        </w:tc>
        <w:tc>
          <w:tcPr>
            <w:tcW w:w="2358" w:type="dxa"/>
            <w:shd w:val="clear" w:color="auto" w:fill="D0CECE" w:themeFill="background2" w:themeFillShade="E6"/>
          </w:tcPr>
          <w:p w14:paraId="307CB5AE" w14:textId="77777777" w:rsidR="00AD44E2" w:rsidRPr="00E00E12" w:rsidRDefault="00AD44E2" w:rsidP="00F8455E">
            <w:pPr>
              <w:spacing w:before="60" w:after="60" w:line="289" w:lineRule="auto"/>
              <w:ind w:right="5"/>
              <w:jc w:val="center"/>
              <w:rPr>
                <w:rFonts w:cs="Times New Roman"/>
                <w:b/>
                <w:bCs/>
                <w:szCs w:val="20"/>
              </w:rPr>
            </w:pPr>
            <w:r w:rsidRPr="00E00E12">
              <w:rPr>
                <w:rFonts w:cs="Times New Roman"/>
                <w:b/>
                <w:bCs/>
                <w:szCs w:val="20"/>
              </w:rPr>
              <w:t>Net</w:t>
            </w:r>
          </w:p>
        </w:tc>
      </w:tr>
      <w:tr w:rsidR="00A44200" w:rsidRPr="00A44200" w14:paraId="2471C9B6" w14:textId="77777777" w:rsidTr="00CF0E07">
        <w:trPr>
          <w:trHeight w:val="529"/>
        </w:trPr>
        <w:tc>
          <w:tcPr>
            <w:tcW w:w="1594" w:type="dxa"/>
            <w:vAlign w:val="center"/>
          </w:tcPr>
          <w:p w14:paraId="6A5FA342" w14:textId="77777777" w:rsidR="00AD44E2" w:rsidRPr="008F06CC" w:rsidRDefault="00AD44E2" w:rsidP="00CF0E07">
            <w:pPr>
              <w:spacing w:line="289" w:lineRule="auto"/>
              <w:ind w:right="5"/>
              <w:rPr>
                <w:rFonts w:cs="Times New Roman"/>
                <w:szCs w:val="20"/>
              </w:rPr>
            </w:pPr>
            <w:r w:rsidRPr="008F06CC">
              <w:rPr>
                <w:rFonts w:cs="Times New Roman"/>
                <w:szCs w:val="20"/>
              </w:rPr>
              <w:t>kWh</w:t>
            </w:r>
          </w:p>
        </w:tc>
        <w:tc>
          <w:tcPr>
            <w:tcW w:w="2273" w:type="dxa"/>
            <w:vAlign w:val="center"/>
          </w:tcPr>
          <w:p w14:paraId="720718A1" w14:textId="36CADE3A" w:rsidR="00AD44E2" w:rsidRPr="008F06CC" w:rsidRDefault="008F06CC" w:rsidP="006F2036">
            <w:pPr>
              <w:spacing w:line="289" w:lineRule="auto"/>
              <w:ind w:right="5"/>
              <w:jc w:val="center"/>
              <w:rPr>
                <w:rFonts w:cs="Times New Roman"/>
                <w:szCs w:val="20"/>
                <w:highlight w:val="yellow"/>
              </w:rPr>
            </w:pPr>
            <w:r w:rsidRPr="006C212E">
              <w:rPr>
                <w:rFonts w:cs="Times New Roman"/>
                <w:szCs w:val="20"/>
              </w:rPr>
              <w:t>1,042,834.11</w:t>
            </w:r>
          </w:p>
        </w:tc>
        <w:tc>
          <w:tcPr>
            <w:tcW w:w="2358" w:type="dxa"/>
            <w:vAlign w:val="center"/>
          </w:tcPr>
          <w:p w14:paraId="1548C9C8" w14:textId="1B058DBA" w:rsidR="00AD44E2" w:rsidRPr="00A44200" w:rsidRDefault="00545621" w:rsidP="00545621">
            <w:pPr>
              <w:spacing w:line="289" w:lineRule="auto"/>
              <w:ind w:right="5"/>
              <w:jc w:val="center"/>
              <w:rPr>
                <w:rFonts w:cs="Times New Roman"/>
                <w:color w:val="FF0000"/>
                <w:szCs w:val="20"/>
                <w:highlight w:val="yellow"/>
              </w:rPr>
            </w:pPr>
            <w:r w:rsidRPr="006C212E">
              <w:rPr>
                <w:rFonts w:cs="Times New Roman"/>
                <w:szCs w:val="20"/>
              </w:rPr>
              <w:t>916,928.62</w:t>
            </w:r>
          </w:p>
        </w:tc>
      </w:tr>
      <w:tr w:rsidR="00A44200" w:rsidRPr="00A44200" w14:paraId="02BE8A7E" w14:textId="77777777" w:rsidTr="00CF0E07">
        <w:trPr>
          <w:trHeight w:val="513"/>
        </w:trPr>
        <w:tc>
          <w:tcPr>
            <w:tcW w:w="1594" w:type="dxa"/>
            <w:vAlign w:val="center"/>
          </w:tcPr>
          <w:p w14:paraId="3C540C9B" w14:textId="77777777" w:rsidR="00AD44E2" w:rsidRPr="008F06CC" w:rsidRDefault="00AD44E2" w:rsidP="00CF0E07">
            <w:pPr>
              <w:spacing w:line="289" w:lineRule="auto"/>
              <w:ind w:right="5"/>
              <w:rPr>
                <w:rFonts w:cs="Times New Roman"/>
                <w:szCs w:val="20"/>
              </w:rPr>
            </w:pPr>
            <w:r w:rsidRPr="008F06CC">
              <w:rPr>
                <w:rFonts w:cs="Times New Roman"/>
                <w:szCs w:val="20"/>
              </w:rPr>
              <w:t>kW</w:t>
            </w:r>
          </w:p>
        </w:tc>
        <w:tc>
          <w:tcPr>
            <w:tcW w:w="2273" w:type="dxa"/>
            <w:vAlign w:val="center"/>
          </w:tcPr>
          <w:p w14:paraId="7F7466B4" w14:textId="3BAD2B06" w:rsidR="00AD44E2" w:rsidRPr="008F06CC" w:rsidRDefault="008F06CC" w:rsidP="006F2036">
            <w:pPr>
              <w:spacing w:line="289" w:lineRule="auto"/>
              <w:ind w:right="5"/>
              <w:jc w:val="center"/>
              <w:rPr>
                <w:rFonts w:cs="Times New Roman"/>
                <w:szCs w:val="20"/>
                <w:highlight w:val="yellow"/>
              </w:rPr>
            </w:pPr>
            <w:r w:rsidRPr="006C212E">
              <w:rPr>
                <w:rFonts w:cs="Times New Roman"/>
                <w:szCs w:val="20"/>
              </w:rPr>
              <w:t>403.78</w:t>
            </w:r>
          </w:p>
        </w:tc>
        <w:tc>
          <w:tcPr>
            <w:tcW w:w="2358" w:type="dxa"/>
            <w:vAlign w:val="center"/>
          </w:tcPr>
          <w:p w14:paraId="2F9503C6" w14:textId="67A8B41E" w:rsidR="00AD44E2" w:rsidRPr="00A44200" w:rsidRDefault="00F673E3" w:rsidP="00545621">
            <w:pPr>
              <w:spacing w:line="289" w:lineRule="auto"/>
              <w:ind w:right="5"/>
              <w:jc w:val="center"/>
              <w:rPr>
                <w:rFonts w:cs="Times New Roman"/>
                <w:color w:val="FF0000"/>
                <w:szCs w:val="20"/>
                <w:highlight w:val="yellow"/>
              </w:rPr>
            </w:pPr>
            <w:r w:rsidRPr="00167FEE">
              <w:rPr>
                <w:rFonts w:cs="Times New Roman"/>
                <w:szCs w:val="20"/>
              </w:rPr>
              <w:t>343.35</w:t>
            </w:r>
          </w:p>
        </w:tc>
      </w:tr>
      <w:tr w:rsidR="00A44200" w:rsidRPr="00A44200" w14:paraId="344AC0DE" w14:textId="77777777" w:rsidTr="00CF0E07">
        <w:trPr>
          <w:trHeight w:val="529"/>
        </w:trPr>
        <w:tc>
          <w:tcPr>
            <w:tcW w:w="1594" w:type="dxa"/>
            <w:vAlign w:val="center"/>
          </w:tcPr>
          <w:p w14:paraId="62D3A2CB" w14:textId="77777777" w:rsidR="00AD44E2" w:rsidRPr="008F06CC" w:rsidRDefault="00AD44E2" w:rsidP="00CF0E07">
            <w:pPr>
              <w:spacing w:line="289" w:lineRule="auto"/>
              <w:ind w:right="5"/>
              <w:rPr>
                <w:rFonts w:cs="Times New Roman"/>
                <w:szCs w:val="20"/>
              </w:rPr>
            </w:pPr>
            <w:r w:rsidRPr="008F06CC">
              <w:rPr>
                <w:rFonts w:cs="Times New Roman"/>
                <w:szCs w:val="20"/>
              </w:rPr>
              <w:t>Therms</w:t>
            </w:r>
          </w:p>
        </w:tc>
        <w:tc>
          <w:tcPr>
            <w:tcW w:w="2273" w:type="dxa"/>
            <w:vAlign w:val="center"/>
          </w:tcPr>
          <w:p w14:paraId="6C19273A" w14:textId="52C60D71" w:rsidR="00AD44E2" w:rsidRPr="00A44200" w:rsidRDefault="008F06CC" w:rsidP="006F2036">
            <w:pPr>
              <w:spacing w:line="289" w:lineRule="auto"/>
              <w:ind w:right="5"/>
              <w:jc w:val="center"/>
              <w:rPr>
                <w:rFonts w:cs="Times New Roman"/>
                <w:color w:val="FF0000"/>
                <w:szCs w:val="20"/>
                <w:highlight w:val="yellow"/>
              </w:rPr>
            </w:pPr>
            <w:r w:rsidRPr="00167FEE">
              <w:rPr>
                <w:rFonts w:cs="Times New Roman"/>
                <w:szCs w:val="20"/>
              </w:rPr>
              <w:t>50,722.69</w:t>
            </w:r>
          </w:p>
        </w:tc>
        <w:tc>
          <w:tcPr>
            <w:tcW w:w="2358" w:type="dxa"/>
            <w:vAlign w:val="center"/>
          </w:tcPr>
          <w:p w14:paraId="1C02D8FA" w14:textId="6DE0D5AC" w:rsidR="00AD44E2" w:rsidRPr="00A44200" w:rsidRDefault="00E037B9" w:rsidP="00545621">
            <w:pPr>
              <w:spacing w:line="289" w:lineRule="auto"/>
              <w:ind w:right="5"/>
              <w:jc w:val="center"/>
              <w:rPr>
                <w:rFonts w:cs="Times New Roman"/>
                <w:color w:val="FF0000"/>
                <w:szCs w:val="20"/>
              </w:rPr>
            </w:pPr>
            <w:r w:rsidRPr="00167FEE">
              <w:rPr>
                <w:rFonts w:cs="Times New Roman"/>
                <w:szCs w:val="20"/>
              </w:rPr>
              <w:t>44,748.98</w:t>
            </w:r>
          </w:p>
        </w:tc>
      </w:tr>
    </w:tbl>
    <w:p w14:paraId="19D8CAFD" w14:textId="7AD4BCA6" w:rsidR="002E1379" w:rsidRDefault="002E1379" w:rsidP="001832BE">
      <w:pPr>
        <w:pStyle w:val="BodyText"/>
        <w:spacing w:before="240"/>
        <w:ind w:left="0"/>
      </w:pPr>
      <w:r w:rsidRPr="002E1379">
        <w:t xml:space="preserve">Eligible properties are those </w:t>
      </w:r>
      <w:r w:rsidR="00D74CF2">
        <w:t xml:space="preserve">between five (5) and 50 </w:t>
      </w:r>
      <w:r w:rsidRPr="002E1379">
        <w:t xml:space="preserve">tenant units, owned by individuals rather than large real estate investment corporations. Participating properties are required to meet </w:t>
      </w:r>
      <w:r w:rsidR="006A2DC0">
        <w:t xml:space="preserve">the California Public Utilities </w:t>
      </w:r>
      <w:r w:rsidR="006A2DC0" w:rsidRPr="00722DDB">
        <w:t xml:space="preserve">Commission </w:t>
      </w:r>
      <w:r w:rsidR="00722DDB">
        <w:t xml:space="preserve">(CPUC) criteria </w:t>
      </w:r>
      <w:r w:rsidRPr="002E1379">
        <w:t>which broadly classifies HTR as “those customers who do not have easy access to program information or generally do not participate in energy efficiency programs due to a combination of language, business size, geographic and lease (split incentive) barriers.”  Additional criteria for residential customers include Income and Housing Type.</w:t>
      </w:r>
    </w:p>
    <w:p w14:paraId="18453F14" w14:textId="768D28F7" w:rsidR="00C03247" w:rsidRDefault="00C03247" w:rsidP="00CB29F0">
      <w:pPr>
        <w:pStyle w:val="BodyText"/>
        <w:spacing w:before="120"/>
        <w:ind w:left="0"/>
      </w:pPr>
      <w:r>
        <w:t>The Program is delivered through third-party direct installation contractors under contract with SoCalREN’s prime implementation contractor. SoCalREN will identify targeted customers using a combination of utility billing information, census data, real estate databases</w:t>
      </w:r>
      <w:r w:rsidR="00741A06">
        <w:t>,</w:t>
      </w:r>
      <w:r>
        <w:t xml:space="preserve"> and other data sources. Primary characteristics that will inform target customers include </w:t>
      </w:r>
      <w:r w:rsidR="003600F1">
        <w:t>ZIP</w:t>
      </w:r>
      <w:r>
        <w:t xml:space="preserve"> code, number of rental units, ownership</w:t>
      </w:r>
      <w:r w:rsidR="00741A06">
        <w:t>,</w:t>
      </w:r>
      <w:r>
        <w:t xml:space="preserve"> and year built. The list of target</w:t>
      </w:r>
      <w:r w:rsidR="003600F1">
        <w:t>ed</w:t>
      </w:r>
      <w:r>
        <w:t xml:space="preserve"> customers will be provided to the DI contractors, who will do outbound calling to screen and qualify properties and to arrange a site evaluation and sales appointment. The number and type of measures will be determined during this phase.</w:t>
      </w:r>
      <w:r w:rsidR="006F2AA3" w:rsidRPr="006F2AA3">
        <w:t xml:space="preserve"> </w:t>
      </w:r>
      <w:r w:rsidR="006F2AA3">
        <w:t>SoCalREN</w:t>
      </w:r>
      <w:r w:rsidR="006F2AA3" w:rsidRPr="006F2AA3">
        <w:t xml:space="preserve"> will also have the capability to implement custom </w:t>
      </w:r>
      <w:r w:rsidR="006F2AA3">
        <w:t>measures</w:t>
      </w:r>
      <w:r w:rsidR="006F2AA3" w:rsidRPr="006F2AA3">
        <w:t xml:space="preserve"> at their discretion. This approach provides flexibility, enabling </w:t>
      </w:r>
      <w:r w:rsidR="006F2AA3">
        <w:t xml:space="preserve">SoCalREN </w:t>
      </w:r>
      <w:r w:rsidR="006F2AA3" w:rsidRPr="006F2AA3">
        <w:t>to recommend</w:t>
      </w:r>
      <w:r w:rsidR="006F2AA3">
        <w:t xml:space="preserve"> measures</w:t>
      </w:r>
      <w:r w:rsidR="006F2AA3" w:rsidRPr="006F2AA3">
        <w:t xml:space="preserve"> that may be more appropriate for a specific customer's needs when standardized options are not optimal</w:t>
      </w:r>
      <w:r w:rsidR="006F2AA3">
        <w:t xml:space="preserve">. </w:t>
      </w:r>
    </w:p>
    <w:p w14:paraId="75FC4718" w14:textId="38CBD0E5" w:rsidR="000611F6" w:rsidRPr="002F3B3E" w:rsidRDefault="002F10F6" w:rsidP="002E1379">
      <w:pPr>
        <w:pStyle w:val="BodyText"/>
        <w:ind w:left="0"/>
        <w:rPr>
          <w:b/>
          <w:bCs/>
        </w:rPr>
      </w:pPr>
      <w:r w:rsidRPr="002F3B3E">
        <w:rPr>
          <w:b/>
          <w:bCs/>
        </w:rPr>
        <w:t>Eligible Measures</w:t>
      </w:r>
      <w:r w:rsidR="00194448">
        <w:rPr>
          <w:b/>
          <w:bCs/>
        </w:rPr>
        <w:t xml:space="preserve"> </w:t>
      </w:r>
    </w:p>
    <w:p w14:paraId="462CEBC7" w14:textId="3ABC6030" w:rsidR="002F10F6" w:rsidRDefault="00A54D1E" w:rsidP="002E1379">
      <w:pPr>
        <w:pStyle w:val="BodyText"/>
        <w:ind w:left="0"/>
      </w:pPr>
      <w:r w:rsidRPr="00A54D1E">
        <w:t xml:space="preserve">The Program will offer a menu of retrofit measures that will save natural gas, electricity, and water. All services will be provided at no cost to the customer. </w:t>
      </w:r>
      <w:r w:rsidR="004B6F66">
        <w:t>In instances where</w:t>
      </w:r>
      <w:r w:rsidRPr="00A54D1E">
        <w:t xml:space="preserve"> savings measures </w:t>
      </w:r>
      <w:r w:rsidR="002C1340">
        <w:t>do not</w:t>
      </w:r>
      <w:r w:rsidR="002C1340" w:rsidRPr="00A54D1E">
        <w:t xml:space="preserve"> </w:t>
      </w:r>
      <w:r w:rsidRPr="00A54D1E">
        <w:t xml:space="preserve">have current </w:t>
      </w:r>
      <w:r w:rsidR="00A247BF">
        <w:t>California Electronic Technical Reference Manual (</w:t>
      </w:r>
      <w:proofErr w:type="spellStart"/>
      <w:r w:rsidR="00A247BF">
        <w:t>CA</w:t>
      </w:r>
      <w:r w:rsidR="005B7BED">
        <w:t>eTRM</w:t>
      </w:r>
      <w:proofErr w:type="spellEnd"/>
      <w:r w:rsidR="005B7BED">
        <w:t>) measure packages</w:t>
      </w:r>
      <w:r w:rsidRPr="00A54D1E">
        <w:t xml:space="preserve">, the program will work to create new </w:t>
      </w:r>
      <w:r w:rsidR="00BD49F1">
        <w:t xml:space="preserve">measure </w:t>
      </w:r>
      <w:r w:rsidR="002C1340">
        <w:t>packages</w:t>
      </w:r>
      <w:r w:rsidR="00913363">
        <w:t>.</w:t>
      </w:r>
      <w:r w:rsidR="002C1340" w:rsidRPr="00A54D1E">
        <w:t xml:space="preserve"> </w:t>
      </w:r>
      <w:r w:rsidRPr="00A54D1E">
        <w:t xml:space="preserve">In all cases, there will be a reduction in grid connected </w:t>
      </w:r>
      <w:proofErr w:type="gramStart"/>
      <w:r w:rsidRPr="00A54D1E">
        <w:t>load</w:t>
      </w:r>
      <w:r w:rsidR="00C411B3">
        <w:t>,</w:t>
      </w:r>
      <w:r w:rsidRPr="00A54D1E">
        <w:t xml:space="preserve">  GHG</w:t>
      </w:r>
      <w:r w:rsidR="001A239F">
        <w:t>s</w:t>
      </w:r>
      <w:proofErr w:type="gramEnd"/>
      <w:r w:rsidRPr="00A54D1E">
        <w:t xml:space="preserve"> and </w:t>
      </w:r>
      <w:r w:rsidR="001A239F">
        <w:t>utility costs</w:t>
      </w:r>
      <w:r w:rsidR="002D0069">
        <w:t>.</w:t>
      </w:r>
      <w:r w:rsidRPr="00A54D1E">
        <w:t xml:space="preserve"> The program will also provide free training and energy management information </w:t>
      </w:r>
      <w:r w:rsidRPr="00A54D1E">
        <w:lastRenderedPageBreak/>
        <w:t>as described above.</w:t>
      </w:r>
      <w:r w:rsidR="00A3766D">
        <w:t xml:space="preserve"> </w:t>
      </w:r>
      <w:r w:rsidR="007B10EA">
        <w:t xml:space="preserve">A summary of </w:t>
      </w:r>
      <w:r w:rsidR="000278A3">
        <w:t xml:space="preserve">measures anticipated to </w:t>
      </w:r>
      <w:r w:rsidR="000278A3" w:rsidRPr="00A1629D">
        <w:t xml:space="preserve">be installed </w:t>
      </w:r>
      <w:r w:rsidR="009F7234" w:rsidRPr="00A1629D">
        <w:t xml:space="preserve">is presented below. </w:t>
      </w:r>
      <w:r w:rsidR="00133B9B" w:rsidRPr="00A1629D">
        <w:t>A comprehensive list of applicable measures is presented in</w:t>
      </w:r>
      <w:r w:rsidR="00387AF8" w:rsidRPr="00A1629D">
        <w:t xml:space="preserve"> </w:t>
      </w:r>
      <w:r w:rsidR="007D61CF" w:rsidRPr="00A1629D">
        <w:fldChar w:fldCharType="begin"/>
      </w:r>
      <w:r w:rsidR="007D61CF" w:rsidRPr="00A1629D">
        <w:instrText xml:space="preserve"> REF _Ref172829119 \h </w:instrText>
      </w:r>
      <w:r w:rsidR="00A1629D">
        <w:instrText xml:space="preserve"> \* MERGEFORMAT </w:instrText>
      </w:r>
      <w:r w:rsidR="007D61CF" w:rsidRPr="00A1629D">
        <w:fldChar w:fldCharType="separate"/>
      </w:r>
      <w:r w:rsidR="00180F39" w:rsidRPr="001C2DB1">
        <w:rPr>
          <w:szCs w:val="18"/>
        </w:rPr>
        <w:t xml:space="preserve">Exhibit </w:t>
      </w:r>
      <w:r w:rsidR="00180F39">
        <w:rPr>
          <w:noProof/>
          <w:szCs w:val="18"/>
        </w:rPr>
        <w:t>9</w:t>
      </w:r>
      <w:r w:rsidR="007D61CF" w:rsidRPr="00A1629D">
        <w:fldChar w:fldCharType="end"/>
      </w:r>
      <w:r w:rsidR="00A1629D">
        <w:t xml:space="preserve"> </w:t>
      </w:r>
      <w:r w:rsidR="00B53D60" w:rsidRPr="00A1629D">
        <w:t xml:space="preserve">on page </w:t>
      </w:r>
      <w:r w:rsidR="00B53D60" w:rsidRPr="00A1629D">
        <w:fldChar w:fldCharType="begin"/>
      </w:r>
      <w:r w:rsidR="00B53D60" w:rsidRPr="00A1629D">
        <w:instrText xml:space="preserve"> PAGEREF _Ref172828854 \h </w:instrText>
      </w:r>
      <w:r w:rsidR="00B53D60" w:rsidRPr="00A1629D">
        <w:fldChar w:fldCharType="separate"/>
      </w:r>
      <w:r w:rsidR="00180F39">
        <w:rPr>
          <w:noProof/>
        </w:rPr>
        <w:t>18</w:t>
      </w:r>
      <w:r w:rsidR="00B53D60" w:rsidRPr="00A1629D">
        <w:fldChar w:fldCharType="end"/>
      </w:r>
      <w:r w:rsidR="00387AF8" w:rsidRPr="00A1629D">
        <w:t>.</w:t>
      </w:r>
    </w:p>
    <w:p w14:paraId="2D498C4C" w14:textId="2EEB10D6" w:rsidR="006D383A" w:rsidRPr="00F31965" w:rsidRDefault="006D383A" w:rsidP="006D383A">
      <w:pPr>
        <w:pStyle w:val="Caption"/>
        <w:jc w:val="left"/>
        <w:rPr>
          <w:sz w:val="22"/>
          <w:szCs w:val="18"/>
        </w:rPr>
      </w:pPr>
      <w:r w:rsidRPr="00F31965">
        <w:rPr>
          <w:sz w:val="22"/>
          <w:szCs w:val="18"/>
        </w:rPr>
        <w:t xml:space="preserve">Exhibit </w:t>
      </w:r>
      <w:r w:rsidRPr="00F31965">
        <w:rPr>
          <w:sz w:val="22"/>
          <w:szCs w:val="18"/>
        </w:rPr>
        <w:fldChar w:fldCharType="begin"/>
      </w:r>
      <w:r w:rsidRPr="00F31965">
        <w:rPr>
          <w:sz w:val="22"/>
          <w:szCs w:val="18"/>
        </w:rPr>
        <w:instrText xml:space="preserve"> SEQ Exhibit \* ARABIC </w:instrText>
      </w:r>
      <w:r w:rsidRPr="00F31965">
        <w:rPr>
          <w:sz w:val="22"/>
          <w:szCs w:val="18"/>
        </w:rPr>
        <w:fldChar w:fldCharType="separate"/>
      </w:r>
      <w:r w:rsidR="00180F39">
        <w:rPr>
          <w:noProof/>
          <w:sz w:val="22"/>
          <w:szCs w:val="18"/>
        </w:rPr>
        <w:t>2</w:t>
      </w:r>
      <w:r w:rsidRPr="00F31965">
        <w:rPr>
          <w:sz w:val="22"/>
          <w:szCs w:val="18"/>
        </w:rPr>
        <w:fldChar w:fldCharType="end"/>
      </w:r>
      <w:r w:rsidRPr="00F31965">
        <w:rPr>
          <w:sz w:val="22"/>
          <w:szCs w:val="18"/>
        </w:rPr>
        <w:t>. Eligible Measures</w:t>
      </w:r>
    </w:p>
    <w:tbl>
      <w:tblPr>
        <w:tblStyle w:val="TableGrid"/>
        <w:tblW w:w="0" w:type="auto"/>
        <w:tblLook w:val="04A0" w:firstRow="1" w:lastRow="0" w:firstColumn="1" w:lastColumn="0" w:noHBand="0" w:noVBand="1"/>
      </w:tblPr>
      <w:tblGrid>
        <w:gridCol w:w="8273"/>
      </w:tblGrid>
      <w:tr w:rsidR="00F31965" w:rsidRPr="00F31965" w14:paraId="4FBE5495" w14:textId="77777777" w:rsidTr="00275387">
        <w:trPr>
          <w:trHeight w:val="189"/>
        </w:trPr>
        <w:tc>
          <w:tcPr>
            <w:tcW w:w="8273" w:type="dxa"/>
            <w:shd w:val="clear" w:color="auto" w:fill="D9D9D9" w:themeFill="background1" w:themeFillShade="D9"/>
            <w:vAlign w:val="center"/>
          </w:tcPr>
          <w:p w14:paraId="56387A72" w14:textId="32C5B455" w:rsidR="00F31965" w:rsidRPr="00F31965" w:rsidRDefault="00F31965">
            <w:pPr>
              <w:pStyle w:val="BodyText"/>
              <w:spacing w:before="120"/>
              <w:ind w:left="0"/>
              <w:jc w:val="center"/>
              <w:rPr>
                <w:b/>
                <w:bCs/>
              </w:rPr>
            </w:pPr>
            <w:r w:rsidRPr="00F31965">
              <w:rPr>
                <w:b/>
                <w:bCs/>
              </w:rPr>
              <w:t>Measure Name</w:t>
            </w:r>
          </w:p>
        </w:tc>
      </w:tr>
      <w:tr w:rsidR="00F31965" w:rsidRPr="00F31965" w14:paraId="2F5B1E2F" w14:textId="77777777" w:rsidTr="00275387">
        <w:trPr>
          <w:trHeight w:val="374"/>
        </w:trPr>
        <w:tc>
          <w:tcPr>
            <w:tcW w:w="8273" w:type="dxa"/>
            <w:vAlign w:val="center"/>
          </w:tcPr>
          <w:p w14:paraId="7FD87DB2" w14:textId="1ECEB7C7" w:rsidR="00F31965" w:rsidRPr="00F31965" w:rsidRDefault="00F31965" w:rsidP="00F31965">
            <w:pPr>
              <w:pStyle w:val="BodyText"/>
              <w:spacing w:after="60"/>
              <w:ind w:left="0"/>
            </w:pPr>
            <w:r w:rsidRPr="00F31965">
              <w:t>Hot Water Tank Insulation, Nonresidential and Multifamily</w:t>
            </w:r>
          </w:p>
        </w:tc>
      </w:tr>
      <w:tr w:rsidR="00F31965" w:rsidRPr="00F31965" w14:paraId="24A7B33A" w14:textId="77777777" w:rsidTr="00275387">
        <w:trPr>
          <w:trHeight w:val="374"/>
        </w:trPr>
        <w:tc>
          <w:tcPr>
            <w:tcW w:w="8273" w:type="dxa"/>
            <w:vAlign w:val="center"/>
          </w:tcPr>
          <w:p w14:paraId="3AAD47C9" w14:textId="76FA6D68" w:rsidR="00F31965" w:rsidRPr="00F31965" w:rsidRDefault="00F31965" w:rsidP="00F31965">
            <w:pPr>
              <w:pStyle w:val="BodyText"/>
              <w:spacing w:after="60"/>
              <w:ind w:left="0"/>
            </w:pPr>
            <w:r w:rsidRPr="00F31965">
              <w:t>Brushless Fan Motor Replacement, Residential</w:t>
            </w:r>
          </w:p>
        </w:tc>
      </w:tr>
      <w:tr w:rsidR="00F31965" w:rsidRPr="00F31965" w14:paraId="009E61E3" w14:textId="77777777" w:rsidTr="00275387">
        <w:trPr>
          <w:trHeight w:val="374"/>
        </w:trPr>
        <w:tc>
          <w:tcPr>
            <w:tcW w:w="8273" w:type="dxa"/>
            <w:vAlign w:val="center"/>
          </w:tcPr>
          <w:p w14:paraId="453AECE2" w14:textId="7591B254" w:rsidR="00F31965" w:rsidRPr="00F31965" w:rsidRDefault="00F31965" w:rsidP="00F31965">
            <w:pPr>
              <w:pStyle w:val="BodyText"/>
              <w:spacing w:after="60"/>
              <w:ind w:left="0"/>
            </w:pPr>
            <w:r w:rsidRPr="00F31965">
              <w:t>Duct Seal, Residential</w:t>
            </w:r>
          </w:p>
        </w:tc>
      </w:tr>
      <w:tr w:rsidR="00F31965" w:rsidRPr="00F31965" w14:paraId="64A551E7" w14:textId="77777777" w:rsidTr="00275387">
        <w:trPr>
          <w:trHeight w:val="374"/>
        </w:trPr>
        <w:tc>
          <w:tcPr>
            <w:tcW w:w="8273" w:type="dxa"/>
            <w:vAlign w:val="center"/>
          </w:tcPr>
          <w:p w14:paraId="335BD273" w14:textId="12BFDF24" w:rsidR="00F31965" w:rsidRPr="00F31965" w:rsidRDefault="00F31965" w:rsidP="00F31965">
            <w:pPr>
              <w:pStyle w:val="BodyText"/>
              <w:spacing w:after="60"/>
              <w:ind w:left="0"/>
            </w:pPr>
            <w:r w:rsidRPr="00F31965">
              <w:t>Low-Flow Showerhead, Residential</w:t>
            </w:r>
          </w:p>
        </w:tc>
      </w:tr>
      <w:tr w:rsidR="00F31965" w:rsidRPr="00F31965" w14:paraId="5BC83494" w14:textId="77777777" w:rsidTr="00275387">
        <w:trPr>
          <w:trHeight w:val="374"/>
        </w:trPr>
        <w:tc>
          <w:tcPr>
            <w:tcW w:w="8273" w:type="dxa"/>
            <w:vAlign w:val="center"/>
          </w:tcPr>
          <w:p w14:paraId="0BD093F1" w14:textId="770E540C" w:rsidR="00F31965" w:rsidRPr="00F31965" w:rsidRDefault="00F31965" w:rsidP="00F31965">
            <w:pPr>
              <w:pStyle w:val="BodyText"/>
              <w:spacing w:after="60"/>
              <w:ind w:left="0"/>
            </w:pPr>
            <w:r w:rsidRPr="00F31965">
              <w:t>Faucet Aerator, Residential</w:t>
            </w:r>
          </w:p>
        </w:tc>
      </w:tr>
      <w:tr w:rsidR="00F31965" w:rsidRPr="00F31965" w14:paraId="76EA6268" w14:textId="77777777" w:rsidTr="00275387">
        <w:trPr>
          <w:trHeight w:val="374"/>
        </w:trPr>
        <w:tc>
          <w:tcPr>
            <w:tcW w:w="8273" w:type="dxa"/>
            <w:vAlign w:val="center"/>
          </w:tcPr>
          <w:p w14:paraId="56F7AE66" w14:textId="4BDA4904" w:rsidR="00F31965" w:rsidRPr="00F31965" w:rsidRDefault="00F31965" w:rsidP="00F31965">
            <w:pPr>
              <w:pStyle w:val="BodyText"/>
              <w:spacing w:after="60"/>
              <w:ind w:left="0"/>
            </w:pPr>
            <w:r w:rsidRPr="00F31965">
              <w:t>Hot Water Pipe Insulation, Nonresidential and Multifamily</w:t>
            </w:r>
          </w:p>
        </w:tc>
      </w:tr>
      <w:tr w:rsidR="00F31965" w:rsidRPr="00F31965" w14:paraId="61D189B1" w14:textId="77777777" w:rsidTr="00275387">
        <w:trPr>
          <w:trHeight w:val="374"/>
        </w:trPr>
        <w:tc>
          <w:tcPr>
            <w:tcW w:w="8273" w:type="dxa"/>
            <w:vAlign w:val="center"/>
          </w:tcPr>
          <w:p w14:paraId="383EF1DD" w14:textId="3367FC79" w:rsidR="00F31965" w:rsidRPr="00F31965" w:rsidRDefault="00F31965" w:rsidP="00F31965">
            <w:pPr>
              <w:pStyle w:val="BodyText"/>
              <w:spacing w:after="0"/>
              <w:ind w:left="0"/>
            </w:pPr>
            <w:r w:rsidRPr="00F31965">
              <w:t>Smart Thermostat, Residential</w:t>
            </w:r>
          </w:p>
        </w:tc>
      </w:tr>
      <w:tr w:rsidR="00F31965" w:rsidRPr="00F31965" w14:paraId="71D4F197" w14:textId="77777777" w:rsidTr="00275387">
        <w:trPr>
          <w:trHeight w:val="374"/>
        </w:trPr>
        <w:tc>
          <w:tcPr>
            <w:tcW w:w="8273" w:type="dxa"/>
            <w:vAlign w:val="center"/>
          </w:tcPr>
          <w:p w14:paraId="0C45EE55" w14:textId="6B026D02" w:rsidR="00F31965" w:rsidRPr="00F31965" w:rsidRDefault="00F31965" w:rsidP="00F31965">
            <w:pPr>
              <w:pStyle w:val="BodyText"/>
              <w:spacing w:after="0"/>
              <w:ind w:left="0"/>
            </w:pPr>
            <w:r w:rsidRPr="00F31965">
              <w:t>Smart Fan Controller, Residential</w:t>
            </w:r>
          </w:p>
        </w:tc>
      </w:tr>
      <w:tr w:rsidR="00F31965" w:rsidRPr="00B46465" w14:paraId="7304D1CA" w14:textId="77777777" w:rsidTr="00275387">
        <w:trPr>
          <w:trHeight w:val="374"/>
        </w:trPr>
        <w:tc>
          <w:tcPr>
            <w:tcW w:w="8273" w:type="dxa"/>
            <w:vAlign w:val="center"/>
          </w:tcPr>
          <w:p w14:paraId="2635A4ED" w14:textId="40F7489D" w:rsidR="00F31965" w:rsidRPr="00F31965" w:rsidRDefault="00F31965" w:rsidP="00F31965">
            <w:pPr>
              <w:pStyle w:val="BodyText"/>
              <w:spacing w:after="0"/>
              <w:ind w:left="0"/>
            </w:pPr>
            <w:r w:rsidRPr="00F31965">
              <w:rPr>
                <w:sz w:val="20"/>
                <w:szCs w:val="20"/>
              </w:rPr>
              <w:t>UL Type B LED Mogul Base Lamp HID Retrofits for Outdoor Area/Pole and Decorative Fixtures</w:t>
            </w:r>
          </w:p>
        </w:tc>
      </w:tr>
    </w:tbl>
    <w:p w14:paraId="56A09CF6" w14:textId="07AA1B0A" w:rsidR="002A2A7C" w:rsidRPr="000E5DD6" w:rsidRDefault="00474CAE" w:rsidP="00747BE9">
      <w:pPr>
        <w:pStyle w:val="Heading2"/>
        <w:spacing w:before="240"/>
      </w:pPr>
      <w:bookmarkStart w:id="46" w:name="_Toc173407338"/>
      <w:r>
        <w:t>Program Design and Best Practices</w:t>
      </w:r>
      <w:bookmarkEnd w:id="46"/>
      <w:r>
        <w:t xml:space="preserve"> </w:t>
      </w:r>
    </w:p>
    <w:p w14:paraId="55EA0E74" w14:textId="73B32273" w:rsidR="00FA2EEC" w:rsidRDefault="00C77897" w:rsidP="00236097">
      <w:pPr>
        <w:spacing w:after="120"/>
        <w:ind w:right="5"/>
        <w:rPr>
          <w:rFonts w:cs="Times New Roman"/>
        </w:rPr>
      </w:pPr>
      <w:r>
        <w:rPr>
          <w:rFonts w:cs="Times New Roman"/>
        </w:rPr>
        <w:t xml:space="preserve">The goal of the SoCalREN </w:t>
      </w:r>
      <w:r w:rsidR="000F328F">
        <w:rPr>
          <w:rFonts w:cs="Times New Roman"/>
        </w:rPr>
        <w:t xml:space="preserve">Small </w:t>
      </w:r>
      <w:r w:rsidR="008848E7">
        <w:rPr>
          <w:rFonts w:cs="Times New Roman"/>
        </w:rPr>
        <w:t>HTR MF DI</w:t>
      </w:r>
      <w:r>
        <w:rPr>
          <w:rFonts w:cs="Times New Roman"/>
        </w:rPr>
        <w:t xml:space="preserve"> </w:t>
      </w:r>
      <w:r w:rsidR="000D0814">
        <w:rPr>
          <w:rFonts w:cs="Times New Roman"/>
        </w:rPr>
        <w:t>P</w:t>
      </w:r>
      <w:r>
        <w:rPr>
          <w:rFonts w:cs="Times New Roman"/>
        </w:rPr>
        <w:t xml:space="preserve">rogram is to </w:t>
      </w:r>
      <w:r w:rsidR="00C74B6E">
        <w:rPr>
          <w:rFonts w:cs="Times New Roman"/>
        </w:rPr>
        <w:t xml:space="preserve">install </w:t>
      </w:r>
      <w:r w:rsidR="00C74B6E" w:rsidRPr="00C74B6E">
        <w:rPr>
          <w:rFonts w:cs="Times New Roman"/>
        </w:rPr>
        <w:t xml:space="preserve">simple energy efficiency upgrades that will save underserved owners and tenants money on their electric, </w:t>
      </w:r>
      <w:r w:rsidR="00EF031B">
        <w:rPr>
          <w:rFonts w:cs="Times New Roman"/>
        </w:rPr>
        <w:t xml:space="preserve">natural </w:t>
      </w:r>
      <w:r w:rsidR="00C74B6E" w:rsidRPr="00C74B6E">
        <w:rPr>
          <w:rFonts w:cs="Times New Roman"/>
        </w:rPr>
        <w:t>gas</w:t>
      </w:r>
      <w:r w:rsidR="00EF031B">
        <w:rPr>
          <w:rFonts w:cs="Times New Roman"/>
        </w:rPr>
        <w:t>,</w:t>
      </w:r>
      <w:r w:rsidR="00C74B6E" w:rsidRPr="00C74B6E">
        <w:rPr>
          <w:rFonts w:cs="Times New Roman"/>
        </w:rPr>
        <w:t xml:space="preserve"> and water bills</w:t>
      </w:r>
      <w:bookmarkStart w:id="47" w:name="_Hlk173230679"/>
      <w:r w:rsidR="00C74B6E" w:rsidRPr="00C74B6E">
        <w:rPr>
          <w:rFonts w:cs="Times New Roman"/>
        </w:rPr>
        <w:t>.</w:t>
      </w:r>
      <w:r w:rsidR="00D577A4">
        <w:rPr>
          <w:rFonts w:cs="Times New Roman"/>
        </w:rPr>
        <w:t xml:space="preserve"> </w:t>
      </w:r>
      <w:r>
        <w:rPr>
          <w:rFonts w:cs="Times New Roman"/>
        </w:rPr>
        <w:t>The requirements of the program are as follows:</w:t>
      </w:r>
    </w:p>
    <w:p w14:paraId="3CC89D51" w14:textId="3F755D04" w:rsidR="00C77897" w:rsidRPr="005E422B" w:rsidRDefault="00C77897" w:rsidP="00F62010">
      <w:pPr>
        <w:pStyle w:val="ListParagraph"/>
        <w:numPr>
          <w:ilvl w:val="0"/>
          <w:numId w:val="13"/>
        </w:numPr>
        <w:spacing w:after="120" w:line="264" w:lineRule="auto"/>
        <w:ind w:left="360" w:right="5"/>
        <w:rPr>
          <w:rFonts w:cs="Times New Roman"/>
        </w:rPr>
      </w:pPr>
      <w:r w:rsidRPr="005E422B">
        <w:rPr>
          <w:rFonts w:cs="Times New Roman"/>
        </w:rPr>
        <w:t xml:space="preserve">Building must have at least </w:t>
      </w:r>
      <w:r w:rsidR="004E174F" w:rsidRPr="005E422B">
        <w:rPr>
          <w:rFonts w:cs="Times New Roman"/>
        </w:rPr>
        <w:t>five</w:t>
      </w:r>
      <w:r w:rsidR="00B7305A" w:rsidRPr="005E422B">
        <w:rPr>
          <w:rFonts w:cs="Times New Roman"/>
        </w:rPr>
        <w:t xml:space="preserve"> and no more than 50</w:t>
      </w:r>
      <w:r w:rsidR="004E174F" w:rsidRPr="005E422B">
        <w:rPr>
          <w:rFonts w:cs="Times New Roman"/>
        </w:rPr>
        <w:t xml:space="preserve"> </w:t>
      </w:r>
      <w:r w:rsidRPr="005E422B">
        <w:rPr>
          <w:rFonts w:cs="Times New Roman"/>
        </w:rPr>
        <w:t>attached units</w:t>
      </w:r>
    </w:p>
    <w:p w14:paraId="21AC4A4D" w14:textId="22B916CA" w:rsidR="00C77897" w:rsidRPr="005E422B" w:rsidRDefault="00C77897" w:rsidP="00F62010">
      <w:pPr>
        <w:pStyle w:val="ListParagraph"/>
        <w:numPr>
          <w:ilvl w:val="0"/>
          <w:numId w:val="13"/>
        </w:numPr>
        <w:spacing w:after="120" w:line="264" w:lineRule="auto"/>
        <w:ind w:left="360" w:right="5"/>
        <w:rPr>
          <w:rFonts w:cs="Times New Roman"/>
        </w:rPr>
      </w:pPr>
      <w:r w:rsidRPr="005E422B">
        <w:rPr>
          <w:rFonts w:cs="Times New Roman"/>
        </w:rPr>
        <w:t xml:space="preserve">Customers of </w:t>
      </w:r>
      <w:r w:rsidR="00FA2EEC" w:rsidRPr="005E422B">
        <w:rPr>
          <w:rFonts w:cs="Times New Roman"/>
        </w:rPr>
        <w:t xml:space="preserve">either </w:t>
      </w:r>
      <w:r w:rsidRPr="005E422B">
        <w:rPr>
          <w:rFonts w:cs="Times New Roman"/>
        </w:rPr>
        <w:t>Southern California Edison</w:t>
      </w:r>
      <w:r w:rsidR="00FA2EEC" w:rsidRPr="005E422B">
        <w:rPr>
          <w:rFonts w:cs="Times New Roman"/>
        </w:rPr>
        <w:t xml:space="preserve"> (SCE)</w:t>
      </w:r>
      <w:r w:rsidRPr="005E422B">
        <w:rPr>
          <w:rFonts w:cs="Times New Roman"/>
        </w:rPr>
        <w:t xml:space="preserve"> </w:t>
      </w:r>
      <w:r w:rsidR="00644A9D" w:rsidRPr="005E422B">
        <w:rPr>
          <w:rFonts w:cs="Times New Roman"/>
        </w:rPr>
        <w:t xml:space="preserve">or </w:t>
      </w:r>
      <w:r w:rsidR="001B2829">
        <w:rPr>
          <w:rFonts w:cs="Times New Roman"/>
        </w:rPr>
        <w:t>Southern California Gas Company (SoCalGas)</w:t>
      </w:r>
    </w:p>
    <w:p w14:paraId="69AB1D33" w14:textId="32C772DE" w:rsidR="00C77897" w:rsidRPr="005E422B" w:rsidRDefault="002F35B4" w:rsidP="00F62010">
      <w:pPr>
        <w:pStyle w:val="ListParagraph"/>
        <w:numPr>
          <w:ilvl w:val="0"/>
          <w:numId w:val="13"/>
        </w:numPr>
        <w:spacing w:after="120" w:line="264" w:lineRule="auto"/>
        <w:ind w:left="360" w:right="5"/>
        <w:rPr>
          <w:rFonts w:cs="Times New Roman"/>
        </w:rPr>
      </w:pPr>
      <w:r w:rsidRPr="005E422B">
        <w:rPr>
          <w:rFonts w:cs="Times New Roman"/>
        </w:rPr>
        <w:t xml:space="preserve">Property must </w:t>
      </w:r>
      <w:proofErr w:type="gramStart"/>
      <w:r w:rsidRPr="005E422B">
        <w:rPr>
          <w:rFonts w:cs="Times New Roman"/>
        </w:rPr>
        <w:t>be located in</w:t>
      </w:r>
      <w:proofErr w:type="gramEnd"/>
      <w:r w:rsidRPr="005E422B">
        <w:rPr>
          <w:rFonts w:cs="Times New Roman"/>
        </w:rPr>
        <w:t xml:space="preserve"> a DAC or classified as HTR per CPUC criteria</w:t>
      </w:r>
      <w:r w:rsidR="0003535C" w:rsidRPr="005E422B">
        <w:rPr>
          <w:rStyle w:val="FootnoteReference"/>
          <w:rFonts w:cs="Times New Roman"/>
        </w:rPr>
        <w:footnoteReference w:id="3"/>
      </w:r>
    </w:p>
    <w:bookmarkEnd w:id="47"/>
    <w:p w14:paraId="2D7E5D6C" w14:textId="0F394C4A" w:rsidR="00C77897" w:rsidRPr="005E422B" w:rsidRDefault="00C77897" w:rsidP="00236097">
      <w:pPr>
        <w:spacing w:after="120"/>
        <w:ind w:right="5"/>
        <w:rPr>
          <w:rFonts w:cs="Times New Roman"/>
        </w:rPr>
      </w:pPr>
      <w:r w:rsidRPr="005E422B">
        <w:rPr>
          <w:rFonts w:cs="Times New Roman"/>
        </w:rPr>
        <w:t>The steps to participation are as follows:</w:t>
      </w:r>
    </w:p>
    <w:p w14:paraId="251AEDE3" w14:textId="53F9E231" w:rsidR="001D6A93" w:rsidRPr="005E422B" w:rsidRDefault="001D6A93" w:rsidP="00741A06">
      <w:pPr>
        <w:numPr>
          <w:ilvl w:val="0"/>
          <w:numId w:val="14"/>
        </w:numPr>
        <w:spacing w:after="40"/>
        <w:ind w:right="5"/>
        <w:rPr>
          <w:rFonts w:cs="Times New Roman"/>
        </w:rPr>
      </w:pPr>
      <w:r w:rsidRPr="005E422B">
        <w:rPr>
          <w:rFonts w:cs="Times New Roman"/>
          <w:b/>
          <w:bCs/>
        </w:rPr>
        <w:t>Enrollment:</w:t>
      </w:r>
      <w:r w:rsidRPr="005E422B">
        <w:rPr>
          <w:rFonts w:cs="Times New Roman"/>
        </w:rPr>
        <w:t xml:space="preserve"> The DI contractor receives </w:t>
      </w:r>
      <w:r w:rsidR="00123D9A">
        <w:rPr>
          <w:rFonts w:cs="Times New Roman"/>
        </w:rPr>
        <w:t>acknowledgment</w:t>
      </w:r>
      <w:r w:rsidR="00123D9A" w:rsidRPr="005E422B">
        <w:rPr>
          <w:rFonts w:cs="Times New Roman"/>
        </w:rPr>
        <w:t xml:space="preserve"> </w:t>
      </w:r>
      <w:r w:rsidRPr="005E422B">
        <w:rPr>
          <w:rFonts w:cs="Times New Roman"/>
        </w:rPr>
        <w:t>and approval from the property owner and submits the program participation application. This step also includes verifying eligibility</w:t>
      </w:r>
      <w:r w:rsidR="004E58EE" w:rsidRPr="005E422B">
        <w:rPr>
          <w:rFonts w:cs="Times New Roman"/>
        </w:rPr>
        <w:t xml:space="preserve"> and</w:t>
      </w:r>
      <w:r w:rsidRPr="005E422B">
        <w:rPr>
          <w:rFonts w:cs="Times New Roman"/>
        </w:rPr>
        <w:t xml:space="preserve"> checking for previous participation. </w:t>
      </w:r>
    </w:p>
    <w:p w14:paraId="2A362109" w14:textId="39D137E1" w:rsidR="00C77897" w:rsidRPr="005E422B" w:rsidRDefault="001D6A93" w:rsidP="00741A06">
      <w:pPr>
        <w:numPr>
          <w:ilvl w:val="0"/>
          <w:numId w:val="14"/>
        </w:numPr>
        <w:spacing w:after="40"/>
        <w:ind w:right="5"/>
        <w:rPr>
          <w:rFonts w:cs="Times New Roman"/>
        </w:rPr>
      </w:pPr>
      <w:r w:rsidRPr="005E422B">
        <w:rPr>
          <w:rFonts w:cs="Times New Roman"/>
          <w:b/>
          <w:bCs/>
        </w:rPr>
        <w:t>Scope Finalization and Scheduling:</w:t>
      </w:r>
      <w:r w:rsidRPr="005E422B">
        <w:rPr>
          <w:rFonts w:cs="Times New Roman"/>
        </w:rPr>
        <w:t xml:space="preserve"> The DI contractor works closely with the property owner to finalize the proposed scope of work, receives Program approval, and</w:t>
      </w:r>
      <w:r w:rsidR="0018271D" w:rsidRPr="005E422B">
        <w:rPr>
          <w:rFonts w:cs="Times New Roman"/>
        </w:rPr>
        <w:t xml:space="preserve"> </w:t>
      </w:r>
      <w:r w:rsidR="006611A6" w:rsidRPr="005E422B">
        <w:rPr>
          <w:rFonts w:cs="Times New Roman"/>
        </w:rPr>
        <w:t xml:space="preserve">schedules construction. </w:t>
      </w:r>
    </w:p>
    <w:p w14:paraId="48E3F061" w14:textId="0FC1EA84" w:rsidR="0018271D" w:rsidRPr="005E422B" w:rsidRDefault="0018271D" w:rsidP="00741A06">
      <w:pPr>
        <w:numPr>
          <w:ilvl w:val="0"/>
          <w:numId w:val="14"/>
        </w:numPr>
        <w:spacing w:after="40"/>
        <w:ind w:right="5"/>
        <w:rPr>
          <w:rFonts w:cs="Times New Roman"/>
        </w:rPr>
      </w:pPr>
      <w:r w:rsidRPr="005E422B">
        <w:rPr>
          <w:rFonts w:cs="Times New Roman"/>
          <w:b/>
          <w:bCs/>
        </w:rPr>
        <w:t>Project Construction:</w:t>
      </w:r>
      <w:r w:rsidRPr="005E422B">
        <w:rPr>
          <w:rFonts w:cs="Times New Roman"/>
        </w:rPr>
        <w:t xml:space="preserve"> Construction activities typically begin by identifying a vacant unit to perform initial program DI services. The onsite maintenance observes the work performed and makes suggestions and special requests for how they would like the work to be extended to the rest of the property. Once the measure mix and installation process are ratified between the multifamily property and the </w:t>
      </w:r>
      <w:r w:rsidR="006611A6" w:rsidRPr="005E422B">
        <w:rPr>
          <w:rFonts w:cs="Times New Roman"/>
        </w:rPr>
        <w:t>contractor</w:t>
      </w:r>
      <w:r w:rsidRPr="005E422B">
        <w:rPr>
          <w:rFonts w:cs="Times New Roman"/>
        </w:rPr>
        <w:t xml:space="preserve">, a plan is put in place to systematically service all units at the multifamily site.  </w:t>
      </w:r>
    </w:p>
    <w:p w14:paraId="67180FB2" w14:textId="5BD23BD7" w:rsidR="0018271D" w:rsidRDefault="0018271D" w:rsidP="00F62010">
      <w:pPr>
        <w:numPr>
          <w:ilvl w:val="0"/>
          <w:numId w:val="14"/>
        </w:numPr>
        <w:ind w:right="5"/>
        <w:rPr>
          <w:rFonts w:cs="Times New Roman"/>
        </w:rPr>
      </w:pPr>
      <w:r w:rsidRPr="005E422B">
        <w:rPr>
          <w:rFonts w:cs="Times New Roman"/>
          <w:b/>
          <w:bCs/>
        </w:rPr>
        <w:t>Project Verification and Close-Out:</w:t>
      </w:r>
      <w:r w:rsidRPr="005E422B">
        <w:rPr>
          <w:rFonts w:cs="Times New Roman"/>
        </w:rPr>
        <w:t xml:space="preserve"> </w:t>
      </w:r>
      <w:r w:rsidR="001D1AA0" w:rsidRPr="005E422B">
        <w:rPr>
          <w:rFonts w:cs="Times New Roman"/>
        </w:rPr>
        <w:t>The Program will perform</w:t>
      </w:r>
      <w:r w:rsidRPr="005E422B">
        <w:rPr>
          <w:rFonts w:cs="Times New Roman"/>
        </w:rPr>
        <w:t xml:space="preserve"> specific QA/QC checks to ensure baseline conditions are properly documented and that the proposed equipment matches what was approved. Up to 10</w:t>
      </w:r>
      <w:r w:rsidR="00FD7512">
        <w:rPr>
          <w:rFonts w:cs="Times New Roman"/>
        </w:rPr>
        <w:t xml:space="preserve"> percent</w:t>
      </w:r>
      <w:r w:rsidRPr="005E422B">
        <w:rPr>
          <w:rFonts w:cs="Times New Roman"/>
        </w:rPr>
        <w:t xml:space="preserve"> of projects will also be selected for onsite post construction inspection by </w:t>
      </w:r>
      <w:r w:rsidR="001D1AA0" w:rsidRPr="005E422B">
        <w:rPr>
          <w:rFonts w:cs="Times New Roman"/>
        </w:rPr>
        <w:lastRenderedPageBreak/>
        <w:t>the program implementer</w:t>
      </w:r>
      <w:r w:rsidRPr="005E422B">
        <w:rPr>
          <w:rFonts w:cs="Times New Roman"/>
        </w:rPr>
        <w:t xml:space="preserve">. Upon approval, the </w:t>
      </w:r>
      <w:bookmarkStart w:id="48" w:name="_Hlk173231029"/>
      <w:r w:rsidR="001D1AA0" w:rsidRPr="005E422B">
        <w:rPr>
          <w:rFonts w:cs="Times New Roman"/>
        </w:rPr>
        <w:t>contractors</w:t>
      </w:r>
      <w:r w:rsidRPr="005E422B">
        <w:rPr>
          <w:rFonts w:cs="Times New Roman"/>
        </w:rPr>
        <w:t xml:space="preserve"> will be paid the agreed upon contract rate for measure procurement and installation.</w:t>
      </w:r>
      <w:bookmarkEnd w:id="48"/>
    </w:p>
    <w:p w14:paraId="39BE5A1E" w14:textId="326F86A7" w:rsidR="00AD44E2" w:rsidRDefault="00AD44E2" w:rsidP="00AD44E2">
      <w:pPr>
        <w:ind w:right="5"/>
        <w:rPr>
          <w:rFonts w:cs="Times New Roman"/>
          <w:b/>
        </w:rPr>
      </w:pPr>
      <w:r w:rsidRPr="00AD44E2">
        <w:rPr>
          <w:rFonts w:cs="Times New Roman"/>
        </w:rPr>
        <w:t xml:space="preserve">The </w:t>
      </w:r>
      <w:r w:rsidR="000D0814">
        <w:rPr>
          <w:rFonts w:cs="Times New Roman"/>
        </w:rPr>
        <w:t xml:space="preserve">SoCalREN Small HTR MF DI Program </w:t>
      </w:r>
      <w:r w:rsidRPr="00AD44E2">
        <w:rPr>
          <w:rFonts w:cs="Times New Roman"/>
        </w:rPr>
        <w:t>addresses the following market barriers to comprehensive upgrades</w:t>
      </w:r>
      <w:r w:rsidR="00C77897">
        <w:rPr>
          <w:rFonts w:cs="Times New Roman"/>
        </w:rPr>
        <w:t xml:space="preserve">, and implements best practices to mitigate </w:t>
      </w:r>
      <w:r w:rsidR="000A7A07">
        <w:rPr>
          <w:rFonts w:cs="Times New Roman"/>
        </w:rPr>
        <w:t>these potential barriers</w:t>
      </w:r>
      <w:r w:rsidRPr="00AD44E2">
        <w:rPr>
          <w:rFonts w:cs="Times New Roman"/>
        </w:rPr>
        <w:t>:</w:t>
      </w:r>
      <w:r w:rsidRPr="00AD44E2">
        <w:rPr>
          <w:rFonts w:cs="Times New Roman"/>
          <w:b/>
        </w:rPr>
        <w:t xml:space="preserve"> </w:t>
      </w:r>
    </w:p>
    <w:p w14:paraId="654A1873" w14:textId="68F68CBC" w:rsidR="00E276BE" w:rsidRPr="00E276BE" w:rsidRDefault="00E276BE" w:rsidP="00E276BE">
      <w:pPr>
        <w:pStyle w:val="Caption"/>
        <w:jc w:val="left"/>
        <w:rPr>
          <w:sz w:val="22"/>
          <w:szCs w:val="18"/>
        </w:rPr>
      </w:pPr>
      <w:r w:rsidRPr="00E276BE">
        <w:rPr>
          <w:sz w:val="22"/>
          <w:szCs w:val="18"/>
        </w:rPr>
        <w:t xml:space="preserve">Exhibit </w:t>
      </w:r>
      <w:r w:rsidRPr="00E276BE">
        <w:rPr>
          <w:sz w:val="22"/>
          <w:szCs w:val="18"/>
        </w:rPr>
        <w:fldChar w:fldCharType="begin"/>
      </w:r>
      <w:r w:rsidRPr="00E276BE">
        <w:rPr>
          <w:sz w:val="22"/>
          <w:szCs w:val="18"/>
        </w:rPr>
        <w:instrText xml:space="preserve"> SEQ Exhibit \* ARABIC </w:instrText>
      </w:r>
      <w:r w:rsidRPr="00E276BE">
        <w:rPr>
          <w:sz w:val="22"/>
          <w:szCs w:val="18"/>
        </w:rPr>
        <w:fldChar w:fldCharType="separate"/>
      </w:r>
      <w:r w:rsidR="00180F39">
        <w:rPr>
          <w:noProof/>
          <w:sz w:val="22"/>
          <w:szCs w:val="18"/>
        </w:rPr>
        <w:t>3</w:t>
      </w:r>
      <w:r w:rsidRPr="00E276BE">
        <w:rPr>
          <w:sz w:val="22"/>
          <w:szCs w:val="18"/>
        </w:rPr>
        <w:fldChar w:fldCharType="end"/>
      </w:r>
      <w:r w:rsidRPr="00E276BE">
        <w:rPr>
          <w:sz w:val="22"/>
          <w:szCs w:val="18"/>
        </w:rPr>
        <w:t>. Market Barriers, Strategies, Tactics, and Best Practices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21"/>
        <w:gridCol w:w="2398"/>
        <w:gridCol w:w="2312"/>
      </w:tblGrid>
      <w:tr w:rsidR="005840CB" w:rsidRPr="005840CB" w14:paraId="7EC74334" w14:textId="77777777" w:rsidTr="00E276BE">
        <w:trPr>
          <w:tblHeader/>
        </w:trPr>
        <w:tc>
          <w:tcPr>
            <w:tcW w:w="2319" w:type="dxa"/>
            <w:shd w:val="clear" w:color="auto" w:fill="D9D9D9" w:themeFill="background1" w:themeFillShade="D9"/>
            <w:vAlign w:val="center"/>
          </w:tcPr>
          <w:p w14:paraId="031BB982" w14:textId="77777777" w:rsidR="005840CB" w:rsidRPr="005840CB" w:rsidRDefault="005840CB" w:rsidP="005840CB">
            <w:pPr>
              <w:ind w:right="5"/>
              <w:jc w:val="center"/>
              <w:rPr>
                <w:rFonts w:cs="Times New Roman"/>
                <w:b/>
                <w:bCs/>
              </w:rPr>
            </w:pPr>
            <w:r w:rsidRPr="005840CB">
              <w:rPr>
                <w:rFonts w:cs="Times New Roman"/>
                <w:b/>
                <w:bCs/>
              </w:rPr>
              <w:t>Market Barriers</w:t>
            </w:r>
            <w:r w:rsidRPr="005840CB">
              <w:rPr>
                <w:rFonts w:cs="Times New Roman"/>
                <w:b/>
                <w:bCs/>
                <w:vertAlign w:val="superscript"/>
              </w:rPr>
              <w:footnoteReference w:id="4"/>
            </w:r>
          </w:p>
        </w:tc>
        <w:tc>
          <w:tcPr>
            <w:tcW w:w="2321" w:type="dxa"/>
            <w:shd w:val="clear" w:color="auto" w:fill="D9D9D9" w:themeFill="background1" w:themeFillShade="D9"/>
            <w:vAlign w:val="center"/>
          </w:tcPr>
          <w:p w14:paraId="59A84F79" w14:textId="77777777" w:rsidR="005840CB" w:rsidRPr="005840CB" w:rsidRDefault="005840CB" w:rsidP="005840CB">
            <w:pPr>
              <w:ind w:right="5"/>
              <w:jc w:val="center"/>
              <w:rPr>
                <w:rFonts w:cs="Times New Roman"/>
                <w:b/>
                <w:bCs/>
              </w:rPr>
            </w:pPr>
            <w:r w:rsidRPr="005840CB">
              <w:rPr>
                <w:rFonts w:cs="Times New Roman"/>
                <w:b/>
                <w:bCs/>
              </w:rPr>
              <w:t>Strategy to Overcome Barrier</w:t>
            </w:r>
          </w:p>
        </w:tc>
        <w:tc>
          <w:tcPr>
            <w:tcW w:w="2398" w:type="dxa"/>
            <w:shd w:val="clear" w:color="auto" w:fill="D9D9D9" w:themeFill="background1" w:themeFillShade="D9"/>
            <w:vAlign w:val="center"/>
          </w:tcPr>
          <w:p w14:paraId="28FDBBFB" w14:textId="77777777" w:rsidR="005840CB" w:rsidRPr="005840CB" w:rsidRDefault="005840CB" w:rsidP="005840CB">
            <w:pPr>
              <w:ind w:right="5"/>
              <w:jc w:val="center"/>
              <w:rPr>
                <w:rFonts w:cs="Times New Roman"/>
                <w:b/>
                <w:bCs/>
              </w:rPr>
            </w:pPr>
            <w:r w:rsidRPr="005840CB">
              <w:rPr>
                <w:rFonts w:cs="Times New Roman"/>
                <w:b/>
                <w:bCs/>
              </w:rPr>
              <w:t>Program Tactics</w:t>
            </w:r>
          </w:p>
        </w:tc>
        <w:tc>
          <w:tcPr>
            <w:tcW w:w="2312" w:type="dxa"/>
            <w:shd w:val="clear" w:color="auto" w:fill="D9D9D9" w:themeFill="background1" w:themeFillShade="D9"/>
            <w:vAlign w:val="center"/>
          </w:tcPr>
          <w:p w14:paraId="29215504" w14:textId="77777777" w:rsidR="005840CB" w:rsidRPr="005840CB" w:rsidRDefault="005840CB" w:rsidP="005840CB">
            <w:pPr>
              <w:ind w:right="5"/>
              <w:jc w:val="center"/>
              <w:rPr>
                <w:rFonts w:cs="Times New Roman"/>
                <w:b/>
                <w:bCs/>
              </w:rPr>
            </w:pPr>
            <w:r w:rsidRPr="005840CB">
              <w:rPr>
                <w:rFonts w:cs="Times New Roman"/>
                <w:b/>
                <w:bCs/>
              </w:rPr>
              <w:t>Best Practices</w:t>
            </w:r>
            <w:r w:rsidRPr="005840CB">
              <w:rPr>
                <w:rFonts w:cs="Times New Roman"/>
                <w:b/>
                <w:bCs/>
                <w:vertAlign w:val="superscript"/>
              </w:rPr>
              <w:footnoteReference w:id="5"/>
            </w:r>
          </w:p>
        </w:tc>
      </w:tr>
      <w:tr w:rsidR="005840CB" w:rsidRPr="005840CB" w14:paraId="6CBD75D1" w14:textId="77777777" w:rsidTr="005840CB">
        <w:tc>
          <w:tcPr>
            <w:tcW w:w="2319" w:type="dxa"/>
          </w:tcPr>
          <w:p w14:paraId="3D6A3068" w14:textId="77777777" w:rsidR="005840CB" w:rsidRPr="005840CB" w:rsidRDefault="005840CB" w:rsidP="00B31CA3">
            <w:pPr>
              <w:numPr>
                <w:ilvl w:val="0"/>
                <w:numId w:val="20"/>
              </w:numPr>
              <w:ind w:left="144" w:hanging="144"/>
              <w:rPr>
                <w:rFonts w:cs="Times New Roman"/>
              </w:rPr>
            </w:pPr>
            <w:r w:rsidRPr="005840CB">
              <w:rPr>
                <w:rFonts w:cs="Times New Roman"/>
              </w:rPr>
              <w:t>Lack of capacity</w:t>
            </w:r>
          </w:p>
          <w:p w14:paraId="2DCFCBD7" w14:textId="77777777" w:rsidR="005840CB" w:rsidRPr="005840CB" w:rsidRDefault="005840CB" w:rsidP="00B31CA3">
            <w:pPr>
              <w:numPr>
                <w:ilvl w:val="0"/>
                <w:numId w:val="20"/>
              </w:numPr>
              <w:ind w:left="144" w:hanging="144"/>
              <w:rPr>
                <w:rFonts w:cs="Times New Roman"/>
              </w:rPr>
            </w:pPr>
            <w:r w:rsidRPr="005840CB">
              <w:rPr>
                <w:rFonts w:cs="Times New Roman"/>
              </w:rPr>
              <w:t>Multiple decision makers</w:t>
            </w:r>
          </w:p>
          <w:p w14:paraId="17CBCA94" w14:textId="77777777" w:rsidR="005840CB" w:rsidRPr="005840CB" w:rsidRDefault="005840CB" w:rsidP="00B31CA3">
            <w:pPr>
              <w:numPr>
                <w:ilvl w:val="0"/>
                <w:numId w:val="20"/>
              </w:numPr>
              <w:ind w:left="144" w:hanging="144"/>
              <w:rPr>
                <w:rFonts w:cs="Times New Roman"/>
              </w:rPr>
            </w:pPr>
            <w:r w:rsidRPr="005840CB">
              <w:rPr>
                <w:rFonts w:cs="Times New Roman"/>
              </w:rPr>
              <w:t>Market confusion and high transaction costs</w:t>
            </w:r>
          </w:p>
        </w:tc>
        <w:tc>
          <w:tcPr>
            <w:tcW w:w="2321" w:type="dxa"/>
          </w:tcPr>
          <w:p w14:paraId="00275095" w14:textId="77777777" w:rsidR="005840CB" w:rsidRPr="00E276BE" w:rsidRDefault="005840CB" w:rsidP="00B31CA3">
            <w:pPr>
              <w:numPr>
                <w:ilvl w:val="0"/>
                <w:numId w:val="20"/>
              </w:numPr>
              <w:ind w:left="144" w:hanging="144"/>
              <w:rPr>
                <w:rFonts w:cs="Times New Roman"/>
              </w:rPr>
            </w:pPr>
            <w:r w:rsidRPr="00E276BE">
              <w:rPr>
                <w:rFonts w:cs="Times New Roman"/>
              </w:rPr>
              <w:t>Intelligent outreach to reach appropriate decision maker</w:t>
            </w:r>
          </w:p>
        </w:tc>
        <w:tc>
          <w:tcPr>
            <w:tcW w:w="2398" w:type="dxa"/>
          </w:tcPr>
          <w:p w14:paraId="7F4B1C2C" w14:textId="0C1E3974" w:rsidR="005840CB" w:rsidRPr="005840CB" w:rsidRDefault="005840CB" w:rsidP="00B31CA3">
            <w:pPr>
              <w:numPr>
                <w:ilvl w:val="0"/>
                <w:numId w:val="20"/>
              </w:numPr>
              <w:ind w:left="144" w:hanging="144"/>
              <w:rPr>
                <w:rFonts w:cs="Times New Roman"/>
              </w:rPr>
            </w:pPr>
            <w:r w:rsidRPr="005840CB">
              <w:rPr>
                <w:rFonts w:cs="Times New Roman"/>
              </w:rPr>
              <w:t xml:space="preserve">Targeted marketing and outreach using a variety of communication channels </w:t>
            </w:r>
          </w:p>
          <w:p w14:paraId="7F84BF17" w14:textId="474166DE" w:rsidR="005840CB" w:rsidRPr="005840CB" w:rsidRDefault="005840CB" w:rsidP="00B31CA3">
            <w:pPr>
              <w:numPr>
                <w:ilvl w:val="0"/>
                <w:numId w:val="20"/>
              </w:numPr>
              <w:ind w:left="144" w:hanging="144"/>
              <w:rPr>
                <w:rFonts w:cs="Times New Roman"/>
              </w:rPr>
            </w:pPr>
            <w:r w:rsidRPr="005840CB">
              <w:rPr>
                <w:rFonts w:cs="Times New Roman"/>
              </w:rPr>
              <w:t xml:space="preserve">Active engagement with </w:t>
            </w:r>
            <w:r w:rsidR="00D577A4">
              <w:rPr>
                <w:rFonts w:cs="Times New Roman"/>
              </w:rPr>
              <w:t>local gov/CBOs</w:t>
            </w:r>
          </w:p>
          <w:p w14:paraId="22A3CE5E" w14:textId="2F8FA68C" w:rsidR="005840CB" w:rsidRPr="005840CB" w:rsidRDefault="00D577A4" w:rsidP="00B31CA3">
            <w:pPr>
              <w:numPr>
                <w:ilvl w:val="0"/>
                <w:numId w:val="20"/>
              </w:numPr>
              <w:ind w:left="144" w:hanging="144"/>
              <w:rPr>
                <w:rFonts w:cs="Times New Roman"/>
              </w:rPr>
            </w:pPr>
            <w:r>
              <w:rPr>
                <w:rFonts w:cs="Times New Roman"/>
              </w:rPr>
              <w:t>S</w:t>
            </w:r>
            <w:r w:rsidR="005840CB" w:rsidRPr="005840CB">
              <w:rPr>
                <w:rFonts w:cs="Times New Roman"/>
              </w:rPr>
              <w:t xml:space="preserve">ubcontractors </w:t>
            </w:r>
            <w:r w:rsidR="0068086A">
              <w:rPr>
                <w:rFonts w:cs="Times New Roman"/>
              </w:rPr>
              <w:t>to install EE measures</w:t>
            </w:r>
          </w:p>
          <w:p w14:paraId="0130AD1E" w14:textId="77777777" w:rsidR="005840CB" w:rsidRPr="005840CB" w:rsidRDefault="005840CB" w:rsidP="00B31CA3">
            <w:pPr>
              <w:numPr>
                <w:ilvl w:val="0"/>
                <w:numId w:val="20"/>
              </w:numPr>
              <w:ind w:left="144" w:hanging="144"/>
              <w:rPr>
                <w:rFonts w:cs="Times New Roman"/>
              </w:rPr>
            </w:pPr>
            <w:r w:rsidRPr="005840CB">
              <w:rPr>
                <w:rFonts w:cs="Times New Roman"/>
              </w:rPr>
              <w:t>In-language program outreach to address language barriers</w:t>
            </w:r>
          </w:p>
        </w:tc>
        <w:tc>
          <w:tcPr>
            <w:tcW w:w="2312" w:type="dxa"/>
          </w:tcPr>
          <w:p w14:paraId="436DF785" w14:textId="77777777" w:rsidR="005840CB" w:rsidRPr="00E276BE" w:rsidRDefault="005840CB" w:rsidP="00B31CA3">
            <w:pPr>
              <w:numPr>
                <w:ilvl w:val="0"/>
                <w:numId w:val="20"/>
              </w:numPr>
              <w:ind w:left="144" w:hanging="144"/>
              <w:rPr>
                <w:rFonts w:cs="Times New Roman"/>
              </w:rPr>
            </w:pPr>
            <w:r w:rsidRPr="00E276BE">
              <w:rPr>
                <w:rFonts w:cs="Times New Roman"/>
              </w:rPr>
              <w:t>Consult and target building owners and managers</w:t>
            </w:r>
          </w:p>
        </w:tc>
      </w:tr>
      <w:tr w:rsidR="005840CB" w:rsidRPr="005840CB" w14:paraId="0FA751F6" w14:textId="77777777" w:rsidTr="005840CB">
        <w:tc>
          <w:tcPr>
            <w:tcW w:w="2319" w:type="dxa"/>
          </w:tcPr>
          <w:p w14:paraId="3B5DC9B0" w14:textId="77777777" w:rsidR="005840CB" w:rsidRPr="005840CB" w:rsidRDefault="005840CB" w:rsidP="00B31CA3">
            <w:pPr>
              <w:numPr>
                <w:ilvl w:val="0"/>
                <w:numId w:val="20"/>
              </w:numPr>
              <w:ind w:left="144" w:hanging="144"/>
              <w:rPr>
                <w:rFonts w:cs="Times New Roman"/>
              </w:rPr>
            </w:pPr>
            <w:r w:rsidRPr="005840CB">
              <w:rPr>
                <w:rFonts w:cs="Times New Roman"/>
              </w:rPr>
              <w:t>Market confusion and high transaction costs</w:t>
            </w:r>
          </w:p>
          <w:p w14:paraId="180F3B08" w14:textId="77777777" w:rsidR="005840CB" w:rsidRPr="005840CB" w:rsidRDefault="005840CB" w:rsidP="00B31CA3">
            <w:pPr>
              <w:numPr>
                <w:ilvl w:val="0"/>
                <w:numId w:val="20"/>
              </w:numPr>
              <w:ind w:left="144" w:hanging="144"/>
              <w:rPr>
                <w:rFonts w:cs="Times New Roman"/>
              </w:rPr>
            </w:pPr>
            <w:r w:rsidRPr="005840CB">
              <w:rPr>
                <w:rFonts w:cs="Times New Roman"/>
              </w:rPr>
              <w:t>Lack of capacity</w:t>
            </w:r>
          </w:p>
        </w:tc>
        <w:tc>
          <w:tcPr>
            <w:tcW w:w="2321" w:type="dxa"/>
          </w:tcPr>
          <w:p w14:paraId="1B58706F" w14:textId="77777777" w:rsidR="005840CB" w:rsidRPr="00E276BE" w:rsidRDefault="005840CB" w:rsidP="00B31CA3">
            <w:pPr>
              <w:numPr>
                <w:ilvl w:val="0"/>
                <w:numId w:val="20"/>
              </w:numPr>
              <w:ind w:left="144" w:hanging="144"/>
              <w:rPr>
                <w:rFonts w:cs="Times New Roman"/>
              </w:rPr>
            </w:pPr>
            <w:r w:rsidRPr="00E276BE">
              <w:rPr>
                <w:rFonts w:cs="Times New Roman"/>
              </w:rPr>
              <w:t>Single point of contact to manage property interactions with program</w:t>
            </w:r>
          </w:p>
          <w:p w14:paraId="2ADE1397" w14:textId="77777777" w:rsidR="005840CB" w:rsidRPr="005840CB" w:rsidRDefault="005840CB" w:rsidP="005840CB">
            <w:pPr>
              <w:ind w:right="5"/>
              <w:rPr>
                <w:rFonts w:cs="Times New Roman"/>
              </w:rPr>
            </w:pPr>
          </w:p>
        </w:tc>
        <w:tc>
          <w:tcPr>
            <w:tcW w:w="2398" w:type="dxa"/>
          </w:tcPr>
          <w:p w14:paraId="24A2435A" w14:textId="77777777" w:rsidR="005840CB" w:rsidRPr="005840CB" w:rsidRDefault="005840CB" w:rsidP="00B31CA3">
            <w:pPr>
              <w:numPr>
                <w:ilvl w:val="0"/>
                <w:numId w:val="20"/>
              </w:numPr>
              <w:ind w:left="144" w:hanging="144"/>
              <w:rPr>
                <w:rFonts w:cs="Times New Roman"/>
              </w:rPr>
            </w:pPr>
            <w:r w:rsidRPr="005840CB">
              <w:rPr>
                <w:rFonts w:cs="Times New Roman"/>
              </w:rPr>
              <w:t>Assigned program representatives based on region</w:t>
            </w:r>
          </w:p>
          <w:p w14:paraId="7FFE8FB6" w14:textId="77777777" w:rsidR="005840CB" w:rsidRPr="005840CB" w:rsidRDefault="005840CB" w:rsidP="00B31CA3">
            <w:pPr>
              <w:numPr>
                <w:ilvl w:val="0"/>
                <w:numId w:val="20"/>
              </w:numPr>
              <w:ind w:left="144" w:hanging="144"/>
              <w:rPr>
                <w:rFonts w:cs="Times New Roman"/>
              </w:rPr>
            </w:pPr>
            <w:r w:rsidRPr="005840CB">
              <w:rPr>
                <w:rFonts w:cs="Times New Roman"/>
              </w:rPr>
              <w:t>Installation of direct install measures managed through subcontractors</w:t>
            </w:r>
          </w:p>
        </w:tc>
        <w:tc>
          <w:tcPr>
            <w:tcW w:w="2312" w:type="dxa"/>
          </w:tcPr>
          <w:p w14:paraId="63DC25E9" w14:textId="77777777" w:rsidR="005840CB" w:rsidRPr="00E276BE" w:rsidRDefault="005840CB" w:rsidP="00B31CA3">
            <w:pPr>
              <w:numPr>
                <w:ilvl w:val="0"/>
                <w:numId w:val="20"/>
              </w:numPr>
              <w:ind w:left="144" w:hanging="144"/>
              <w:rPr>
                <w:rFonts w:cs="Times New Roman"/>
              </w:rPr>
            </w:pPr>
            <w:r w:rsidRPr="00E276BE">
              <w:rPr>
                <w:rFonts w:cs="Times New Roman"/>
              </w:rPr>
              <w:t>Provide a one-stop shop for program services</w:t>
            </w:r>
          </w:p>
        </w:tc>
      </w:tr>
      <w:tr w:rsidR="005840CB" w:rsidRPr="005840CB" w14:paraId="21580275" w14:textId="77777777" w:rsidTr="005840CB">
        <w:tc>
          <w:tcPr>
            <w:tcW w:w="2319" w:type="dxa"/>
          </w:tcPr>
          <w:p w14:paraId="20FFF694" w14:textId="77777777" w:rsidR="005840CB" w:rsidRPr="005840CB" w:rsidRDefault="005840CB" w:rsidP="00B31CA3">
            <w:pPr>
              <w:numPr>
                <w:ilvl w:val="0"/>
                <w:numId w:val="20"/>
              </w:numPr>
              <w:ind w:left="144" w:hanging="144"/>
              <w:rPr>
                <w:rFonts w:cs="Times New Roman"/>
              </w:rPr>
            </w:pPr>
            <w:r w:rsidRPr="005840CB">
              <w:rPr>
                <w:rFonts w:cs="Times New Roman"/>
              </w:rPr>
              <w:t>Split incentives</w:t>
            </w:r>
          </w:p>
          <w:p w14:paraId="16A345B0" w14:textId="7019B755" w:rsidR="005840CB" w:rsidRPr="005840CB" w:rsidRDefault="00A07790" w:rsidP="00B31CA3">
            <w:pPr>
              <w:numPr>
                <w:ilvl w:val="0"/>
                <w:numId w:val="20"/>
              </w:numPr>
              <w:ind w:left="144" w:hanging="144"/>
              <w:rPr>
                <w:rFonts w:cs="Times New Roman"/>
              </w:rPr>
            </w:pPr>
            <w:r>
              <w:rPr>
                <w:rFonts w:cs="Times New Roman"/>
              </w:rPr>
              <w:t>Tenant disruption</w:t>
            </w:r>
          </w:p>
          <w:p w14:paraId="10B53414" w14:textId="77777777" w:rsidR="005840CB" w:rsidRPr="005840CB" w:rsidRDefault="005840CB" w:rsidP="00B31CA3">
            <w:pPr>
              <w:numPr>
                <w:ilvl w:val="0"/>
                <w:numId w:val="20"/>
              </w:numPr>
              <w:ind w:left="144" w:hanging="144"/>
              <w:rPr>
                <w:rFonts w:cs="Times New Roman"/>
              </w:rPr>
            </w:pPr>
            <w:r w:rsidRPr="005840CB">
              <w:rPr>
                <w:rFonts w:cs="Times New Roman"/>
              </w:rPr>
              <w:t>Market confusion and high transaction costs</w:t>
            </w:r>
          </w:p>
        </w:tc>
        <w:tc>
          <w:tcPr>
            <w:tcW w:w="2321" w:type="dxa"/>
          </w:tcPr>
          <w:p w14:paraId="129B8D27" w14:textId="77777777" w:rsidR="005840CB" w:rsidRPr="00E276BE" w:rsidRDefault="005840CB" w:rsidP="00B31CA3">
            <w:pPr>
              <w:numPr>
                <w:ilvl w:val="0"/>
                <w:numId w:val="20"/>
              </w:numPr>
              <w:ind w:left="144" w:hanging="144"/>
              <w:rPr>
                <w:rFonts w:cs="Times New Roman"/>
              </w:rPr>
            </w:pPr>
            <w:r w:rsidRPr="00E276BE">
              <w:rPr>
                <w:rFonts w:cs="Times New Roman"/>
              </w:rPr>
              <w:t>Comprehensive program that addresses both common area and in-unit measures</w:t>
            </w:r>
          </w:p>
        </w:tc>
        <w:tc>
          <w:tcPr>
            <w:tcW w:w="2398" w:type="dxa"/>
          </w:tcPr>
          <w:p w14:paraId="7482D93F" w14:textId="0EBBA22E" w:rsidR="005840CB" w:rsidRPr="005840CB" w:rsidRDefault="00D577A4" w:rsidP="00B31CA3">
            <w:pPr>
              <w:numPr>
                <w:ilvl w:val="0"/>
                <w:numId w:val="20"/>
              </w:numPr>
              <w:ind w:left="144" w:hanging="144"/>
              <w:rPr>
                <w:rFonts w:cs="Times New Roman"/>
              </w:rPr>
            </w:pPr>
            <w:r>
              <w:rPr>
                <w:rFonts w:cs="Times New Roman"/>
              </w:rPr>
              <w:t>S</w:t>
            </w:r>
            <w:r w:rsidR="005840CB" w:rsidRPr="005840CB">
              <w:rPr>
                <w:rFonts w:cs="Times New Roman"/>
              </w:rPr>
              <w:t xml:space="preserve">ubcontractors </w:t>
            </w:r>
            <w:r w:rsidR="0068086A">
              <w:rPr>
                <w:rFonts w:cs="Times New Roman"/>
              </w:rPr>
              <w:t>to</w:t>
            </w:r>
            <w:r w:rsidR="005840CB" w:rsidRPr="005840CB">
              <w:rPr>
                <w:rFonts w:cs="Times New Roman"/>
              </w:rPr>
              <w:t xml:space="preserve"> install EE measures</w:t>
            </w:r>
          </w:p>
          <w:p w14:paraId="5AD53C0C" w14:textId="2935CA37" w:rsidR="005840CB" w:rsidRPr="005840CB" w:rsidRDefault="005840CB" w:rsidP="00B31CA3">
            <w:pPr>
              <w:numPr>
                <w:ilvl w:val="0"/>
                <w:numId w:val="20"/>
              </w:numPr>
              <w:ind w:left="144" w:hanging="144"/>
              <w:rPr>
                <w:rFonts w:cs="Times New Roman"/>
              </w:rPr>
            </w:pPr>
            <w:r w:rsidRPr="005840CB">
              <w:rPr>
                <w:rFonts w:cs="Times New Roman"/>
              </w:rPr>
              <w:t xml:space="preserve">Marketing and education targeted to building owners </w:t>
            </w:r>
          </w:p>
        </w:tc>
        <w:tc>
          <w:tcPr>
            <w:tcW w:w="2312" w:type="dxa"/>
          </w:tcPr>
          <w:p w14:paraId="416D836F" w14:textId="6DC9A5F9" w:rsidR="005840CB" w:rsidRPr="00E276BE" w:rsidRDefault="005840CB" w:rsidP="00B31CA3">
            <w:pPr>
              <w:numPr>
                <w:ilvl w:val="0"/>
                <w:numId w:val="20"/>
              </w:numPr>
              <w:ind w:left="144" w:hanging="144"/>
              <w:rPr>
                <w:rFonts w:cs="Times New Roman"/>
              </w:rPr>
            </w:pPr>
            <w:r w:rsidRPr="00E276BE">
              <w:rPr>
                <w:rFonts w:cs="Times New Roman"/>
              </w:rPr>
              <w:t xml:space="preserve">Integrate direct installation and </w:t>
            </w:r>
            <w:r w:rsidR="00AD36E6">
              <w:rPr>
                <w:rFonts w:cs="Times New Roman"/>
              </w:rPr>
              <w:t>incentive</w:t>
            </w:r>
            <w:r w:rsidR="00AD36E6" w:rsidRPr="00E276BE">
              <w:rPr>
                <w:rFonts w:cs="Times New Roman"/>
              </w:rPr>
              <w:t xml:space="preserve"> </w:t>
            </w:r>
            <w:r w:rsidRPr="00E276BE">
              <w:rPr>
                <w:rFonts w:cs="Times New Roman"/>
              </w:rPr>
              <w:t>programs</w:t>
            </w:r>
          </w:p>
        </w:tc>
      </w:tr>
      <w:tr w:rsidR="005840CB" w:rsidRPr="005840CB" w14:paraId="60E6CF9E" w14:textId="77777777" w:rsidTr="005840CB">
        <w:tc>
          <w:tcPr>
            <w:tcW w:w="2319" w:type="dxa"/>
          </w:tcPr>
          <w:p w14:paraId="486300C5" w14:textId="77777777" w:rsidR="005840CB" w:rsidRPr="005840CB" w:rsidRDefault="005840CB" w:rsidP="00B31CA3">
            <w:pPr>
              <w:numPr>
                <w:ilvl w:val="0"/>
                <w:numId w:val="20"/>
              </w:numPr>
              <w:ind w:left="144" w:hanging="144"/>
              <w:rPr>
                <w:rFonts w:cs="Times New Roman"/>
              </w:rPr>
            </w:pPr>
            <w:r w:rsidRPr="005840CB">
              <w:rPr>
                <w:rFonts w:cs="Times New Roman"/>
              </w:rPr>
              <w:t>Split incentives</w:t>
            </w:r>
          </w:p>
          <w:p w14:paraId="19215D3C" w14:textId="77777777" w:rsidR="005840CB" w:rsidRPr="005840CB" w:rsidRDefault="005840CB" w:rsidP="00B31CA3">
            <w:pPr>
              <w:numPr>
                <w:ilvl w:val="0"/>
                <w:numId w:val="20"/>
              </w:numPr>
              <w:ind w:left="144" w:hanging="144"/>
              <w:rPr>
                <w:rFonts w:cs="Times New Roman"/>
              </w:rPr>
            </w:pPr>
            <w:r w:rsidRPr="005840CB">
              <w:rPr>
                <w:rFonts w:cs="Times New Roman"/>
              </w:rPr>
              <w:t>Lack of capital</w:t>
            </w:r>
          </w:p>
          <w:p w14:paraId="30028E34" w14:textId="77777777" w:rsidR="005840CB" w:rsidRPr="005840CB" w:rsidRDefault="005840CB" w:rsidP="00B31CA3">
            <w:pPr>
              <w:numPr>
                <w:ilvl w:val="0"/>
                <w:numId w:val="20"/>
              </w:numPr>
              <w:ind w:left="144" w:hanging="144"/>
              <w:rPr>
                <w:rFonts w:cs="Times New Roman"/>
              </w:rPr>
            </w:pPr>
            <w:r w:rsidRPr="005840CB">
              <w:rPr>
                <w:rFonts w:cs="Times New Roman"/>
              </w:rPr>
              <w:t>Lack of capacity</w:t>
            </w:r>
          </w:p>
          <w:p w14:paraId="6D163EB3" w14:textId="77777777" w:rsidR="005840CB" w:rsidRPr="005840CB" w:rsidRDefault="005840CB" w:rsidP="00B31CA3">
            <w:pPr>
              <w:numPr>
                <w:ilvl w:val="0"/>
                <w:numId w:val="20"/>
              </w:numPr>
              <w:ind w:left="144" w:hanging="144"/>
              <w:rPr>
                <w:rFonts w:cs="Times New Roman"/>
              </w:rPr>
            </w:pPr>
            <w:r w:rsidRPr="005840CB">
              <w:rPr>
                <w:rFonts w:cs="Times New Roman"/>
              </w:rPr>
              <w:t>Market confusion and high transaction costs</w:t>
            </w:r>
          </w:p>
          <w:p w14:paraId="097042C1" w14:textId="09A1D24F" w:rsidR="005840CB" w:rsidRPr="005840CB" w:rsidRDefault="005840CB" w:rsidP="00B31CA3">
            <w:pPr>
              <w:numPr>
                <w:ilvl w:val="0"/>
                <w:numId w:val="20"/>
              </w:numPr>
              <w:ind w:left="144" w:hanging="144"/>
              <w:rPr>
                <w:rFonts w:cs="Times New Roman"/>
              </w:rPr>
            </w:pPr>
            <w:r w:rsidRPr="005840CB">
              <w:rPr>
                <w:rFonts w:cs="Times New Roman"/>
              </w:rPr>
              <w:t xml:space="preserve">Uncertainty about energy savings and other </w:t>
            </w:r>
            <w:r w:rsidR="00D577A4">
              <w:rPr>
                <w:rFonts w:cs="Times New Roman"/>
              </w:rPr>
              <w:t>NEBs</w:t>
            </w:r>
          </w:p>
        </w:tc>
        <w:tc>
          <w:tcPr>
            <w:tcW w:w="2321" w:type="dxa"/>
          </w:tcPr>
          <w:p w14:paraId="32BDA4FB" w14:textId="77777777" w:rsidR="005840CB" w:rsidRPr="00E276BE" w:rsidRDefault="005840CB" w:rsidP="00B31CA3">
            <w:pPr>
              <w:numPr>
                <w:ilvl w:val="0"/>
                <w:numId w:val="20"/>
              </w:numPr>
              <w:ind w:left="144" w:hanging="144"/>
              <w:rPr>
                <w:rFonts w:cs="Times New Roman"/>
              </w:rPr>
            </w:pPr>
            <w:r w:rsidRPr="00E276BE">
              <w:rPr>
                <w:rFonts w:cs="Times New Roman"/>
              </w:rPr>
              <w:t>Direct installation of both common area and in-unit measures</w:t>
            </w:r>
          </w:p>
        </w:tc>
        <w:tc>
          <w:tcPr>
            <w:tcW w:w="2398" w:type="dxa"/>
          </w:tcPr>
          <w:p w14:paraId="306EF3DF" w14:textId="793813AE" w:rsidR="005840CB" w:rsidRPr="005840CB" w:rsidRDefault="00D577A4" w:rsidP="00B31CA3">
            <w:pPr>
              <w:numPr>
                <w:ilvl w:val="0"/>
                <w:numId w:val="20"/>
              </w:numPr>
              <w:ind w:left="144" w:hanging="144"/>
              <w:rPr>
                <w:rFonts w:cs="Times New Roman"/>
              </w:rPr>
            </w:pPr>
            <w:r>
              <w:rPr>
                <w:rFonts w:cs="Times New Roman"/>
              </w:rPr>
              <w:t>Case Studies featuring</w:t>
            </w:r>
            <w:r w:rsidR="005840CB" w:rsidRPr="005840CB">
              <w:rPr>
                <w:rFonts w:cs="Times New Roman"/>
              </w:rPr>
              <w:t xml:space="preserve"> example</w:t>
            </w:r>
            <w:r w:rsidR="00A07790">
              <w:rPr>
                <w:rFonts w:cs="Times New Roman"/>
              </w:rPr>
              <w:t xml:space="preserve"> projects</w:t>
            </w:r>
            <w:r>
              <w:rPr>
                <w:rFonts w:cs="Times New Roman"/>
              </w:rPr>
              <w:t xml:space="preserve"> and opportunities</w:t>
            </w:r>
          </w:p>
          <w:p w14:paraId="14A3D25F" w14:textId="25B9D521" w:rsidR="005840CB" w:rsidRPr="005840CB" w:rsidRDefault="00A07790" w:rsidP="00B31CA3">
            <w:pPr>
              <w:numPr>
                <w:ilvl w:val="0"/>
                <w:numId w:val="20"/>
              </w:numPr>
              <w:ind w:left="144" w:hanging="144"/>
              <w:rPr>
                <w:rFonts w:cs="Times New Roman"/>
              </w:rPr>
            </w:pPr>
            <w:r>
              <w:rPr>
                <w:rFonts w:cs="Times New Roman"/>
              </w:rPr>
              <w:t xml:space="preserve">EE </w:t>
            </w:r>
            <w:r w:rsidR="005840CB" w:rsidRPr="005840CB">
              <w:rPr>
                <w:rFonts w:cs="Times New Roman"/>
              </w:rPr>
              <w:t>solutions based on property needs</w:t>
            </w:r>
          </w:p>
          <w:p w14:paraId="6BCA540F" w14:textId="4881340F" w:rsidR="005840CB" w:rsidRPr="005840CB" w:rsidRDefault="005840CB" w:rsidP="00B31CA3">
            <w:pPr>
              <w:numPr>
                <w:ilvl w:val="0"/>
                <w:numId w:val="20"/>
              </w:numPr>
              <w:ind w:left="144" w:hanging="144"/>
              <w:rPr>
                <w:rFonts w:cs="Times New Roman"/>
              </w:rPr>
            </w:pPr>
            <w:r w:rsidRPr="005840CB">
              <w:rPr>
                <w:rFonts w:cs="Times New Roman"/>
              </w:rPr>
              <w:t xml:space="preserve">Installation of </w:t>
            </w:r>
            <w:r w:rsidR="00AE085F">
              <w:rPr>
                <w:rFonts w:cs="Times New Roman"/>
              </w:rPr>
              <w:t>DI</w:t>
            </w:r>
            <w:r w:rsidRPr="005840CB">
              <w:rPr>
                <w:rFonts w:cs="Times New Roman"/>
              </w:rPr>
              <w:t xml:space="preserve"> measures managed through subcontractors</w:t>
            </w:r>
          </w:p>
        </w:tc>
        <w:tc>
          <w:tcPr>
            <w:tcW w:w="2312" w:type="dxa"/>
          </w:tcPr>
          <w:p w14:paraId="4C07C394" w14:textId="6BF131FF" w:rsidR="005840CB" w:rsidRPr="00E276BE" w:rsidRDefault="005840CB" w:rsidP="00B31CA3">
            <w:pPr>
              <w:numPr>
                <w:ilvl w:val="0"/>
                <w:numId w:val="20"/>
              </w:numPr>
              <w:ind w:left="144" w:hanging="144"/>
              <w:rPr>
                <w:rFonts w:cs="Times New Roman"/>
              </w:rPr>
            </w:pPr>
            <w:r w:rsidRPr="00E276BE">
              <w:rPr>
                <w:rFonts w:cs="Times New Roman"/>
              </w:rPr>
              <w:t xml:space="preserve">Streamline </w:t>
            </w:r>
            <w:r w:rsidR="00AD36E6">
              <w:rPr>
                <w:rFonts w:cs="Times New Roman"/>
              </w:rPr>
              <w:t>incentives</w:t>
            </w:r>
            <w:r w:rsidR="00AD36E6" w:rsidRPr="00E276BE">
              <w:rPr>
                <w:rFonts w:cs="Times New Roman"/>
              </w:rPr>
              <w:t xml:space="preserve"> </w:t>
            </w:r>
            <w:r w:rsidRPr="00E276BE">
              <w:rPr>
                <w:rFonts w:cs="Times New Roman"/>
              </w:rPr>
              <w:t>and incentivize in-unit measures</w:t>
            </w:r>
          </w:p>
        </w:tc>
      </w:tr>
      <w:tr w:rsidR="005840CB" w:rsidRPr="005840CB" w14:paraId="3221494D" w14:textId="77777777" w:rsidTr="005840CB">
        <w:tc>
          <w:tcPr>
            <w:tcW w:w="2319" w:type="dxa"/>
          </w:tcPr>
          <w:p w14:paraId="11B7CBD9" w14:textId="77777777" w:rsidR="005840CB" w:rsidRPr="005840CB" w:rsidRDefault="005840CB" w:rsidP="00B31CA3">
            <w:pPr>
              <w:numPr>
                <w:ilvl w:val="0"/>
                <w:numId w:val="20"/>
              </w:numPr>
              <w:ind w:left="144" w:hanging="144"/>
              <w:rPr>
                <w:rFonts w:cs="Times New Roman"/>
              </w:rPr>
            </w:pPr>
            <w:r w:rsidRPr="005840CB">
              <w:rPr>
                <w:rFonts w:cs="Times New Roman"/>
              </w:rPr>
              <w:t>Split Incentives</w:t>
            </w:r>
          </w:p>
          <w:p w14:paraId="53140971" w14:textId="77777777" w:rsidR="005840CB" w:rsidRPr="005840CB" w:rsidRDefault="005840CB" w:rsidP="00B31CA3">
            <w:pPr>
              <w:numPr>
                <w:ilvl w:val="0"/>
                <w:numId w:val="20"/>
              </w:numPr>
              <w:ind w:left="144" w:hanging="144"/>
              <w:rPr>
                <w:rFonts w:cs="Times New Roman"/>
              </w:rPr>
            </w:pPr>
            <w:r w:rsidRPr="005840CB">
              <w:rPr>
                <w:rFonts w:cs="Times New Roman"/>
              </w:rPr>
              <w:t>Lack of capital</w:t>
            </w:r>
          </w:p>
          <w:p w14:paraId="42BB0413" w14:textId="77777777" w:rsidR="005840CB" w:rsidRPr="005840CB" w:rsidRDefault="005840CB" w:rsidP="00B31CA3">
            <w:pPr>
              <w:numPr>
                <w:ilvl w:val="0"/>
                <w:numId w:val="20"/>
              </w:numPr>
              <w:ind w:left="144" w:hanging="144"/>
              <w:rPr>
                <w:rFonts w:cs="Times New Roman"/>
              </w:rPr>
            </w:pPr>
            <w:r w:rsidRPr="005840CB">
              <w:rPr>
                <w:rFonts w:cs="Times New Roman"/>
              </w:rPr>
              <w:lastRenderedPageBreak/>
              <w:t>Timing and disruption of tenants</w:t>
            </w:r>
          </w:p>
          <w:p w14:paraId="1B982672" w14:textId="77777777" w:rsidR="005840CB" w:rsidRPr="005840CB" w:rsidRDefault="005840CB" w:rsidP="00B31CA3">
            <w:pPr>
              <w:numPr>
                <w:ilvl w:val="0"/>
                <w:numId w:val="20"/>
              </w:numPr>
              <w:ind w:left="144" w:hanging="144"/>
              <w:rPr>
                <w:rFonts w:cs="Times New Roman"/>
              </w:rPr>
            </w:pPr>
            <w:r w:rsidRPr="005840CB">
              <w:rPr>
                <w:rFonts w:cs="Times New Roman"/>
              </w:rPr>
              <w:t>Multiple decision makers</w:t>
            </w:r>
          </w:p>
        </w:tc>
        <w:tc>
          <w:tcPr>
            <w:tcW w:w="2321" w:type="dxa"/>
          </w:tcPr>
          <w:p w14:paraId="37079937" w14:textId="77777777" w:rsidR="005840CB" w:rsidRPr="00E276BE" w:rsidRDefault="005840CB" w:rsidP="00B31CA3">
            <w:pPr>
              <w:numPr>
                <w:ilvl w:val="0"/>
                <w:numId w:val="20"/>
              </w:numPr>
              <w:ind w:left="144" w:hanging="144"/>
              <w:rPr>
                <w:rFonts w:cs="Times New Roman"/>
              </w:rPr>
            </w:pPr>
            <w:r w:rsidRPr="00E276BE">
              <w:rPr>
                <w:rFonts w:cs="Times New Roman"/>
              </w:rPr>
              <w:lastRenderedPageBreak/>
              <w:t>Target properties less than 50 units in HTR areas</w:t>
            </w:r>
          </w:p>
        </w:tc>
        <w:tc>
          <w:tcPr>
            <w:tcW w:w="2398" w:type="dxa"/>
          </w:tcPr>
          <w:p w14:paraId="398D967E" w14:textId="77777777" w:rsidR="005840CB" w:rsidRPr="005840CB" w:rsidRDefault="005840CB" w:rsidP="00B31CA3">
            <w:pPr>
              <w:numPr>
                <w:ilvl w:val="0"/>
                <w:numId w:val="20"/>
              </w:numPr>
              <w:ind w:left="144" w:hanging="144"/>
              <w:rPr>
                <w:rFonts w:cs="Times New Roman"/>
              </w:rPr>
            </w:pPr>
            <w:r w:rsidRPr="005840CB">
              <w:rPr>
                <w:rFonts w:cs="Times New Roman"/>
              </w:rPr>
              <w:t>Targeted marketing leveraging various data sources</w:t>
            </w:r>
          </w:p>
          <w:p w14:paraId="07D32C81" w14:textId="77777777" w:rsidR="005840CB" w:rsidRPr="005840CB" w:rsidRDefault="005840CB" w:rsidP="00B31CA3">
            <w:pPr>
              <w:numPr>
                <w:ilvl w:val="0"/>
                <w:numId w:val="20"/>
              </w:numPr>
              <w:ind w:left="144" w:hanging="144"/>
              <w:rPr>
                <w:rFonts w:cs="Times New Roman"/>
              </w:rPr>
            </w:pPr>
            <w:r w:rsidRPr="005840CB">
              <w:rPr>
                <w:rFonts w:cs="Times New Roman"/>
              </w:rPr>
              <w:lastRenderedPageBreak/>
              <w:t>In-language support to address language barriers</w:t>
            </w:r>
          </w:p>
          <w:p w14:paraId="4B5F0457" w14:textId="3D95CF48" w:rsidR="005840CB" w:rsidRPr="005840CB" w:rsidRDefault="005840CB" w:rsidP="00B31CA3">
            <w:pPr>
              <w:numPr>
                <w:ilvl w:val="0"/>
                <w:numId w:val="20"/>
              </w:numPr>
              <w:ind w:left="144" w:hanging="144"/>
              <w:rPr>
                <w:rFonts w:cs="Times New Roman"/>
              </w:rPr>
            </w:pPr>
            <w:r w:rsidRPr="005840CB">
              <w:rPr>
                <w:rFonts w:cs="Times New Roman"/>
              </w:rPr>
              <w:t xml:space="preserve">No cost </w:t>
            </w:r>
            <w:r w:rsidR="00A90835">
              <w:rPr>
                <w:rFonts w:cs="Times New Roman"/>
              </w:rPr>
              <w:t>DI</w:t>
            </w:r>
            <w:r w:rsidRPr="005840CB">
              <w:rPr>
                <w:rFonts w:cs="Times New Roman"/>
              </w:rPr>
              <w:t xml:space="preserve"> of common area and tenant measures to address income barriers</w:t>
            </w:r>
          </w:p>
          <w:p w14:paraId="17364F48" w14:textId="77777777" w:rsidR="005840CB" w:rsidRPr="005840CB" w:rsidRDefault="005840CB" w:rsidP="00B31CA3">
            <w:pPr>
              <w:numPr>
                <w:ilvl w:val="0"/>
                <w:numId w:val="20"/>
              </w:numPr>
              <w:ind w:left="144" w:hanging="144"/>
              <w:rPr>
                <w:rFonts w:cs="Times New Roman"/>
              </w:rPr>
            </w:pPr>
            <w:r w:rsidRPr="005840CB">
              <w:rPr>
                <w:rFonts w:cs="Times New Roman"/>
              </w:rPr>
              <w:t xml:space="preserve">Referral of income-qualified customers to ESA programs </w:t>
            </w:r>
          </w:p>
        </w:tc>
        <w:tc>
          <w:tcPr>
            <w:tcW w:w="2312" w:type="dxa"/>
          </w:tcPr>
          <w:p w14:paraId="198C302F" w14:textId="77777777" w:rsidR="005840CB" w:rsidRPr="00E276BE" w:rsidRDefault="005840CB" w:rsidP="00B31CA3">
            <w:pPr>
              <w:numPr>
                <w:ilvl w:val="0"/>
                <w:numId w:val="20"/>
              </w:numPr>
              <w:ind w:left="144" w:hanging="144"/>
              <w:rPr>
                <w:rFonts w:cs="Times New Roman"/>
              </w:rPr>
            </w:pPr>
            <w:r w:rsidRPr="00E276BE">
              <w:rPr>
                <w:rFonts w:cs="Times New Roman"/>
              </w:rPr>
              <w:lastRenderedPageBreak/>
              <w:t>Serve both low-income and market-</w:t>
            </w:r>
            <w:r w:rsidRPr="00E276BE">
              <w:rPr>
                <w:rFonts w:cs="Times New Roman"/>
              </w:rPr>
              <w:lastRenderedPageBreak/>
              <w:t>rate multifamily households</w:t>
            </w:r>
          </w:p>
        </w:tc>
      </w:tr>
      <w:tr w:rsidR="005840CB" w:rsidRPr="005840CB" w14:paraId="3FAEF7B9" w14:textId="77777777" w:rsidTr="005840CB">
        <w:tc>
          <w:tcPr>
            <w:tcW w:w="2319" w:type="dxa"/>
          </w:tcPr>
          <w:p w14:paraId="4205DABA" w14:textId="77777777" w:rsidR="005840CB" w:rsidRPr="005840CB" w:rsidRDefault="005840CB" w:rsidP="00B31CA3">
            <w:pPr>
              <w:numPr>
                <w:ilvl w:val="0"/>
                <w:numId w:val="20"/>
              </w:numPr>
              <w:ind w:left="144" w:hanging="144"/>
              <w:rPr>
                <w:rFonts w:cs="Times New Roman"/>
              </w:rPr>
            </w:pPr>
            <w:r w:rsidRPr="005840CB">
              <w:rPr>
                <w:rFonts w:cs="Times New Roman"/>
              </w:rPr>
              <w:lastRenderedPageBreak/>
              <w:t>Market confusion and high transaction costs</w:t>
            </w:r>
          </w:p>
          <w:p w14:paraId="75A4DD8B" w14:textId="77777777" w:rsidR="005840CB" w:rsidRPr="005840CB" w:rsidRDefault="005840CB" w:rsidP="00B31CA3">
            <w:pPr>
              <w:numPr>
                <w:ilvl w:val="0"/>
                <w:numId w:val="20"/>
              </w:numPr>
              <w:ind w:left="144" w:hanging="144"/>
              <w:rPr>
                <w:rFonts w:cs="Times New Roman"/>
              </w:rPr>
            </w:pPr>
            <w:r w:rsidRPr="005840CB">
              <w:rPr>
                <w:rFonts w:cs="Times New Roman"/>
              </w:rPr>
              <w:t>Timing and disruption of tenants</w:t>
            </w:r>
          </w:p>
          <w:p w14:paraId="50D424BE" w14:textId="77777777" w:rsidR="005840CB" w:rsidRPr="005840CB" w:rsidRDefault="005840CB" w:rsidP="00B31CA3">
            <w:pPr>
              <w:numPr>
                <w:ilvl w:val="0"/>
                <w:numId w:val="20"/>
              </w:numPr>
              <w:ind w:left="144" w:hanging="144"/>
              <w:rPr>
                <w:rFonts w:cs="Times New Roman"/>
              </w:rPr>
            </w:pPr>
            <w:r w:rsidRPr="005840CB">
              <w:rPr>
                <w:rFonts w:cs="Times New Roman"/>
              </w:rPr>
              <w:t>Multiple decision makers</w:t>
            </w:r>
          </w:p>
        </w:tc>
        <w:tc>
          <w:tcPr>
            <w:tcW w:w="2321" w:type="dxa"/>
          </w:tcPr>
          <w:p w14:paraId="7592619D" w14:textId="1F17FD3F" w:rsidR="005840CB" w:rsidRPr="00E276BE" w:rsidRDefault="005840CB" w:rsidP="00B31CA3">
            <w:pPr>
              <w:numPr>
                <w:ilvl w:val="0"/>
                <w:numId w:val="20"/>
              </w:numPr>
              <w:ind w:left="144" w:hanging="144"/>
              <w:rPr>
                <w:rFonts w:cs="Times New Roman"/>
              </w:rPr>
            </w:pPr>
            <w:r w:rsidRPr="00E276BE">
              <w:rPr>
                <w:rFonts w:cs="Times New Roman"/>
              </w:rPr>
              <w:t xml:space="preserve">Electric, gas and water efficiency measures with savings support by CPUC approved </w:t>
            </w:r>
            <w:r w:rsidR="000207A2">
              <w:rPr>
                <w:rFonts w:cs="Times New Roman"/>
              </w:rPr>
              <w:t>measure packages</w:t>
            </w:r>
          </w:p>
        </w:tc>
        <w:tc>
          <w:tcPr>
            <w:tcW w:w="2398" w:type="dxa"/>
          </w:tcPr>
          <w:p w14:paraId="0BB7C703" w14:textId="304CB1D5" w:rsidR="005840CB" w:rsidRPr="005840CB" w:rsidRDefault="005840CB" w:rsidP="00B31CA3">
            <w:pPr>
              <w:numPr>
                <w:ilvl w:val="0"/>
                <w:numId w:val="20"/>
              </w:numPr>
              <w:ind w:left="144" w:hanging="144"/>
              <w:rPr>
                <w:rFonts w:cs="Times New Roman"/>
              </w:rPr>
            </w:pPr>
            <w:r w:rsidRPr="005840CB">
              <w:rPr>
                <w:rFonts w:cs="Times New Roman"/>
              </w:rPr>
              <w:t xml:space="preserve">No cost </w:t>
            </w:r>
            <w:r w:rsidR="00A90835">
              <w:rPr>
                <w:rFonts w:cs="Times New Roman"/>
              </w:rPr>
              <w:t>DI</w:t>
            </w:r>
            <w:r w:rsidRPr="005840CB">
              <w:rPr>
                <w:rFonts w:cs="Times New Roman"/>
              </w:rPr>
              <w:t xml:space="preserve"> of common area and tenant measures to address income barriers</w:t>
            </w:r>
          </w:p>
        </w:tc>
        <w:tc>
          <w:tcPr>
            <w:tcW w:w="2312" w:type="dxa"/>
          </w:tcPr>
          <w:p w14:paraId="245A850D" w14:textId="77777777" w:rsidR="005840CB" w:rsidRPr="00E276BE" w:rsidRDefault="005840CB" w:rsidP="00B31CA3">
            <w:pPr>
              <w:numPr>
                <w:ilvl w:val="0"/>
                <w:numId w:val="20"/>
              </w:numPr>
              <w:ind w:left="144" w:hanging="144"/>
              <w:rPr>
                <w:rFonts w:cs="Times New Roman"/>
              </w:rPr>
            </w:pPr>
            <w:r w:rsidRPr="00E276BE">
              <w:rPr>
                <w:rFonts w:cs="Times New Roman"/>
              </w:rPr>
              <w:t>Coordinate programs across electric, gas and water utilities</w:t>
            </w:r>
          </w:p>
        </w:tc>
      </w:tr>
    </w:tbl>
    <w:p w14:paraId="08ADD517" w14:textId="77777777" w:rsidR="00B27991" w:rsidRDefault="00B27991" w:rsidP="00E6011E">
      <w:pPr>
        <w:pStyle w:val="Heading2"/>
        <w:spacing w:before="240"/>
      </w:pPr>
      <w:bookmarkStart w:id="49" w:name="_Toc173407339"/>
      <w:r>
        <w:t>Evaluation, Measurement, and Verification (EM&amp;V):</w:t>
      </w:r>
      <w:bookmarkEnd w:id="49"/>
    </w:p>
    <w:p w14:paraId="23429C45" w14:textId="765B2C3B" w:rsidR="00B27991" w:rsidRDefault="006E57B9" w:rsidP="00AE4ADC">
      <w:pPr>
        <w:pStyle w:val="BodyText"/>
        <w:ind w:left="0"/>
      </w:pPr>
      <w:r w:rsidRPr="006E57B9">
        <w:t xml:space="preserve">The M&amp;V process for the Program has been established to validate that measure installation complies with </w:t>
      </w:r>
      <w:r w:rsidR="005435DB">
        <w:t>measure package</w:t>
      </w:r>
      <w:r w:rsidR="005435DB" w:rsidRPr="006E57B9">
        <w:t xml:space="preserve"> </w:t>
      </w:r>
      <w:r w:rsidRPr="006E57B9">
        <w:t xml:space="preserve">guidelines and that savings can be claimed accordingly. This validation process involves the following levels of review: </w:t>
      </w:r>
    </w:p>
    <w:p w14:paraId="43A1C7BA" w14:textId="45D14AE7" w:rsidR="00040191" w:rsidRPr="00040191" w:rsidRDefault="00040191" w:rsidP="003B4DE5">
      <w:pPr>
        <w:pStyle w:val="BodyText"/>
        <w:numPr>
          <w:ilvl w:val="0"/>
          <w:numId w:val="21"/>
        </w:numPr>
        <w:spacing w:after="60"/>
        <w:ind w:left="504"/>
      </w:pPr>
      <w:r w:rsidRPr="00040191">
        <w:rPr>
          <w:b/>
          <w:bCs/>
        </w:rPr>
        <w:t>Desk Review:</w:t>
      </w:r>
      <w:r w:rsidRPr="00040191">
        <w:t xml:space="preserve"> All projects will be verified through a thorough Desk Review. All program documents are reviewed to ensure that all program requirements and </w:t>
      </w:r>
      <w:proofErr w:type="gramStart"/>
      <w:r w:rsidRPr="00040191">
        <w:t>measure</w:t>
      </w:r>
      <w:proofErr w:type="gramEnd"/>
      <w:r w:rsidRPr="00040191">
        <w:t xml:space="preserve"> requirements specified in the </w:t>
      </w:r>
      <w:r w:rsidR="00967114">
        <w:t xml:space="preserve">measure package </w:t>
      </w:r>
      <w:r w:rsidRPr="00040191">
        <w:t xml:space="preserve">are confirmed. These documents include customer application/account information, itemized inventory of equipment installed, photos of baseline and new equipment for all measures, specification sheets, and any supplemental measure-specific information as needed. Savings for each measure will be sourced from the </w:t>
      </w:r>
      <w:r w:rsidR="00967114">
        <w:t>measure packages</w:t>
      </w:r>
      <w:r w:rsidR="00967114" w:rsidRPr="00040191">
        <w:t xml:space="preserve"> </w:t>
      </w:r>
      <w:r w:rsidRPr="00040191">
        <w:t>previously listed. If the project is greater than $5,000, it will go through an additional quality control step where the program manager will provide a secondary level of review and approval.</w:t>
      </w:r>
    </w:p>
    <w:p w14:paraId="3077FD5E" w14:textId="77777777" w:rsidR="00040191" w:rsidRDefault="00040191" w:rsidP="003B4DE5">
      <w:pPr>
        <w:pStyle w:val="BodyText"/>
        <w:numPr>
          <w:ilvl w:val="0"/>
          <w:numId w:val="21"/>
        </w:numPr>
        <w:spacing w:after="60"/>
        <w:ind w:left="504"/>
      </w:pPr>
      <w:r w:rsidRPr="00040191">
        <w:rPr>
          <w:b/>
          <w:bCs/>
        </w:rPr>
        <w:t>Site Inspection:</w:t>
      </w:r>
      <w:r w:rsidRPr="00040191">
        <w:t xml:space="preserve"> On-site inspections will be conducted for a randomized 10 percent of projects. The selection for on-site inspection is a system generated parameter that is completed after the project has moved through the Desk Review process. Site inspections include verification of equipment installation, operation, and eligibility. If no discrepancies are found during the inspection, the project is approved for payment and moves into the incentive disbursement process. If discrepancies were found during the inspection, a punch list is provided to the DI contractor listing the issues to be resolved prior to payment. Once the contractor addresses the punch list items, the project is reinspected to verify that all outstanding items have been resolved.</w:t>
      </w:r>
    </w:p>
    <w:p w14:paraId="0EEBCE58" w14:textId="588C8BA8" w:rsidR="00434F4D" w:rsidRPr="00040191" w:rsidRDefault="00E30E95" w:rsidP="003B4DE5">
      <w:pPr>
        <w:pStyle w:val="BodyText"/>
        <w:numPr>
          <w:ilvl w:val="0"/>
          <w:numId w:val="21"/>
        </w:numPr>
        <w:ind w:left="504"/>
      </w:pPr>
      <w:r>
        <w:rPr>
          <w:b/>
          <w:bCs/>
        </w:rPr>
        <w:t>Additional Consumer Protection Mechanisms:</w:t>
      </w:r>
      <w:r w:rsidRPr="00E30E95">
        <w:t xml:space="preserve"> </w:t>
      </w:r>
      <w:r w:rsidR="00236097">
        <w:t>To ensure consumer protection, a</w:t>
      </w:r>
      <w:r w:rsidR="00236097" w:rsidRPr="00C21034">
        <w:t xml:space="preserve">ll contractors participating in the Program must </w:t>
      </w:r>
      <w:r w:rsidR="00236097">
        <w:t>hold a</w:t>
      </w:r>
      <w:r w:rsidR="00236097" w:rsidRPr="00C21034">
        <w:t xml:space="preserve"> Contractors State License Board (CSLB)</w:t>
      </w:r>
      <w:r w:rsidR="00236097">
        <w:t xml:space="preserve"> license</w:t>
      </w:r>
      <w:r w:rsidR="00236097" w:rsidRPr="00C21034">
        <w:t xml:space="preserve"> and comply with all state and local codes.</w:t>
      </w:r>
      <w:r w:rsidR="00236097">
        <w:t xml:space="preserve"> </w:t>
      </w:r>
      <w:r w:rsidR="000705DE">
        <w:t xml:space="preserve">The program will also track Properties’ commitment to adhering to any program policies regarding </w:t>
      </w:r>
      <w:r w:rsidR="00B013DC">
        <w:t xml:space="preserve">tenant protection and housing security. </w:t>
      </w:r>
      <w:r w:rsidRPr="00E30E95">
        <w:t xml:space="preserve">Residents of properties that participate in the program </w:t>
      </w:r>
      <w:r w:rsidR="00BB06E1" w:rsidRPr="00E30E95">
        <w:t>will also be</w:t>
      </w:r>
      <w:r w:rsidR="004C2995">
        <w:t xml:space="preserve"> </w:t>
      </w:r>
      <w:r w:rsidRPr="00E30E95">
        <w:t xml:space="preserve">provided with access to resources regarding their housing security rights. </w:t>
      </w:r>
    </w:p>
    <w:p w14:paraId="75BC75E1" w14:textId="0A4972D4" w:rsidR="00394ECC" w:rsidRPr="00394ECC" w:rsidRDefault="00394ECC" w:rsidP="00394ECC">
      <w:pPr>
        <w:pStyle w:val="BodyText"/>
        <w:ind w:left="0"/>
      </w:pPr>
      <w:r w:rsidRPr="00394ECC">
        <w:lastRenderedPageBreak/>
        <w:t xml:space="preserve">Data gathered through site inspections and M&amp;V activities is documented in the Program database for future use by </w:t>
      </w:r>
      <w:r w:rsidR="00AD1BF2">
        <w:t>E</w:t>
      </w:r>
      <w:r w:rsidRPr="00394ECC">
        <w:t>valuation teams. This data will also prove useful in helping inform future program design to improve overall cost-effectiveness. Data stored includes the following items as a minimum:</w:t>
      </w:r>
    </w:p>
    <w:p w14:paraId="5A03339F" w14:textId="77777777" w:rsidR="00394ECC" w:rsidRPr="00394ECC" w:rsidRDefault="00394ECC" w:rsidP="00F62010">
      <w:pPr>
        <w:pStyle w:val="BodyText"/>
        <w:numPr>
          <w:ilvl w:val="0"/>
          <w:numId w:val="22"/>
        </w:numPr>
        <w:spacing w:after="0"/>
      </w:pPr>
      <w:r w:rsidRPr="00394ECC">
        <w:t xml:space="preserve">Contact information for the applicant, site, and contractor for measure installations </w:t>
      </w:r>
    </w:p>
    <w:p w14:paraId="47E03068" w14:textId="77777777" w:rsidR="00394ECC" w:rsidRPr="00394ECC" w:rsidRDefault="00394ECC" w:rsidP="00F62010">
      <w:pPr>
        <w:pStyle w:val="BodyText"/>
        <w:numPr>
          <w:ilvl w:val="0"/>
          <w:numId w:val="22"/>
        </w:numPr>
        <w:spacing w:after="0"/>
      </w:pPr>
      <w:r w:rsidRPr="00394ECC">
        <w:t>Utility data from SCE and SoCalGas</w:t>
      </w:r>
    </w:p>
    <w:p w14:paraId="7EADD0DB" w14:textId="77777777" w:rsidR="00394ECC" w:rsidRPr="00394ECC" w:rsidRDefault="00394ECC" w:rsidP="00F62010">
      <w:pPr>
        <w:pStyle w:val="BodyText"/>
        <w:numPr>
          <w:ilvl w:val="0"/>
          <w:numId w:val="22"/>
        </w:numPr>
        <w:spacing w:after="0"/>
      </w:pPr>
      <w:r w:rsidRPr="00394ECC">
        <w:t>Project invoice for installation labor and materials</w:t>
      </w:r>
    </w:p>
    <w:p w14:paraId="6D3261E9" w14:textId="77777777" w:rsidR="00394ECC" w:rsidRPr="00394ECC" w:rsidRDefault="00394ECC" w:rsidP="00F62010">
      <w:pPr>
        <w:pStyle w:val="BodyText"/>
        <w:numPr>
          <w:ilvl w:val="0"/>
          <w:numId w:val="22"/>
        </w:numPr>
        <w:spacing w:after="0"/>
      </w:pPr>
      <w:r w:rsidRPr="00394ECC">
        <w:t>Equipment specification sheets</w:t>
      </w:r>
    </w:p>
    <w:p w14:paraId="40E30754" w14:textId="77777777" w:rsidR="00394ECC" w:rsidRPr="00394ECC" w:rsidRDefault="00394ECC" w:rsidP="00F62010">
      <w:pPr>
        <w:pStyle w:val="BodyText"/>
        <w:numPr>
          <w:ilvl w:val="0"/>
          <w:numId w:val="22"/>
        </w:numPr>
        <w:spacing w:after="0"/>
      </w:pPr>
      <w:r w:rsidRPr="00394ECC">
        <w:t>Project energy savings</w:t>
      </w:r>
    </w:p>
    <w:p w14:paraId="609CF9B4" w14:textId="77777777" w:rsidR="00394ECC" w:rsidRPr="00394ECC" w:rsidRDefault="00394ECC" w:rsidP="00F62010">
      <w:pPr>
        <w:pStyle w:val="BodyText"/>
        <w:numPr>
          <w:ilvl w:val="0"/>
          <w:numId w:val="22"/>
        </w:numPr>
        <w:spacing w:after="0"/>
      </w:pPr>
      <w:r w:rsidRPr="00394ECC">
        <w:t>Measure cost</w:t>
      </w:r>
    </w:p>
    <w:p w14:paraId="01246694" w14:textId="77777777" w:rsidR="00394ECC" w:rsidRPr="00394ECC" w:rsidRDefault="00394ECC" w:rsidP="00F62010">
      <w:pPr>
        <w:pStyle w:val="BodyText"/>
        <w:numPr>
          <w:ilvl w:val="0"/>
          <w:numId w:val="22"/>
        </w:numPr>
        <w:spacing w:after="0"/>
      </w:pPr>
      <w:r w:rsidRPr="00394ECC">
        <w:t>Project installation date</w:t>
      </w:r>
    </w:p>
    <w:p w14:paraId="6C7FFCBA" w14:textId="77777777" w:rsidR="00394ECC" w:rsidRPr="00394ECC" w:rsidRDefault="00394ECC" w:rsidP="00F62010">
      <w:pPr>
        <w:pStyle w:val="BodyText"/>
        <w:numPr>
          <w:ilvl w:val="0"/>
          <w:numId w:val="22"/>
        </w:numPr>
        <w:spacing w:after="0"/>
      </w:pPr>
      <w:r w:rsidRPr="00394ECC">
        <w:t>Equipment model number</w:t>
      </w:r>
    </w:p>
    <w:p w14:paraId="050F57EC" w14:textId="4A4CEDBE" w:rsidR="00394ECC" w:rsidRPr="00394ECC" w:rsidRDefault="00394ECC" w:rsidP="00F62010">
      <w:pPr>
        <w:pStyle w:val="BodyText"/>
        <w:numPr>
          <w:ilvl w:val="0"/>
          <w:numId w:val="22"/>
        </w:numPr>
      </w:pPr>
      <w:r>
        <w:t xml:space="preserve">Additional measure-specific data points specified in the </w:t>
      </w:r>
      <w:r w:rsidR="00967114">
        <w:t xml:space="preserve">measure packages </w:t>
      </w:r>
      <w:r>
        <w:t>to satisfy M&amp;V</w:t>
      </w:r>
    </w:p>
    <w:p w14:paraId="2430A035" w14:textId="76C0FCDC" w:rsidR="00DB0E07" w:rsidRDefault="00394ECC" w:rsidP="00CE6166">
      <w:pPr>
        <w:pStyle w:val="BodyText"/>
        <w:spacing w:after="240"/>
        <w:ind w:left="0"/>
      </w:pPr>
      <w:r w:rsidRPr="00394ECC">
        <w:t>The gross savings will be calculated after the measures are documented and reviewed and the project-specific M&amp;V requirements are satisfied. The per-unit savings will be sourced from approved</w:t>
      </w:r>
      <w:r w:rsidR="00AC0E2E">
        <w:t xml:space="preserve"> measure packages</w:t>
      </w:r>
      <w:r w:rsidRPr="00394ECC">
        <w:t xml:space="preserve"> available through the California Technical Forum dashboard</w:t>
      </w:r>
      <w:r w:rsidR="00F42375">
        <w:t xml:space="preserve"> located online at</w:t>
      </w:r>
      <w:r w:rsidRPr="00394ECC">
        <w:t xml:space="preserve"> </w:t>
      </w:r>
      <w:hyperlink r:id="rId17" w:history="1">
        <w:r w:rsidRPr="00394ECC">
          <w:rPr>
            <w:rStyle w:val="Hyperlink"/>
          </w:rPr>
          <w:t>https://www.caetrm.com/dashboard/</w:t>
        </w:r>
      </w:hyperlink>
      <w:r w:rsidRPr="00394ECC">
        <w:t>.</w:t>
      </w:r>
      <w:r w:rsidR="00236097">
        <w:t xml:space="preserve"> </w:t>
      </w:r>
    </w:p>
    <w:p w14:paraId="52AA9900" w14:textId="4F7DB25E" w:rsidR="00394ECC" w:rsidRDefault="00236097" w:rsidP="00CE6166">
      <w:pPr>
        <w:pStyle w:val="BodyText"/>
        <w:spacing w:after="240"/>
        <w:ind w:left="0"/>
      </w:pPr>
      <w:r>
        <w:t>S</w:t>
      </w:r>
      <w:r w:rsidR="00394ECC" w:rsidRPr="00394ECC">
        <w:t>avings are documented in the program database along with the expected useful life (EUL) and measure costs. The EUL will be used to calculate net lifecycle savings. Net savings will be reported for the program to represent the savings over the lifecycle of the measures with the estimated savings associated with free ridership excluded. The project lifecycle savings will be based on a weighted average EUL method.</w:t>
      </w:r>
    </w:p>
    <w:p w14:paraId="5916141B" w14:textId="3EE56B69" w:rsidR="00125B3F" w:rsidRPr="00E737EA" w:rsidRDefault="00F029A4" w:rsidP="00284CC0">
      <w:pPr>
        <w:pStyle w:val="Heading2"/>
      </w:pPr>
      <w:bookmarkStart w:id="50" w:name="_Toc173407340"/>
      <w:r w:rsidRPr="00E737EA">
        <w:t xml:space="preserve">Program </w:t>
      </w:r>
      <w:r w:rsidR="00DD2BA0" w:rsidRPr="00E737EA">
        <w:t xml:space="preserve">Performance </w:t>
      </w:r>
      <w:r w:rsidRPr="00E737EA">
        <w:t>Metrics</w:t>
      </w:r>
      <w:r w:rsidR="00125B3F" w:rsidRPr="00E737EA">
        <w:t xml:space="preserve"> </w:t>
      </w:r>
      <w:r w:rsidR="002E6FA0" w:rsidRPr="00E737EA">
        <w:rPr>
          <w:rStyle w:val="FootnoteReference"/>
        </w:rPr>
        <w:footnoteReference w:id="6"/>
      </w:r>
      <w:bookmarkEnd w:id="50"/>
    </w:p>
    <w:p w14:paraId="4D5C5956" w14:textId="24AC97E7" w:rsidR="001377FB" w:rsidRDefault="001377FB" w:rsidP="00125B3F">
      <w:r w:rsidRPr="001377FB">
        <w:t xml:space="preserve">A comprehensive set of </w:t>
      </w:r>
      <w:r w:rsidR="00671F2C">
        <w:t>metrics</w:t>
      </w:r>
      <w:r w:rsidRPr="001377FB">
        <w:t xml:space="preserve"> </w:t>
      </w:r>
      <w:r w:rsidR="00FC60BB">
        <w:t>will be</w:t>
      </w:r>
      <w:r w:rsidRPr="001377FB">
        <w:t xml:space="preserve"> used to measure success. </w:t>
      </w:r>
      <w:r w:rsidR="00BF4A07">
        <w:t xml:space="preserve">Metrics the program intends to track are summarized below. </w:t>
      </w:r>
    </w:p>
    <w:p w14:paraId="173EA143" w14:textId="7A586C5D" w:rsidR="00864353" w:rsidRDefault="00864353" w:rsidP="00864353">
      <w:pPr>
        <w:pStyle w:val="Caption"/>
        <w:jc w:val="left"/>
      </w:pPr>
      <w:r>
        <w:t xml:space="preserve">Exhibit </w:t>
      </w:r>
      <w:r>
        <w:fldChar w:fldCharType="begin"/>
      </w:r>
      <w:r>
        <w:instrText xml:space="preserve"> SEQ Exhibit \* ARABIC </w:instrText>
      </w:r>
      <w:r>
        <w:fldChar w:fldCharType="separate"/>
      </w:r>
      <w:r w:rsidR="00180F39">
        <w:rPr>
          <w:noProof/>
        </w:rPr>
        <w:t>4</w:t>
      </w:r>
      <w:r>
        <w:fldChar w:fldCharType="end"/>
      </w:r>
      <w:r>
        <w:t>. Program Performance Metrics</w:t>
      </w:r>
    </w:p>
    <w:tbl>
      <w:tblPr>
        <w:tblStyle w:val="TableGrid"/>
        <w:tblW w:w="0" w:type="auto"/>
        <w:tblLook w:val="04A0" w:firstRow="1" w:lastRow="0" w:firstColumn="1" w:lastColumn="0" w:noHBand="0" w:noVBand="1"/>
      </w:tblPr>
      <w:tblGrid>
        <w:gridCol w:w="1778"/>
        <w:gridCol w:w="2593"/>
        <w:gridCol w:w="2813"/>
        <w:gridCol w:w="2166"/>
      </w:tblGrid>
      <w:tr w:rsidR="00FB0C83" w14:paraId="3E6DE65B" w14:textId="75475351" w:rsidTr="00FB0C83">
        <w:trPr>
          <w:tblHeader/>
        </w:trPr>
        <w:tc>
          <w:tcPr>
            <w:tcW w:w="1778" w:type="dxa"/>
            <w:shd w:val="clear" w:color="auto" w:fill="D9D9D9" w:themeFill="background1" w:themeFillShade="D9"/>
          </w:tcPr>
          <w:p w14:paraId="148136CF" w14:textId="6579BFB9" w:rsidR="00FB0C83" w:rsidRPr="00490885" w:rsidRDefault="00FB0C83" w:rsidP="00490885">
            <w:pPr>
              <w:spacing w:before="60" w:after="60"/>
              <w:rPr>
                <w:b/>
                <w:bCs/>
              </w:rPr>
            </w:pPr>
            <w:r w:rsidRPr="00490885">
              <w:rPr>
                <w:b/>
                <w:bCs/>
              </w:rPr>
              <w:t>Metric Type</w:t>
            </w:r>
          </w:p>
        </w:tc>
        <w:tc>
          <w:tcPr>
            <w:tcW w:w="2593" w:type="dxa"/>
            <w:shd w:val="clear" w:color="auto" w:fill="D9D9D9" w:themeFill="background1" w:themeFillShade="D9"/>
          </w:tcPr>
          <w:p w14:paraId="3C204CA3" w14:textId="4FDAEE01" w:rsidR="00FB0C83" w:rsidRPr="00490885" w:rsidRDefault="00FB0C83" w:rsidP="00490885">
            <w:pPr>
              <w:spacing w:before="60" w:after="60"/>
              <w:rPr>
                <w:b/>
                <w:bCs/>
              </w:rPr>
            </w:pPr>
            <w:r>
              <w:rPr>
                <w:b/>
                <w:bCs/>
              </w:rPr>
              <w:t>Description</w:t>
            </w:r>
          </w:p>
        </w:tc>
        <w:tc>
          <w:tcPr>
            <w:tcW w:w="2813" w:type="dxa"/>
            <w:shd w:val="clear" w:color="auto" w:fill="D9D9D9" w:themeFill="background1" w:themeFillShade="D9"/>
          </w:tcPr>
          <w:p w14:paraId="3E28CDD9" w14:textId="3A2B7464" w:rsidR="00FB0C83" w:rsidRPr="00490885" w:rsidRDefault="00FB0C83" w:rsidP="00490885">
            <w:pPr>
              <w:spacing w:before="60" w:after="60"/>
              <w:rPr>
                <w:b/>
                <w:bCs/>
              </w:rPr>
            </w:pPr>
            <w:r>
              <w:rPr>
                <w:b/>
                <w:bCs/>
              </w:rPr>
              <w:t>Point of Measurement</w:t>
            </w:r>
          </w:p>
        </w:tc>
        <w:tc>
          <w:tcPr>
            <w:tcW w:w="2166" w:type="dxa"/>
            <w:shd w:val="clear" w:color="auto" w:fill="D9D9D9" w:themeFill="background1" w:themeFillShade="D9"/>
          </w:tcPr>
          <w:p w14:paraId="4C544921" w14:textId="31D72725" w:rsidR="00FB0C83" w:rsidRDefault="00FB0C83" w:rsidP="00490885">
            <w:pPr>
              <w:spacing w:before="60" w:after="60"/>
              <w:rPr>
                <w:b/>
                <w:bCs/>
              </w:rPr>
            </w:pPr>
            <w:r>
              <w:rPr>
                <w:b/>
                <w:bCs/>
              </w:rPr>
              <w:t>Frequency</w:t>
            </w:r>
          </w:p>
        </w:tc>
      </w:tr>
      <w:tr w:rsidR="008315B0" w14:paraId="0BED6732" w14:textId="77777777" w:rsidTr="00FB0C83">
        <w:tc>
          <w:tcPr>
            <w:tcW w:w="1778" w:type="dxa"/>
            <w:vMerge w:val="restart"/>
            <w:shd w:val="clear" w:color="auto" w:fill="F2F2F2" w:themeFill="background1" w:themeFillShade="F2"/>
            <w:vAlign w:val="center"/>
          </w:tcPr>
          <w:p w14:paraId="1E1E7C60" w14:textId="2B9DFA0A" w:rsidR="008315B0" w:rsidRPr="009E7F05" w:rsidRDefault="008315B0" w:rsidP="008315B0">
            <w:pPr>
              <w:rPr>
                <w:b/>
                <w:bCs/>
              </w:rPr>
            </w:pPr>
            <w:r w:rsidRPr="009E7F05">
              <w:rPr>
                <w:b/>
                <w:bCs/>
              </w:rPr>
              <w:t>Energy Savings</w:t>
            </w:r>
          </w:p>
        </w:tc>
        <w:tc>
          <w:tcPr>
            <w:tcW w:w="2593" w:type="dxa"/>
          </w:tcPr>
          <w:p w14:paraId="12962E1E" w14:textId="5477D1DD" w:rsidR="008315B0" w:rsidRDefault="008315B0" w:rsidP="008315B0">
            <w:r>
              <w:t xml:space="preserve">TSB </w:t>
            </w:r>
          </w:p>
        </w:tc>
        <w:tc>
          <w:tcPr>
            <w:tcW w:w="2813" w:type="dxa"/>
          </w:tcPr>
          <w:p w14:paraId="2673F411" w14:textId="70C96B3E" w:rsidR="008315B0" w:rsidRDefault="008315B0" w:rsidP="008315B0">
            <w:r w:rsidRPr="00593FD2">
              <w:t>Per project/program total</w:t>
            </w:r>
          </w:p>
        </w:tc>
        <w:tc>
          <w:tcPr>
            <w:tcW w:w="2166" w:type="dxa"/>
          </w:tcPr>
          <w:p w14:paraId="4966E85F" w14:textId="65BCED7C" w:rsidR="008315B0" w:rsidRDefault="008315B0" w:rsidP="008315B0">
            <w:r>
              <w:t>Monthly, Annual</w:t>
            </w:r>
          </w:p>
        </w:tc>
      </w:tr>
      <w:tr w:rsidR="008315B0" w14:paraId="59FE3E78" w14:textId="77777777" w:rsidTr="00FB0C83">
        <w:tc>
          <w:tcPr>
            <w:tcW w:w="1778" w:type="dxa"/>
            <w:vMerge/>
            <w:shd w:val="clear" w:color="auto" w:fill="F2F2F2" w:themeFill="background1" w:themeFillShade="F2"/>
            <w:vAlign w:val="center"/>
          </w:tcPr>
          <w:p w14:paraId="4CC7C34A" w14:textId="711AC900" w:rsidR="008315B0" w:rsidRPr="009E7F05" w:rsidRDefault="008315B0" w:rsidP="008315B0">
            <w:pPr>
              <w:rPr>
                <w:b/>
                <w:bCs/>
              </w:rPr>
            </w:pPr>
          </w:p>
        </w:tc>
        <w:tc>
          <w:tcPr>
            <w:tcW w:w="2593" w:type="dxa"/>
          </w:tcPr>
          <w:p w14:paraId="269BC94C" w14:textId="4B209C8E" w:rsidR="008315B0" w:rsidRDefault="008315B0" w:rsidP="008315B0">
            <w:r>
              <w:t>TRC</w:t>
            </w:r>
          </w:p>
        </w:tc>
        <w:tc>
          <w:tcPr>
            <w:tcW w:w="2813" w:type="dxa"/>
          </w:tcPr>
          <w:p w14:paraId="4186332A" w14:textId="54202741" w:rsidR="008315B0" w:rsidRDefault="008315B0" w:rsidP="008315B0">
            <w:r w:rsidRPr="00593FD2">
              <w:t>Per project/program total</w:t>
            </w:r>
          </w:p>
        </w:tc>
        <w:tc>
          <w:tcPr>
            <w:tcW w:w="2166" w:type="dxa"/>
          </w:tcPr>
          <w:p w14:paraId="5465A1D5" w14:textId="38AD9BC4" w:rsidR="008315B0" w:rsidRDefault="008315B0" w:rsidP="008315B0">
            <w:r>
              <w:t>Monthly, Annual</w:t>
            </w:r>
          </w:p>
        </w:tc>
      </w:tr>
      <w:tr w:rsidR="008315B0" w14:paraId="2960D53F" w14:textId="77777777" w:rsidTr="00FB0C83">
        <w:tc>
          <w:tcPr>
            <w:tcW w:w="1778" w:type="dxa"/>
            <w:vMerge/>
            <w:shd w:val="clear" w:color="auto" w:fill="F2F2F2" w:themeFill="background1" w:themeFillShade="F2"/>
            <w:vAlign w:val="center"/>
          </w:tcPr>
          <w:p w14:paraId="4FCAA562" w14:textId="0249ADDA" w:rsidR="008315B0" w:rsidRPr="009E7F05" w:rsidRDefault="008315B0" w:rsidP="008315B0">
            <w:pPr>
              <w:rPr>
                <w:b/>
                <w:bCs/>
              </w:rPr>
            </w:pPr>
          </w:p>
        </w:tc>
        <w:tc>
          <w:tcPr>
            <w:tcW w:w="2593" w:type="dxa"/>
          </w:tcPr>
          <w:p w14:paraId="2C379125" w14:textId="596975A1" w:rsidR="008315B0" w:rsidRDefault="008315B0" w:rsidP="008315B0">
            <w:r>
              <w:t>kWh (gross and net)</w:t>
            </w:r>
          </w:p>
        </w:tc>
        <w:tc>
          <w:tcPr>
            <w:tcW w:w="2813" w:type="dxa"/>
          </w:tcPr>
          <w:p w14:paraId="6AC80B89" w14:textId="33D17F42" w:rsidR="008315B0" w:rsidRDefault="008315B0" w:rsidP="008315B0">
            <w:r w:rsidRPr="00593FD2">
              <w:t>Per project/program total</w:t>
            </w:r>
          </w:p>
        </w:tc>
        <w:tc>
          <w:tcPr>
            <w:tcW w:w="2166" w:type="dxa"/>
          </w:tcPr>
          <w:p w14:paraId="176F7178" w14:textId="71ABF89A" w:rsidR="008315B0" w:rsidRDefault="008315B0" w:rsidP="008315B0">
            <w:r>
              <w:t>Monthly, Annual</w:t>
            </w:r>
          </w:p>
        </w:tc>
      </w:tr>
      <w:tr w:rsidR="008315B0" w14:paraId="5D727EDC" w14:textId="77777777" w:rsidTr="00FB0C83">
        <w:tc>
          <w:tcPr>
            <w:tcW w:w="1778" w:type="dxa"/>
            <w:vMerge/>
            <w:shd w:val="clear" w:color="auto" w:fill="F2F2F2" w:themeFill="background1" w:themeFillShade="F2"/>
            <w:vAlign w:val="center"/>
          </w:tcPr>
          <w:p w14:paraId="184FDC2F" w14:textId="77777777" w:rsidR="008315B0" w:rsidRPr="009E7F05" w:rsidRDefault="008315B0" w:rsidP="008315B0">
            <w:pPr>
              <w:rPr>
                <w:b/>
                <w:bCs/>
              </w:rPr>
            </w:pPr>
          </w:p>
        </w:tc>
        <w:tc>
          <w:tcPr>
            <w:tcW w:w="2593" w:type="dxa"/>
          </w:tcPr>
          <w:p w14:paraId="4ABEB2DE" w14:textId="0C79A8C6" w:rsidR="008315B0" w:rsidRDefault="008315B0" w:rsidP="008315B0">
            <w:r>
              <w:t>kW (gross and net)</w:t>
            </w:r>
          </w:p>
        </w:tc>
        <w:tc>
          <w:tcPr>
            <w:tcW w:w="2813" w:type="dxa"/>
          </w:tcPr>
          <w:p w14:paraId="10E0C68B" w14:textId="69D4309A" w:rsidR="008315B0" w:rsidRDefault="008315B0" w:rsidP="008315B0">
            <w:r w:rsidRPr="00593FD2">
              <w:t>Per project/program total</w:t>
            </w:r>
          </w:p>
        </w:tc>
        <w:tc>
          <w:tcPr>
            <w:tcW w:w="2166" w:type="dxa"/>
          </w:tcPr>
          <w:p w14:paraId="1A2D7872" w14:textId="3E224B51" w:rsidR="008315B0" w:rsidRDefault="008315B0" w:rsidP="008315B0">
            <w:r>
              <w:t>Monthly, Annual</w:t>
            </w:r>
          </w:p>
        </w:tc>
      </w:tr>
      <w:tr w:rsidR="008315B0" w14:paraId="05D065E7" w14:textId="77777777" w:rsidTr="00FB0C83">
        <w:tc>
          <w:tcPr>
            <w:tcW w:w="1778" w:type="dxa"/>
            <w:vMerge/>
            <w:shd w:val="clear" w:color="auto" w:fill="F2F2F2" w:themeFill="background1" w:themeFillShade="F2"/>
            <w:vAlign w:val="center"/>
          </w:tcPr>
          <w:p w14:paraId="135FAE03" w14:textId="77777777" w:rsidR="008315B0" w:rsidRPr="009E7F05" w:rsidRDefault="008315B0" w:rsidP="008315B0">
            <w:pPr>
              <w:rPr>
                <w:b/>
                <w:bCs/>
              </w:rPr>
            </w:pPr>
          </w:p>
        </w:tc>
        <w:tc>
          <w:tcPr>
            <w:tcW w:w="2593" w:type="dxa"/>
          </w:tcPr>
          <w:p w14:paraId="58A363C2" w14:textId="204015CE" w:rsidR="008315B0" w:rsidRDefault="008315B0" w:rsidP="008315B0">
            <w:r>
              <w:t>Therms (gross and net)</w:t>
            </w:r>
          </w:p>
        </w:tc>
        <w:tc>
          <w:tcPr>
            <w:tcW w:w="2813" w:type="dxa"/>
          </w:tcPr>
          <w:p w14:paraId="0F36EBF0" w14:textId="5D91E11E" w:rsidR="008315B0" w:rsidRDefault="008315B0" w:rsidP="008315B0">
            <w:r w:rsidRPr="00593FD2">
              <w:t>Per project/program total</w:t>
            </w:r>
          </w:p>
        </w:tc>
        <w:tc>
          <w:tcPr>
            <w:tcW w:w="2166" w:type="dxa"/>
          </w:tcPr>
          <w:p w14:paraId="4905FD3A" w14:textId="0C34FAE9" w:rsidR="008315B0" w:rsidRDefault="008315B0" w:rsidP="008315B0">
            <w:r>
              <w:t>Monthly, Annual</w:t>
            </w:r>
          </w:p>
        </w:tc>
      </w:tr>
      <w:tr w:rsidR="008315B0" w14:paraId="6B48D597" w14:textId="77777777" w:rsidTr="00FB0C83">
        <w:tc>
          <w:tcPr>
            <w:tcW w:w="1778" w:type="dxa"/>
            <w:vMerge/>
            <w:shd w:val="clear" w:color="auto" w:fill="F2F2F2" w:themeFill="background1" w:themeFillShade="F2"/>
            <w:vAlign w:val="center"/>
          </w:tcPr>
          <w:p w14:paraId="2910A8C7" w14:textId="1CCF1129" w:rsidR="008315B0" w:rsidRPr="009E7F05" w:rsidRDefault="008315B0" w:rsidP="008315B0">
            <w:pPr>
              <w:rPr>
                <w:b/>
                <w:bCs/>
              </w:rPr>
            </w:pPr>
          </w:p>
        </w:tc>
        <w:tc>
          <w:tcPr>
            <w:tcW w:w="2593" w:type="dxa"/>
          </w:tcPr>
          <w:p w14:paraId="7F279B84" w14:textId="6AD6FD46" w:rsidR="008315B0" w:rsidRDefault="008315B0" w:rsidP="008315B0">
            <w:r>
              <w:t>% Savings from DAC</w:t>
            </w:r>
          </w:p>
        </w:tc>
        <w:tc>
          <w:tcPr>
            <w:tcW w:w="2813" w:type="dxa"/>
          </w:tcPr>
          <w:p w14:paraId="2D860882" w14:textId="107F9F0E" w:rsidR="008315B0" w:rsidRDefault="008315B0" w:rsidP="008315B0">
            <w:r w:rsidRPr="00593FD2">
              <w:t>Per project/program total</w:t>
            </w:r>
          </w:p>
        </w:tc>
        <w:tc>
          <w:tcPr>
            <w:tcW w:w="2166" w:type="dxa"/>
          </w:tcPr>
          <w:p w14:paraId="0A013487" w14:textId="3C50F060" w:rsidR="008315B0" w:rsidRDefault="008315B0" w:rsidP="008315B0">
            <w:r>
              <w:t>Monthly, Annual</w:t>
            </w:r>
          </w:p>
        </w:tc>
      </w:tr>
      <w:tr w:rsidR="008315B0" w14:paraId="4202C8E6" w14:textId="77777777" w:rsidTr="00FB0C83">
        <w:tc>
          <w:tcPr>
            <w:tcW w:w="1778" w:type="dxa"/>
            <w:vMerge/>
            <w:shd w:val="clear" w:color="auto" w:fill="F2F2F2" w:themeFill="background1" w:themeFillShade="F2"/>
            <w:vAlign w:val="center"/>
          </w:tcPr>
          <w:p w14:paraId="13B8DF75" w14:textId="32A91BA5" w:rsidR="008315B0" w:rsidRPr="009E7F05" w:rsidRDefault="008315B0" w:rsidP="008315B0">
            <w:pPr>
              <w:rPr>
                <w:b/>
                <w:bCs/>
              </w:rPr>
            </w:pPr>
          </w:p>
        </w:tc>
        <w:tc>
          <w:tcPr>
            <w:tcW w:w="2593" w:type="dxa"/>
          </w:tcPr>
          <w:p w14:paraId="3661548F" w14:textId="5271E429" w:rsidR="008315B0" w:rsidRDefault="008315B0" w:rsidP="008315B0">
            <w:r>
              <w:t>% Savings from HTR</w:t>
            </w:r>
          </w:p>
        </w:tc>
        <w:tc>
          <w:tcPr>
            <w:tcW w:w="2813" w:type="dxa"/>
          </w:tcPr>
          <w:p w14:paraId="4EF5CF9C" w14:textId="707B0C4F" w:rsidR="008315B0" w:rsidRDefault="008315B0" w:rsidP="008315B0">
            <w:r w:rsidRPr="00593FD2">
              <w:t>Per project/program total</w:t>
            </w:r>
          </w:p>
        </w:tc>
        <w:tc>
          <w:tcPr>
            <w:tcW w:w="2166" w:type="dxa"/>
          </w:tcPr>
          <w:p w14:paraId="472A6F75" w14:textId="082273FC" w:rsidR="008315B0" w:rsidRDefault="008315B0" w:rsidP="008315B0">
            <w:r>
              <w:t xml:space="preserve">Monthly, Annual </w:t>
            </w:r>
          </w:p>
        </w:tc>
      </w:tr>
      <w:tr w:rsidR="008315B0" w14:paraId="792D90EF" w14:textId="77777777" w:rsidTr="00FB0C83">
        <w:tc>
          <w:tcPr>
            <w:tcW w:w="1778" w:type="dxa"/>
            <w:vMerge/>
            <w:shd w:val="clear" w:color="auto" w:fill="F2F2F2" w:themeFill="background1" w:themeFillShade="F2"/>
            <w:vAlign w:val="center"/>
          </w:tcPr>
          <w:p w14:paraId="5DF7AC23" w14:textId="77777777" w:rsidR="008315B0" w:rsidRPr="009E7F05" w:rsidRDefault="008315B0" w:rsidP="008315B0">
            <w:pPr>
              <w:rPr>
                <w:b/>
                <w:bCs/>
              </w:rPr>
            </w:pPr>
          </w:p>
        </w:tc>
        <w:tc>
          <w:tcPr>
            <w:tcW w:w="2593" w:type="dxa"/>
          </w:tcPr>
          <w:p w14:paraId="01939B9A" w14:textId="2D293628" w:rsidR="008315B0" w:rsidRDefault="008315B0" w:rsidP="008315B0">
            <w:r>
              <w:t>% Savings by County</w:t>
            </w:r>
          </w:p>
        </w:tc>
        <w:tc>
          <w:tcPr>
            <w:tcW w:w="2813" w:type="dxa"/>
          </w:tcPr>
          <w:p w14:paraId="16C5111B" w14:textId="3C583D5C" w:rsidR="008315B0" w:rsidRDefault="008315B0" w:rsidP="008315B0">
            <w:r w:rsidRPr="00593FD2">
              <w:t>Per project/program total</w:t>
            </w:r>
          </w:p>
        </w:tc>
        <w:tc>
          <w:tcPr>
            <w:tcW w:w="2166" w:type="dxa"/>
          </w:tcPr>
          <w:p w14:paraId="212DE817" w14:textId="6B655625" w:rsidR="008315B0" w:rsidRDefault="008315B0" w:rsidP="008315B0">
            <w:r>
              <w:t xml:space="preserve">Monthly, Annual </w:t>
            </w:r>
          </w:p>
        </w:tc>
      </w:tr>
      <w:tr w:rsidR="008315B0" w14:paraId="27B211E0" w14:textId="77777777" w:rsidTr="00FB0C83">
        <w:tc>
          <w:tcPr>
            <w:tcW w:w="1778" w:type="dxa"/>
            <w:vMerge/>
            <w:shd w:val="clear" w:color="auto" w:fill="F2F2F2" w:themeFill="background1" w:themeFillShade="F2"/>
            <w:vAlign w:val="center"/>
          </w:tcPr>
          <w:p w14:paraId="0AEFC6C4" w14:textId="77777777" w:rsidR="008315B0" w:rsidRPr="009E7F05" w:rsidRDefault="008315B0" w:rsidP="008315B0">
            <w:pPr>
              <w:rPr>
                <w:b/>
                <w:bCs/>
              </w:rPr>
            </w:pPr>
          </w:p>
        </w:tc>
        <w:tc>
          <w:tcPr>
            <w:tcW w:w="2593" w:type="dxa"/>
          </w:tcPr>
          <w:p w14:paraId="2BA90D91" w14:textId="319FD41E" w:rsidR="008315B0" w:rsidRDefault="008315B0" w:rsidP="008315B0">
            <w:r>
              <w:t>% Projects by County</w:t>
            </w:r>
          </w:p>
        </w:tc>
        <w:tc>
          <w:tcPr>
            <w:tcW w:w="2813" w:type="dxa"/>
          </w:tcPr>
          <w:p w14:paraId="0F7A4EA4" w14:textId="703BA409" w:rsidR="008315B0" w:rsidRDefault="008315B0" w:rsidP="008315B0">
            <w:r w:rsidRPr="00593FD2">
              <w:t>Per project/program total</w:t>
            </w:r>
          </w:p>
        </w:tc>
        <w:tc>
          <w:tcPr>
            <w:tcW w:w="2166" w:type="dxa"/>
          </w:tcPr>
          <w:p w14:paraId="6227B0AF" w14:textId="29A6B989" w:rsidR="008315B0" w:rsidRDefault="008315B0" w:rsidP="008315B0">
            <w:r>
              <w:t xml:space="preserve">Monthly, Annual </w:t>
            </w:r>
          </w:p>
        </w:tc>
      </w:tr>
      <w:tr w:rsidR="008315B0" w14:paraId="4D74C72E" w14:textId="559691D5" w:rsidTr="00FB0C83">
        <w:tc>
          <w:tcPr>
            <w:tcW w:w="1778" w:type="dxa"/>
            <w:vMerge/>
            <w:shd w:val="clear" w:color="auto" w:fill="F2F2F2" w:themeFill="background1" w:themeFillShade="F2"/>
          </w:tcPr>
          <w:p w14:paraId="3C8EBB21" w14:textId="77777777" w:rsidR="008315B0" w:rsidRDefault="008315B0" w:rsidP="008315B0"/>
        </w:tc>
        <w:tc>
          <w:tcPr>
            <w:tcW w:w="2593" w:type="dxa"/>
          </w:tcPr>
          <w:p w14:paraId="4AADAFF6" w14:textId="7CE2C307" w:rsidR="008315B0" w:rsidRDefault="008315B0" w:rsidP="008315B0">
            <w:r>
              <w:t>Pipeline kWh</w:t>
            </w:r>
          </w:p>
        </w:tc>
        <w:tc>
          <w:tcPr>
            <w:tcW w:w="2813" w:type="dxa"/>
          </w:tcPr>
          <w:p w14:paraId="04445B72" w14:textId="1C4D2D25" w:rsidR="008315B0" w:rsidRDefault="008315B0" w:rsidP="008315B0">
            <w:r w:rsidRPr="003C21FB">
              <w:t>Per project/p</w:t>
            </w:r>
            <w:r>
              <w:t>rogram</w:t>
            </w:r>
            <w:r w:rsidRPr="003C21FB">
              <w:t xml:space="preserve"> total</w:t>
            </w:r>
          </w:p>
        </w:tc>
        <w:tc>
          <w:tcPr>
            <w:tcW w:w="2166" w:type="dxa"/>
          </w:tcPr>
          <w:p w14:paraId="0C658EEB" w14:textId="44004D42" w:rsidR="008315B0" w:rsidRDefault="008315B0" w:rsidP="008315B0">
            <w:r w:rsidRPr="00196607">
              <w:t>Monthly, Annual</w:t>
            </w:r>
          </w:p>
        </w:tc>
      </w:tr>
      <w:tr w:rsidR="008315B0" w14:paraId="12DEFDB2" w14:textId="2F288E7C" w:rsidTr="00FB0C83">
        <w:tc>
          <w:tcPr>
            <w:tcW w:w="1778" w:type="dxa"/>
            <w:vMerge/>
            <w:shd w:val="clear" w:color="auto" w:fill="F2F2F2" w:themeFill="background1" w:themeFillShade="F2"/>
          </w:tcPr>
          <w:p w14:paraId="6348FE0E" w14:textId="77777777" w:rsidR="008315B0" w:rsidRDefault="008315B0" w:rsidP="008315B0"/>
        </w:tc>
        <w:tc>
          <w:tcPr>
            <w:tcW w:w="2593" w:type="dxa"/>
          </w:tcPr>
          <w:p w14:paraId="02475327" w14:textId="549D333E" w:rsidR="008315B0" w:rsidRDefault="008315B0" w:rsidP="008315B0">
            <w:r>
              <w:t>Pipeline kW</w:t>
            </w:r>
          </w:p>
        </w:tc>
        <w:tc>
          <w:tcPr>
            <w:tcW w:w="2813" w:type="dxa"/>
          </w:tcPr>
          <w:p w14:paraId="054DC082" w14:textId="74E25F9A" w:rsidR="008315B0" w:rsidRDefault="008315B0" w:rsidP="008315B0">
            <w:r w:rsidRPr="008D432F">
              <w:t>Per project/program total</w:t>
            </w:r>
          </w:p>
        </w:tc>
        <w:tc>
          <w:tcPr>
            <w:tcW w:w="2166" w:type="dxa"/>
          </w:tcPr>
          <w:p w14:paraId="41EEFEF7" w14:textId="5AA0A73B" w:rsidR="008315B0" w:rsidRDefault="008315B0" w:rsidP="008315B0">
            <w:r w:rsidRPr="00196607">
              <w:t>Monthly, Annual</w:t>
            </w:r>
          </w:p>
        </w:tc>
      </w:tr>
      <w:tr w:rsidR="008315B0" w14:paraId="2ED23B93" w14:textId="08B8345B" w:rsidTr="00FB0C83">
        <w:tc>
          <w:tcPr>
            <w:tcW w:w="1778" w:type="dxa"/>
            <w:vMerge/>
            <w:shd w:val="clear" w:color="auto" w:fill="F2F2F2" w:themeFill="background1" w:themeFillShade="F2"/>
          </w:tcPr>
          <w:p w14:paraId="2A6B4EE9" w14:textId="77777777" w:rsidR="008315B0" w:rsidRDefault="008315B0" w:rsidP="008315B0"/>
        </w:tc>
        <w:tc>
          <w:tcPr>
            <w:tcW w:w="2593" w:type="dxa"/>
          </w:tcPr>
          <w:p w14:paraId="71BF1C5B" w14:textId="32A0F401" w:rsidR="008315B0" w:rsidRDefault="008315B0" w:rsidP="008315B0">
            <w:r>
              <w:t>Pipeline therms</w:t>
            </w:r>
          </w:p>
        </w:tc>
        <w:tc>
          <w:tcPr>
            <w:tcW w:w="2813" w:type="dxa"/>
          </w:tcPr>
          <w:p w14:paraId="4BAFB57C" w14:textId="161CDFFA" w:rsidR="008315B0" w:rsidRDefault="008315B0" w:rsidP="008315B0">
            <w:r w:rsidRPr="008D432F">
              <w:t>Per project/program total</w:t>
            </w:r>
          </w:p>
        </w:tc>
        <w:tc>
          <w:tcPr>
            <w:tcW w:w="2166" w:type="dxa"/>
          </w:tcPr>
          <w:p w14:paraId="1DBD4CBF" w14:textId="22930410" w:rsidR="008315B0" w:rsidRDefault="008315B0" w:rsidP="008315B0">
            <w:r w:rsidRPr="00196607">
              <w:t>Monthly, Annual</w:t>
            </w:r>
          </w:p>
        </w:tc>
      </w:tr>
      <w:tr w:rsidR="008315B0" w14:paraId="7ECF6E66" w14:textId="0235EC05" w:rsidTr="00FB0C83">
        <w:tc>
          <w:tcPr>
            <w:tcW w:w="1778" w:type="dxa"/>
            <w:shd w:val="clear" w:color="auto" w:fill="F2F2F2" w:themeFill="background1" w:themeFillShade="F2"/>
            <w:vAlign w:val="center"/>
          </w:tcPr>
          <w:p w14:paraId="596B6412" w14:textId="0D4F18C8" w:rsidR="008315B0" w:rsidRPr="00A24DB7" w:rsidRDefault="008315B0" w:rsidP="008315B0">
            <w:pPr>
              <w:rPr>
                <w:b/>
                <w:bCs/>
              </w:rPr>
            </w:pPr>
            <w:r w:rsidRPr="00A24DB7">
              <w:rPr>
                <w:b/>
                <w:bCs/>
              </w:rPr>
              <w:t>Water Savings</w:t>
            </w:r>
          </w:p>
        </w:tc>
        <w:tc>
          <w:tcPr>
            <w:tcW w:w="2593" w:type="dxa"/>
          </w:tcPr>
          <w:p w14:paraId="07EAF4B0" w14:textId="11AF920D" w:rsidR="008315B0" w:rsidRDefault="008315B0" w:rsidP="008315B0">
            <w:r>
              <w:t>Gallons of water</w:t>
            </w:r>
          </w:p>
        </w:tc>
        <w:tc>
          <w:tcPr>
            <w:tcW w:w="2813" w:type="dxa"/>
          </w:tcPr>
          <w:p w14:paraId="5BB9B7DD" w14:textId="7BC4BAD3" w:rsidR="008315B0" w:rsidRDefault="008315B0" w:rsidP="008315B0">
            <w:r w:rsidRPr="008D432F">
              <w:t>Per project/program total</w:t>
            </w:r>
          </w:p>
        </w:tc>
        <w:tc>
          <w:tcPr>
            <w:tcW w:w="2166" w:type="dxa"/>
          </w:tcPr>
          <w:p w14:paraId="69AC2ADF" w14:textId="78022C44" w:rsidR="008315B0" w:rsidRDefault="008315B0" w:rsidP="008315B0">
            <w:r w:rsidRPr="00196607">
              <w:t>Monthly, Annual</w:t>
            </w:r>
          </w:p>
        </w:tc>
      </w:tr>
      <w:tr w:rsidR="00577B97" w14:paraId="16C9A960" w14:textId="2B29BC66" w:rsidTr="00FB0C83">
        <w:tc>
          <w:tcPr>
            <w:tcW w:w="1778" w:type="dxa"/>
            <w:vMerge w:val="restart"/>
            <w:shd w:val="clear" w:color="auto" w:fill="F2F2F2" w:themeFill="background1" w:themeFillShade="F2"/>
            <w:vAlign w:val="center"/>
          </w:tcPr>
          <w:p w14:paraId="077FBBF3" w14:textId="5935BC68" w:rsidR="00577B97" w:rsidRPr="0010647E" w:rsidRDefault="00577B97" w:rsidP="00577B97">
            <w:pPr>
              <w:rPr>
                <w:b/>
                <w:bCs/>
              </w:rPr>
            </w:pPr>
            <w:r w:rsidRPr="0010647E">
              <w:rPr>
                <w:b/>
                <w:bCs/>
              </w:rPr>
              <w:t>Financial</w:t>
            </w:r>
          </w:p>
        </w:tc>
        <w:tc>
          <w:tcPr>
            <w:tcW w:w="2593" w:type="dxa"/>
          </w:tcPr>
          <w:p w14:paraId="4A5A01D0" w14:textId="69516379" w:rsidR="00577B97" w:rsidRDefault="00577B97" w:rsidP="00577B97">
            <w:r>
              <w:t>Program expenditures</w:t>
            </w:r>
          </w:p>
        </w:tc>
        <w:tc>
          <w:tcPr>
            <w:tcW w:w="2813" w:type="dxa"/>
          </w:tcPr>
          <w:p w14:paraId="7A046CAA" w14:textId="30C565FD" w:rsidR="00577B97" w:rsidRDefault="00577B97" w:rsidP="00577B97">
            <w:r>
              <w:t>Administration</w:t>
            </w:r>
            <w:r w:rsidR="00A24DB7">
              <w:t>, Marketing, Direct Implementation Non-incentive, and Incentive</w:t>
            </w:r>
          </w:p>
        </w:tc>
        <w:tc>
          <w:tcPr>
            <w:tcW w:w="2166" w:type="dxa"/>
          </w:tcPr>
          <w:p w14:paraId="7B2D7196" w14:textId="1039A677" w:rsidR="00577B97" w:rsidRDefault="00577B97" w:rsidP="00577B97">
            <w:r w:rsidRPr="00196607">
              <w:t>Monthly, Annual</w:t>
            </w:r>
          </w:p>
        </w:tc>
      </w:tr>
      <w:tr w:rsidR="00577B97" w14:paraId="79C012C8" w14:textId="3863C850" w:rsidTr="00FB0C83">
        <w:tc>
          <w:tcPr>
            <w:tcW w:w="1778" w:type="dxa"/>
            <w:vMerge/>
            <w:shd w:val="clear" w:color="auto" w:fill="F2F2F2" w:themeFill="background1" w:themeFillShade="F2"/>
          </w:tcPr>
          <w:p w14:paraId="6FA8FA5C" w14:textId="77777777" w:rsidR="00577B97" w:rsidRPr="0010647E" w:rsidRDefault="00577B97" w:rsidP="00577B97">
            <w:pPr>
              <w:rPr>
                <w:b/>
                <w:bCs/>
              </w:rPr>
            </w:pPr>
          </w:p>
        </w:tc>
        <w:tc>
          <w:tcPr>
            <w:tcW w:w="2593" w:type="dxa"/>
          </w:tcPr>
          <w:p w14:paraId="40999674" w14:textId="3838279A" w:rsidR="00577B97" w:rsidRDefault="00577B97" w:rsidP="00577B97">
            <w:r>
              <w:t>Funds remaining</w:t>
            </w:r>
          </w:p>
        </w:tc>
        <w:tc>
          <w:tcPr>
            <w:tcW w:w="2813" w:type="dxa"/>
          </w:tcPr>
          <w:p w14:paraId="5F2DC3DE" w14:textId="13536E0E" w:rsidR="00577B97" w:rsidRDefault="00A24DB7" w:rsidP="00577B97">
            <w:r>
              <w:t xml:space="preserve">Program </w:t>
            </w:r>
            <w:r w:rsidR="008315B0">
              <w:t>b</w:t>
            </w:r>
            <w:r>
              <w:t xml:space="preserve">udget </w:t>
            </w:r>
          </w:p>
        </w:tc>
        <w:tc>
          <w:tcPr>
            <w:tcW w:w="2166" w:type="dxa"/>
          </w:tcPr>
          <w:p w14:paraId="67086B58" w14:textId="702263B5" w:rsidR="00577B97" w:rsidRDefault="00577B97" w:rsidP="00577B97">
            <w:r w:rsidRPr="00196607">
              <w:t>Monthly, Annual</w:t>
            </w:r>
          </w:p>
        </w:tc>
      </w:tr>
      <w:tr w:rsidR="00577B97" w14:paraId="32BCCA25" w14:textId="5850926D" w:rsidTr="00FB0C83">
        <w:tc>
          <w:tcPr>
            <w:tcW w:w="1778" w:type="dxa"/>
            <w:vMerge/>
            <w:shd w:val="clear" w:color="auto" w:fill="F2F2F2" w:themeFill="background1" w:themeFillShade="F2"/>
          </w:tcPr>
          <w:p w14:paraId="35073216" w14:textId="77777777" w:rsidR="00577B97" w:rsidRPr="0010647E" w:rsidRDefault="00577B97" w:rsidP="00577B97">
            <w:pPr>
              <w:rPr>
                <w:b/>
                <w:bCs/>
              </w:rPr>
            </w:pPr>
          </w:p>
        </w:tc>
        <w:tc>
          <w:tcPr>
            <w:tcW w:w="2593" w:type="dxa"/>
          </w:tcPr>
          <w:p w14:paraId="7019529A" w14:textId="5F965988" w:rsidR="00577B97" w:rsidRDefault="00577B97" w:rsidP="00577B97">
            <w:r>
              <w:t>Funds encumbered</w:t>
            </w:r>
          </w:p>
        </w:tc>
        <w:tc>
          <w:tcPr>
            <w:tcW w:w="2813" w:type="dxa"/>
          </w:tcPr>
          <w:p w14:paraId="1682CB45" w14:textId="6E8AB74A" w:rsidR="00577B97" w:rsidRDefault="00577B97" w:rsidP="00577B97">
            <w:r>
              <w:t>Enrollment phase</w:t>
            </w:r>
          </w:p>
        </w:tc>
        <w:tc>
          <w:tcPr>
            <w:tcW w:w="2166" w:type="dxa"/>
          </w:tcPr>
          <w:p w14:paraId="260E3278" w14:textId="01B6B0D8" w:rsidR="00577B97" w:rsidRDefault="00577B97" w:rsidP="00577B97">
            <w:r w:rsidRPr="00196607">
              <w:t>Monthly, Annual</w:t>
            </w:r>
          </w:p>
        </w:tc>
      </w:tr>
      <w:tr w:rsidR="00577B97" w14:paraId="570CDD26" w14:textId="09B2FB64" w:rsidTr="00FB0C83">
        <w:tc>
          <w:tcPr>
            <w:tcW w:w="1778" w:type="dxa"/>
            <w:vMerge/>
            <w:shd w:val="clear" w:color="auto" w:fill="F2F2F2" w:themeFill="background1" w:themeFillShade="F2"/>
          </w:tcPr>
          <w:p w14:paraId="16CAB7FF" w14:textId="77777777" w:rsidR="00577B97" w:rsidRPr="0010647E" w:rsidRDefault="00577B97" w:rsidP="00577B97">
            <w:pPr>
              <w:rPr>
                <w:b/>
                <w:bCs/>
              </w:rPr>
            </w:pPr>
          </w:p>
        </w:tc>
        <w:tc>
          <w:tcPr>
            <w:tcW w:w="2593" w:type="dxa"/>
          </w:tcPr>
          <w:p w14:paraId="7A017751" w14:textId="4F7BC3CD" w:rsidR="00577B97" w:rsidRDefault="00577B97" w:rsidP="00577B97">
            <w:r>
              <w:t>Funds encumbered</w:t>
            </w:r>
          </w:p>
        </w:tc>
        <w:tc>
          <w:tcPr>
            <w:tcW w:w="2813" w:type="dxa"/>
          </w:tcPr>
          <w:p w14:paraId="254B5BC8" w14:textId="51A763B9" w:rsidR="00577B97" w:rsidRDefault="00577B97" w:rsidP="00577B97">
            <w:r>
              <w:t>Installation phase</w:t>
            </w:r>
          </w:p>
        </w:tc>
        <w:tc>
          <w:tcPr>
            <w:tcW w:w="2166" w:type="dxa"/>
          </w:tcPr>
          <w:p w14:paraId="3262DDFB" w14:textId="58AAF5CE" w:rsidR="00577B97" w:rsidRDefault="00577B97" w:rsidP="00577B97">
            <w:r w:rsidRPr="00196607">
              <w:t>Monthly, Annual</w:t>
            </w:r>
          </w:p>
        </w:tc>
      </w:tr>
      <w:tr w:rsidR="00577B97" w14:paraId="47FFEB4D" w14:textId="15EAB7EF" w:rsidTr="00FB0C83">
        <w:tc>
          <w:tcPr>
            <w:tcW w:w="1778" w:type="dxa"/>
            <w:vMerge w:val="restart"/>
            <w:shd w:val="clear" w:color="auto" w:fill="F2F2F2" w:themeFill="background1" w:themeFillShade="F2"/>
            <w:vAlign w:val="center"/>
          </w:tcPr>
          <w:p w14:paraId="0B5A3B34" w14:textId="4334E695" w:rsidR="00577B97" w:rsidRPr="0010647E" w:rsidRDefault="00577B97" w:rsidP="00577B97">
            <w:pPr>
              <w:rPr>
                <w:b/>
                <w:bCs/>
              </w:rPr>
            </w:pPr>
            <w:r w:rsidRPr="0010647E">
              <w:rPr>
                <w:b/>
                <w:bCs/>
              </w:rPr>
              <w:t>Contractors and Workforce Development</w:t>
            </w:r>
          </w:p>
        </w:tc>
        <w:tc>
          <w:tcPr>
            <w:tcW w:w="2593" w:type="dxa"/>
          </w:tcPr>
          <w:p w14:paraId="1F9DE6C6" w14:textId="17E90C63" w:rsidR="00577B97" w:rsidRDefault="00577B97" w:rsidP="00577B97">
            <w:r>
              <w:t>Contractors enrolled and active</w:t>
            </w:r>
          </w:p>
        </w:tc>
        <w:tc>
          <w:tcPr>
            <w:tcW w:w="2813" w:type="dxa"/>
          </w:tcPr>
          <w:p w14:paraId="07AB0C34" w14:textId="7C26F7A6" w:rsidR="00577B97" w:rsidRDefault="00A24DB7" w:rsidP="00577B97">
            <w:r>
              <w:t>Contractor Management Portal</w:t>
            </w:r>
            <w:r w:rsidR="008315B0">
              <w:t xml:space="preserve"> (CMP)</w:t>
            </w:r>
          </w:p>
        </w:tc>
        <w:tc>
          <w:tcPr>
            <w:tcW w:w="2166" w:type="dxa"/>
          </w:tcPr>
          <w:p w14:paraId="689F05D1" w14:textId="30958624" w:rsidR="00577B97" w:rsidRDefault="00577B97" w:rsidP="00577B97">
            <w:r w:rsidRPr="00196607">
              <w:t>Monthly, Annual</w:t>
            </w:r>
          </w:p>
        </w:tc>
      </w:tr>
      <w:tr w:rsidR="00577B97" w14:paraId="3F5732BC" w14:textId="37AF1365" w:rsidTr="00FB0C83">
        <w:tc>
          <w:tcPr>
            <w:tcW w:w="1778" w:type="dxa"/>
            <w:vMerge/>
            <w:shd w:val="clear" w:color="auto" w:fill="F2F2F2" w:themeFill="background1" w:themeFillShade="F2"/>
          </w:tcPr>
          <w:p w14:paraId="545866E6" w14:textId="77777777" w:rsidR="00577B97" w:rsidRPr="0010647E" w:rsidRDefault="00577B97" w:rsidP="00577B97">
            <w:pPr>
              <w:rPr>
                <w:b/>
                <w:bCs/>
              </w:rPr>
            </w:pPr>
          </w:p>
        </w:tc>
        <w:tc>
          <w:tcPr>
            <w:tcW w:w="2593" w:type="dxa"/>
          </w:tcPr>
          <w:p w14:paraId="5E705AE5" w14:textId="03286283" w:rsidR="00577B97" w:rsidRDefault="00577B97" w:rsidP="00577B97">
            <w:r>
              <w:t xml:space="preserve">Contractor scorecard and feedback </w:t>
            </w:r>
          </w:p>
        </w:tc>
        <w:tc>
          <w:tcPr>
            <w:tcW w:w="2813" w:type="dxa"/>
          </w:tcPr>
          <w:p w14:paraId="175BFF20" w14:textId="065BFDC0" w:rsidR="00577B97" w:rsidRDefault="00A24DB7" w:rsidP="00577B97">
            <w:r>
              <w:t>Contractor Management Portal</w:t>
            </w:r>
            <w:r w:rsidR="008315B0">
              <w:t xml:space="preserve"> (CMP)</w:t>
            </w:r>
          </w:p>
        </w:tc>
        <w:tc>
          <w:tcPr>
            <w:tcW w:w="2166" w:type="dxa"/>
          </w:tcPr>
          <w:p w14:paraId="5287D5D1" w14:textId="7347D324" w:rsidR="00577B97" w:rsidRDefault="00577B97" w:rsidP="00577B97">
            <w:r w:rsidRPr="00196607">
              <w:t>Monthly, Annual</w:t>
            </w:r>
          </w:p>
        </w:tc>
      </w:tr>
      <w:tr w:rsidR="00577B97" w14:paraId="43BAE5F6" w14:textId="4022A1BF" w:rsidTr="00FB0C83">
        <w:tc>
          <w:tcPr>
            <w:tcW w:w="1778" w:type="dxa"/>
            <w:vMerge/>
            <w:shd w:val="clear" w:color="auto" w:fill="F2F2F2" w:themeFill="background1" w:themeFillShade="F2"/>
          </w:tcPr>
          <w:p w14:paraId="7D700B19" w14:textId="77777777" w:rsidR="00577B97" w:rsidRPr="0010647E" w:rsidRDefault="00577B97" w:rsidP="00577B97">
            <w:pPr>
              <w:rPr>
                <w:b/>
                <w:bCs/>
              </w:rPr>
            </w:pPr>
          </w:p>
        </w:tc>
        <w:tc>
          <w:tcPr>
            <w:tcW w:w="2593" w:type="dxa"/>
          </w:tcPr>
          <w:p w14:paraId="4E66C75A" w14:textId="04720AA6" w:rsidR="00577B97" w:rsidRDefault="00577B97" w:rsidP="00577B97">
            <w:r>
              <w:t>Program complaints and resolutions</w:t>
            </w:r>
          </w:p>
        </w:tc>
        <w:tc>
          <w:tcPr>
            <w:tcW w:w="2813" w:type="dxa"/>
          </w:tcPr>
          <w:p w14:paraId="57FA988B" w14:textId="06B12AED" w:rsidR="00577B97" w:rsidRDefault="00577B97" w:rsidP="00577B97">
            <w:r>
              <w:t>Ad hoc tracking</w:t>
            </w:r>
          </w:p>
        </w:tc>
        <w:tc>
          <w:tcPr>
            <w:tcW w:w="2166" w:type="dxa"/>
          </w:tcPr>
          <w:p w14:paraId="0BA3E8AB" w14:textId="257BF188" w:rsidR="00577B97" w:rsidRDefault="00577B97" w:rsidP="00577B97">
            <w:r w:rsidRPr="00196607">
              <w:t>Monthly, Annual</w:t>
            </w:r>
          </w:p>
        </w:tc>
      </w:tr>
      <w:tr w:rsidR="00577B97" w14:paraId="188A7C83" w14:textId="2A219827" w:rsidTr="00FB0C83">
        <w:tc>
          <w:tcPr>
            <w:tcW w:w="1778" w:type="dxa"/>
            <w:vMerge/>
            <w:shd w:val="clear" w:color="auto" w:fill="F2F2F2" w:themeFill="background1" w:themeFillShade="F2"/>
          </w:tcPr>
          <w:p w14:paraId="70D5411A" w14:textId="77777777" w:rsidR="00577B97" w:rsidRPr="0010647E" w:rsidRDefault="00577B97" w:rsidP="00577B97">
            <w:pPr>
              <w:rPr>
                <w:b/>
                <w:bCs/>
              </w:rPr>
            </w:pPr>
          </w:p>
        </w:tc>
        <w:tc>
          <w:tcPr>
            <w:tcW w:w="2593" w:type="dxa"/>
          </w:tcPr>
          <w:p w14:paraId="402F73F6" w14:textId="27E7D06E" w:rsidR="00577B97" w:rsidRDefault="00577B97" w:rsidP="00577B97">
            <w:r>
              <w:t>Workforce opportunities</w:t>
            </w:r>
          </w:p>
        </w:tc>
        <w:tc>
          <w:tcPr>
            <w:tcW w:w="2813" w:type="dxa"/>
          </w:tcPr>
          <w:p w14:paraId="77808565" w14:textId="6402ADC4" w:rsidR="00577B97" w:rsidRDefault="00A24DB7" w:rsidP="00577B97">
            <w:r>
              <w:t>Contractor Management Portal</w:t>
            </w:r>
            <w:r w:rsidR="008315B0">
              <w:t xml:space="preserve"> (CMP)</w:t>
            </w:r>
          </w:p>
        </w:tc>
        <w:tc>
          <w:tcPr>
            <w:tcW w:w="2166" w:type="dxa"/>
          </w:tcPr>
          <w:p w14:paraId="65D6D433" w14:textId="03C6E91A" w:rsidR="00577B97" w:rsidRDefault="00A24DB7" w:rsidP="00577B97">
            <w:r>
              <w:t>Monthly, Annual</w:t>
            </w:r>
          </w:p>
        </w:tc>
      </w:tr>
      <w:tr w:rsidR="00577B97" w14:paraId="0C8466AF" w14:textId="7D97A607" w:rsidTr="00FB0C83">
        <w:tc>
          <w:tcPr>
            <w:tcW w:w="1778" w:type="dxa"/>
            <w:vMerge w:val="restart"/>
            <w:shd w:val="clear" w:color="auto" w:fill="F2F2F2" w:themeFill="background1" w:themeFillShade="F2"/>
            <w:vAlign w:val="center"/>
          </w:tcPr>
          <w:p w14:paraId="1691F5B7" w14:textId="76D94C02" w:rsidR="00577B97" w:rsidRPr="0010647E" w:rsidRDefault="00577B97" w:rsidP="00577B97">
            <w:pPr>
              <w:rPr>
                <w:b/>
                <w:bCs/>
              </w:rPr>
            </w:pPr>
            <w:r w:rsidRPr="0010647E">
              <w:rPr>
                <w:b/>
                <w:bCs/>
              </w:rPr>
              <w:t>Project Data</w:t>
            </w:r>
          </w:p>
        </w:tc>
        <w:tc>
          <w:tcPr>
            <w:tcW w:w="2593" w:type="dxa"/>
          </w:tcPr>
          <w:p w14:paraId="788C3542" w14:textId="2358117B" w:rsidR="00577B97" w:rsidRDefault="008315B0" w:rsidP="00577B97">
            <w:r>
              <w:t>Projects in Pipeline</w:t>
            </w:r>
          </w:p>
        </w:tc>
        <w:tc>
          <w:tcPr>
            <w:tcW w:w="2813" w:type="dxa"/>
          </w:tcPr>
          <w:p w14:paraId="35E425A1" w14:textId="00CAD700" w:rsidR="00577B97" w:rsidRDefault="008315B0" w:rsidP="00577B97">
            <w:r>
              <w:t>Each stage of pipeline</w:t>
            </w:r>
          </w:p>
        </w:tc>
        <w:tc>
          <w:tcPr>
            <w:tcW w:w="2166" w:type="dxa"/>
          </w:tcPr>
          <w:p w14:paraId="3DC96443" w14:textId="4A8FFAEB" w:rsidR="00577B97" w:rsidRDefault="00577B97" w:rsidP="00577B97">
            <w:r w:rsidRPr="00A94172">
              <w:t>Monthly, Annual</w:t>
            </w:r>
          </w:p>
        </w:tc>
      </w:tr>
      <w:tr w:rsidR="00577B97" w14:paraId="418E2991" w14:textId="54B3C838" w:rsidTr="00FB0C83">
        <w:tc>
          <w:tcPr>
            <w:tcW w:w="1778" w:type="dxa"/>
            <w:vMerge/>
            <w:shd w:val="clear" w:color="auto" w:fill="F2F2F2" w:themeFill="background1" w:themeFillShade="F2"/>
          </w:tcPr>
          <w:p w14:paraId="6D39EF92" w14:textId="77777777" w:rsidR="00577B97" w:rsidRDefault="00577B97" w:rsidP="00577B97"/>
        </w:tc>
        <w:tc>
          <w:tcPr>
            <w:tcW w:w="2593" w:type="dxa"/>
          </w:tcPr>
          <w:p w14:paraId="62A8949F" w14:textId="10C3ECAB" w:rsidR="00577B97" w:rsidRDefault="00577B97" w:rsidP="00577B97">
            <w:r>
              <w:t>Project Locations</w:t>
            </w:r>
          </w:p>
        </w:tc>
        <w:tc>
          <w:tcPr>
            <w:tcW w:w="2813" w:type="dxa"/>
          </w:tcPr>
          <w:p w14:paraId="785A76D8" w14:textId="20411F31" w:rsidR="00577B97" w:rsidRDefault="00577B97" w:rsidP="00577B97">
            <w:r>
              <w:t xml:space="preserve">Physical </w:t>
            </w:r>
            <w:r w:rsidR="008315B0">
              <w:t>a</w:t>
            </w:r>
            <w:r>
              <w:t>ddress</w:t>
            </w:r>
          </w:p>
        </w:tc>
        <w:tc>
          <w:tcPr>
            <w:tcW w:w="2166" w:type="dxa"/>
          </w:tcPr>
          <w:p w14:paraId="1014EAC2" w14:textId="3730655A" w:rsidR="00577B97" w:rsidRDefault="00577B97" w:rsidP="00577B97">
            <w:r w:rsidRPr="00A94172">
              <w:t>Monthly, Annual</w:t>
            </w:r>
          </w:p>
        </w:tc>
      </w:tr>
      <w:tr w:rsidR="00577B97" w14:paraId="45107816" w14:textId="77777777" w:rsidTr="00FB0C83">
        <w:tc>
          <w:tcPr>
            <w:tcW w:w="1778" w:type="dxa"/>
            <w:vMerge/>
            <w:shd w:val="clear" w:color="auto" w:fill="F2F2F2" w:themeFill="background1" w:themeFillShade="F2"/>
          </w:tcPr>
          <w:p w14:paraId="22474596" w14:textId="77777777" w:rsidR="00577B97" w:rsidRDefault="00577B97" w:rsidP="00577B97"/>
        </w:tc>
        <w:tc>
          <w:tcPr>
            <w:tcW w:w="2593" w:type="dxa"/>
          </w:tcPr>
          <w:p w14:paraId="2345457D" w14:textId="2359B284" w:rsidR="00577B97" w:rsidRDefault="008315B0" w:rsidP="00577B97">
            <w:r>
              <w:t xml:space="preserve">Number of Counties Served </w:t>
            </w:r>
          </w:p>
        </w:tc>
        <w:tc>
          <w:tcPr>
            <w:tcW w:w="2813" w:type="dxa"/>
          </w:tcPr>
          <w:p w14:paraId="33879684" w14:textId="78191102" w:rsidR="00577B97" w:rsidRDefault="008315B0" w:rsidP="00577B97">
            <w:r>
              <w:t>Project pipeline</w:t>
            </w:r>
          </w:p>
        </w:tc>
        <w:tc>
          <w:tcPr>
            <w:tcW w:w="2166" w:type="dxa"/>
          </w:tcPr>
          <w:p w14:paraId="73A61214" w14:textId="5E29D3A8" w:rsidR="00577B97" w:rsidRPr="00A94172" w:rsidRDefault="00577B97" w:rsidP="00577B97">
            <w:r w:rsidRPr="00196607">
              <w:t>Monthly, Annual</w:t>
            </w:r>
          </w:p>
        </w:tc>
      </w:tr>
      <w:tr w:rsidR="008315B0" w14:paraId="0B7999B2" w14:textId="30568EE3" w:rsidTr="00FB0C83">
        <w:tc>
          <w:tcPr>
            <w:tcW w:w="1778" w:type="dxa"/>
            <w:vMerge/>
            <w:shd w:val="clear" w:color="auto" w:fill="F2F2F2" w:themeFill="background1" w:themeFillShade="F2"/>
          </w:tcPr>
          <w:p w14:paraId="45DA200F" w14:textId="77777777" w:rsidR="008315B0" w:rsidRDefault="008315B0" w:rsidP="008315B0"/>
        </w:tc>
        <w:tc>
          <w:tcPr>
            <w:tcW w:w="2593" w:type="dxa"/>
          </w:tcPr>
          <w:p w14:paraId="5C0CB6BD" w14:textId="4F0D2DD8" w:rsidR="008315B0" w:rsidRDefault="008315B0" w:rsidP="008315B0">
            <w:r>
              <w:t>Project Classification—DAC</w:t>
            </w:r>
          </w:p>
        </w:tc>
        <w:tc>
          <w:tcPr>
            <w:tcW w:w="2813" w:type="dxa"/>
          </w:tcPr>
          <w:p w14:paraId="6ECB61F3" w14:textId="004418F6" w:rsidR="008315B0" w:rsidRDefault="008315B0" w:rsidP="008315B0">
            <w:r w:rsidRPr="00334C70">
              <w:t>Per project/program total</w:t>
            </w:r>
          </w:p>
        </w:tc>
        <w:tc>
          <w:tcPr>
            <w:tcW w:w="2166" w:type="dxa"/>
          </w:tcPr>
          <w:p w14:paraId="03B47595" w14:textId="4582D5E6" w:rsidR="008315B0" w:rsidRDefault="008315B0" w:rsidP="008315B0">
            <w:r w:rsidRPr="00A94172">
              <w:t>Monthly, Annual</w:t>
            </w:r>
          </w:p>
        </w:tc>
      </w:tr>
      <w:tr w:rsidR="008315B0" w14:paraId="44378E32" w14:textId="3D0F83CF" w:rsidTr="00FB0C83">
        <w:tc>
          <w:tcPr>
            <w:tcW w:w="1778" w:type="dxa"/>
            <w:vMerge/>
            <w:shd w:val="clear" w:color="auto" w:fill="F2F2F2" w:themeFill="background1" w:themeFillShade="F2"/>
          </w:tcPr>
          <w:p w14:paraId="788E8A87" w14:textId="77777777" w:rsidR="008315B0" w:rsidRDefault="008315B0" w:rsidP="008315B0"/>
        </w:tc>
        <w:tc>
          <w:tcPr>
            <w:tcW w:w="2593" w:type="dxa"/>
          </w:tcPr>
          <w:p w14:paraId="0F6566C4" w14:textId="7DDBF952" w:rsidR="008315B0" w:rsidRDefault="008315B0" w:rsidP="008315B0">
            <w:r>
              <w:t>Project Classification—HTR</w:t>
            </w:r>
          </w:p>
        </w:tc>
        <w:tc>
          <w:tcPr>
            <w:tcW w:w="2813" w:type="dxa"/>
          </w:tcPr>
          <w:p w14:paraId="40241B49" w14:textId="39C90323" w:rsidR="008315B0" w:rsidRDefault="008315B0" w:rsidP="008315B0">
            <w:r w:rsidRPr="00334C70">
              <w:t>Per project/program total</w:t>
            </w:r>
          </w:p>
        </w:tc>
        <w:tc>
          <w:tcPr>
            <w:tcW w:w="2166" w:type="dxa"/>
          </w:tcPr>
          <w:p w14:paraId="17407C43" w14:textId="4754C533" w:rsidR="008315B0" w:rsidRDefault="008315B0" w:rsidP="008315B0">
            <w:r w:rsidRPr="00A94172">
              <w:t>Monthly, Annual</w:t>
            </w:r>
          </w:p>
        </w:tc>
      </w:tr>
      <w:tr w:rsidR="00577B97" w14:paraId="092D2631" w14:textId="1FEBC493" w:rsidTr="00FB0C83">
        <w:tc>
          <w:tcPr>
            <w:tcW w:w="1778" w:type="dxa"/>
            <w:vMerge/>
            <w:shd w:val="clear" w:color="auto" w:fill="F2F2F2" w:themeFill="background1" w:themeFillShade="F2"/>
          </w:tcPr>
          <w:p w14:paraId="66B4FBC1" w14:textId="77777777" w:rsidR="00577B97" w:rsidRDefault="00577B97" w:rsidP="00577B97"/>
        </w:tc>
        <w:tc>
          <w:tcPr>
            <w:tcW w:w="2593" w:type="dxa"/>
          </w:tcPr>
          <w:p w14:paraId="482AF7E0" w14:textId="078F5EDC" w:rsidR="00577B97" w:rsidRDefault="00577B97" w:rsidP="00577B97">
            <w:r>
              <w:t>Site Information</w:t>
            </w:r>
          </w:p>
        </w:tc>
        <w:tc>
          <w:tcPr>
            <w:tcW w:w="2813" w:type="dxa"/>
          </w:tcPr>
          <w:p w14:paraId="33742145" w14:textId="36B7F08C" w:rsidR="00577B97" w:rsidRDefault="00577B97" w:rsidP="00577B97">
            <w:r>
              <w:t>Number of Units Served</w:t>
            </w:r>
          </w:p>
        </w:tc>
        <w:tc>
          <w:tcPr>
            <w:tcW w:w="2166" w:type="dxa"/>
          </w:tcPr>
          <w:p w14:paraId="32E0F1A7" w14:textId="1A1E1DE8" w:rsidR="00577B97" w:rsidRDefault="00577B97" w:rsidP="00577B97">
            <w:r w:rsidRPr="00A94172">
              <w:t>Monthly, Annual</w:t>
            </w:r>
          </w:p>
        </w:tc>
      </w:tr>
      <w:tr w:rsidR="00577B97" w14:paraId="582C3EFB" w14:textId="7AA35A9F" w:rsidTr="00FB0C83">
        <w:tc>
          <w:tcPr>
            <w:tcW w:w="1778" w:type="dxa"/>
            <w:vMerge/>
            <w:shd w:val="clear" w:color="auto" w:fill="F2F2F2" w:themeFill="background1" w:themeFillShade="F2"/>
          </w:tcPr>
          <w:p w14:paraId="2165BE61" w14:textId="77777777" w:rsidR="00577B97" w:rsidRDefault="00577B97" w:rsidP="00577B97"/>
        </w:tc>
        <w:tc>
          <w:tcPr>
            <w:tcW w:w="2593" w:type="dxa"/>
          </w:tcPr>
          <w:p w14:paraId="574562A2" w14:textId="79AC1A0B" w:rsidR="00577B97" w:rsidRDefault="00577B97" w:rsidP="00577B97">
            <w:r>
              <w:t>Site Information</w:t>
            </w:r>
          </w:p>
        </w:tc>
        <w:tc>
          <w:tcPr>
            <w:tcW w:w="2813" w:type="dxa"/>
          </w:tcPr>
          <w:p w14:paraId="1BE5C110" w14:textId="7E1336E5" w:rsidR="00577B97" w:rsidRDefault="00577B97" w:rsidP="00577B97">
            <w:r>
              <w:t>Age of building(s)</w:t>
            </w:r>
          </w:p>
        </w:tc>
        <w:tc>
          <w:tcPr>
            <w:tcW w:w="2166" w:type="dxa"/>
          </w:tcPr>
          <w:p w14:paraId="67D8867D" w14:textId="106E01BC" w:rsidR="00577B97" w:rsidRDefault="00577B97" w:rsidP="00577B97">
            <w:r w:rsidRPr="00A94172">
              <w:t>Monthly, Annual</w:t>
            </w:r>
          </w:p>
        </w:tc>
      </w:tr>
      <w:tr w:rsidR="00577B97" w14:paraId="0A8934E2" w14:textId="78AC45A5" w:rsidTr="00FB0C83">
        <w:tc>
          <w:tcPr>
            <w:tcW w:w="1778" w:type="dxa"/>
            <w:vMerge/>
            <w:shd w:val="clear" w:color="auto" w:fill="F2F2F2" w:themeFill="background1" w:themeFillShade="F2"/>
          </w:tcPr>
          <w:p w14:paraId="324F06B5" w14:textId="77777777" w:rsidR="00577B97" w:rsidRDefault="00577B97" w:rsidP="00577B97"/>
        </w:tc>
        <w:tc>
          <w:tcPr>
            <w:tcW w:w="2593" w:type="dxa"/>
          </w:tcPr>
          <w:p w14:paraId="1CC114A3" w14:textId="1F679938" w:rsidR="00577B97" w:rsidRDefault="00577B97" w:rsidP="00577B97">
            <w:r>
              <w:t>Site Information</w:t>
            </w:r>
          </w:p>
        </w:tc>
        <w:tc>
          <w:tcPr>
            <w:tcW w:w="2813" w:type="dxa"/>
          </w:tcPr>
          <w:p w14:paraId="3641849C" w14:textId="28E9220C" w:rsidR="00577B97" w:rsidRDefault="00577B97" w:rsidP="00577B97">
            <w:r>
              <w:t>Common Area Sq. Ft.</w:t>
            </w:r>
          </w:p>
        </w:tc>
        <w:tc>
          <w:tcPr>
            <w:tcW w:w="2166" w:type="dxa"/>
          </w:tcPr>
          <w:p w14:paraId="03F8BBCA" w14:textId="67454277" w:rsidR="00577B97" w:rsidRDefault="00577B97" w:rsidP="00577B97">
            <w:r w:rsidRPr="00A94172">
              <w:t>Monthly, Annual</w:t>
            </w:r>
          </w:p>
        </w:tc>
      </w:tr>
      <w:tr w:rsidR="00577B97" w14:paraId="17630038" w14:textId="7848D6C6" w:rsidTr="00FB0C83">
        <w:tc>
          <w:tcPr>
            <w:tcW w:w="1778" w:type="dxa"/>
            <w:vMerge/>
            <w:shd w:val="clear" w:color="auto" w:fill="F2F2F2" w:themeFill="background1" w:themeFillShade="F2"/>
          </w:tcPr>
          <w:p w14:paraId="0B9A5482" w14:textId="77777777" w:rsidR="00577B97" w:rsidRDefault="00577B97" w:rsidP="00577B97"/>
        </w:tc>
        <w:tc>
          <w:tcPr>
            <w:tcW w:w="2593" w:type="dxa"/>
          </w:tcPr>
          <w:p w14:paraId="3AA8AE95" w14:textId="6E664640" w:rsidR="00577B97" w:rsidRDefault="00577B97" w:rsidP="00577B97">
            <w:r>
              <w:t>Site Information</w:t>
            </w:r>
          </w:p>
        </w:tc>
        <w:tc>
          <w:tcPr>
            <w:tcW w:w="2813" w:type="dxa"/>
          </w:tcPr>
          <w:p w14:paraId="743E5C2C" w14:textId="1454D58F" w:rsidR="00577B97" w:rsidRDefault="00577B97" w:rsidP="00577B97">
            <w:r>
              <w:t xml:space="preserve">Tenant Unit Sq. Ft. </w:t>
            </w:r>
          </w:p>
        </w:tc>
        <w:tc>
          <w:tcPr>
            <w:tcW w:w="2166" w:type="dxa"/>
          </w:tcPr>
          <w:p w14:paraId="1D645215" w14:textId="6713BFC5" w:rsidR="00577B97" w:rsidRDefault="00577B97" w:rsidP="00577B97">
            <w:r w:rsidRPr="00A94172">
              <w:t>Monthly, Annual</w:t>
            </w:r>
          </w:p>
        </w:tc>
      </w:tr>
      <w:tr w:rsidR="00577B97" w14:paraId="0C9A6D9B" w14:textId="2CADB5B0" w:rsidTr="00FB0C83">
        <w:tc>
          <w:tcPr>
            <w:tcW w:w="1778" w:type="dxa"/>
            <w:vMerge/>
            <w:shd w:val="clear" w:color="auto" w:fill="F2F2F2" w:themeFill="background1" w:themeFillShade="F2"/>
          </w:tcPr>
          <w:p w14:paraId="1B73102D" w14:textId="77777777" w:rsidR="00577B97" w:rsidRDefault="00577B97" w:rsidP="00577B97"/>
        </w:tc>
        <w:tc>
          <w:tcPr>
            <w:tcW w:w="2593" w:type="dxa"/>
          </w:tcPr>
          <w:p w14:paraId="28403FBA" w14:textId="69EF19C1" w:rsidR="00577B97" w:rsidRDefault="00577B97" w:rsidP="00577B97">
            <w:r>
              <w:t>Site Information</w:t>
            </w:r>
          </w:p>
        </w:tc>
        <w:tc>
          <w:tcPr>
            <w:tcW w:w="2813" w:type="dxa"/>
          </w:tcPr>
          <w:p w14:paraId="43D990F2" w14:textId="69148209" w:rsidR="00577B97" w:rsidRDefault="00577B97" w:rsidP="00577B97">
            <w:r>
              <w:t>Ownership</w:t>
            </w:r>
          </w:p>
        </w:tc>
        <w:tc>
          <w:tcPr>
            <w:tcW w:w="2166" w:type="dxa"/>
          </w:tcPr>
          <w:p w14:paraId="1F1FF469" w14:textId="7BB0E206" w:rsidR="00577B97" w:rsidRDefault="00577B97" w:rsidP="00577B97">
            <w:r w:rsidRPr="00A94172">
              <w:t>Monthly, Annual</w:t>
            </w:r>
          </w:p>
        </w:tc>
      </w:tr>
      <w:tr w:rsidR="00577B97" w14:paraId="4718063B" w14:textId="27F020F6" w:rsidTr="00FB0C83">
        <w:tc>
          <w:tcPr>
            <w:tcW w:w="1778" w:type="dxa"/>
            <w:vMerge/>
            <w:shd w:val="clear" w:color="auto" w:fill="F2F2F2" w:themeFill="background1" w:themeFillShade="F2"/>
          </w:tcPr>
          <w:p w14:paraId="6E061E07" w14:textId="77777777" w:rsidR="00577B97" w:rsidRDefault="00577B97" w:rsidP="00577B97"/>
        </w:tc>
        <w:tc>
          <w:tcPr>
            <w:tcW w:w="2593" w:type="dxa"/>
          </w:tcPr>
          <w:p w14:paraId="7BBADF56" w14:textId="5E4B391A" w:rsidR="00577B97" w:rsidRDefault="00577B97" w:rsidP="00577B97">
            <w:r>
              <w:t>Customer Information</w:t>
            </w:r>
          </w:p>
        </w:tc>
        <w:tc>
          <w:tcPr>
            <w:tcW w:w="2813" w:type="dxa"/>
          </w:tcPr>
          <w:p w14:paraId="4B16DC8E" w14:textId="11959168" w:rsidR="00577B97" w:rsidRDefault="00577B97" w:rsidP="00577B97">
            <w:r>
              <w:t>D</w:t>
            </w:r>
            <w:r w:rsidRPr="0083098D">
              <w:t>emographics, as reasonably available, of tenants and ownership</w:t>
            </w:r>
          </w:p>
        </w:tc>
        <w:tc>
          <w:tcPr>
            <w:tcW w:w="2166" w:type="dxa"/>
          </w:tcPr>
          <w:p w14:paraId="422D356A" w14:textId="4BDBEAE1" w:rsidR="00577B97" w:rsidRDefault="00577B97" w:rsidP="00577B97">
            <w:r w:rsidRPr="00A94172">
              <w:t>Monthly, Annual</w:t>
            </w:r>
          </w:p>
        </w:tc>
      </w:tr>
    </w:tbl>
    <w:p w14:paraId="7B2AC9BC" w14:textId="77777777" w:rsidR="00BF4A07" w:rsidRDefault="00BF4A07" w:rsidP="00125B3F"/>
    <w:p w14:paraId="0FEEF4FA" w14:textId="28BF55E9" w:rsidR="00AE4ADC" w:rsidRDefault="00AE4ADC" w:rsidP="00284CC0">
      <w:pPr>
        <w:pStyle w:val="Heading2"/>
      </w:pPr>
      <w:bookmarkStart w:id="51" w:name="_Toc173407341"/>
      <w:r>
        <w:t>Unique Value Metrics</w:t>
      </w:r>
      <w:bookmarkEnd w:id="51"/>
    </w:p>
    <w:p w14:paraId="3B02C073" w14:textId="232D58CB" w:rsidR="00AE4ADC" w:rsidRPr="004E599D" w:rsidRDefault="005D1337" w:rsidP="00A3766D">
      <w:pPr>
        <w:spacing w:after="120"/>
      </w:pPr>
      <w:r>
        <w:t>Unique Value Metrics</w:t>
      </w:r>
      <w:r w:rsidR="008D50E9">
        <w:t xml:space="preserve"> </w:t>
      </w:r>
      <w:r w:rsidR="00A52A95">
        <w:t xml:space="preserve">(UVMs) </w:t>
      </w:r>
      <w:r w:rsidR="008D50E9">
        <w:t>are the quantifiable measurements of activities that demonstrate SoCalREN’s impacts. Each metric speaks directly to the value that SoCalREN provides to the State and the communities it serves.</w:t>
      </w:r>
      <w:r>
        <w:t xml:space="preserve"> The SoCalREN HTR MF DI Program </w:t>
      </w:r>
      <w:r w:rsidR="007B7AD5">
        <w:t xml:space="preserve">provides </w:t>
      </w:r>
      <w:r w:rsidR="002D7E42">
        <w:t xml:space="preserve">contributions to </w:t>
      </w:r>
      <w:r w:rsidR="00AF176A">
        <w:t>the following SoCalREN Residential Sector UVM</w:t>
      </w:r>
      <w:r w:rsidR="00E50DE3">
        <w:t>s:</w:t>
      </w:r>
    </w:p>
    <w:p w14:paraId="224C0DD9" w14:textId="652F84D8" w:rsidR="00E50DE3" w:rsidRPr="004E599D" w:rsidRDefault="006B7C02" w:rsidP="00F62010">
      <w:pPr>
        <w:pStyle w:val="ListParagraph"/>
        <w:numPr>
          <w:ilvl w:val="0"/>
          <w:numId w:val="12"/>
        </w:numPr>
      </w:pPr>
      <w:r w:rsidRPr="004E599D">
        <w:t>Disadvantaged multifamily properties served</w:t>
      </w:r>
    </w:p>
    <w:p w14:paraId="38446E93" w14:textId="209EC8C5" w:rsidR="006B7C02" w:rsidRPr="004E599D" w:rsidRDefault="00132C5D" w:rsidP="00F62010">
      <w:pPr>
        <w:pStyle w:val="ListParagraph"/>
        <w:numPr>
          <w:ilvl w:val="0"/>
          <w:numId w:val="12"/>
        </w:numPr>
      </w:pPr>
      <w:r w:rsidRPr="004E599D">
        <w:t>Tenant units served</w:t>
      </w:r>
    </w:p>
    <w:p w14:paraId="4CACAEFA" w14:textId="4CAF3543" w:rsidR="00132C5D" w:rsidRPr="004E599D" w:rsidRDefault="004E599D" w:rsidP="00F62010">
      <w:pPr>
        <w:pStyle w:val="ListParagraph"/>
        <w:numPr>
          <w:ilvl w:val="0"/>
          <w:numId w:val="12"/>
        </w:numPr>
      </w:pPr>
      <w:r w:rsidRPr="004E599D">
        <w:t>Total project costs in DAC</w:t>
      </w:r>
    </w:p>
    <w:p w14:paraId="71EE52E4" w14:textId="76DF4B70" w:rsidR="004E599D" w:rsidRPr="004E599D" w:rsidRDefault="004E599D" w:rsidP="0055727F">
      <w:pPr>
        <w:pStyle w:val="ListParagraph"/>
        <w:numPr>
          <w:ilvl w:val="0"/>
          <w:numId w:val="12"/>
        </w:numPr>
        <w:spacing w:after="240"/>
      </w:pPr>
      <w:r w:rsidRPr="004E599D">
        <w:t>Total project costs in Rural/HTR</w:t>
      </w:r>
    </w:p>
    <w:p w14:paraId="2E4E8C79" w14:textId="20AC6016" w:rsidR="006D2E7E" w:rsidRPr="005D36E2" w:rsidRDefault="006D2E7E" w:rsidP="00284CC0">
      <w:pPr>
        <w:pStyle w:val="Heading2"/>
      </w:pPr>
      <w:bookmarkStart w:id="52" w:name="_Toc173407342"/>
      <w:r w:rsidRPr="005D36E2">
        <w:lastRenderedPageBreak/>
        <w:t>Quantitative Program Targets</w:t>
      </w:r>
      <w:bookmarkEnd w:id="52"/>
    </w:p>
    <w:p w14:paraId="0565A74F" w14:textId="77777777" w:rsidR="009D75FA" w:rsidRPr="003E2AB9" w:rsidRDefault="009D75FA" w:rsidP="009D75FA">
      <w:pPr>
        <w:pStyle w:val="BodyText"/>
        <w:ind w:left="0"/>
      </w:pPr>
      <w:r w:rsidRPr="003E2AB9">
        <w:t>In addition to the program savings goals, the following goals have been established for 2024:</w:t>
      </w:r>
    </w:p>
    <w:p w14:paraId="27D04224" w14:textId="7047074B" w:rsidR="009D75FA" w:rsidRPr="003E2AB9" w:rsidRDefault="009D75FA" w:rsidP="00F62010">
      <w:pPr>
        <w:pStyle w:val="ListParagraph"/>
        <w:numPr>
          <w:ilvl w:val="0"/>
          <w:numId w:val="12"/>
        </w:numPr>
      </w:pPr>
      <w:r>
        <w:t>Serve 160 multifamily buildings in DAC ZIP codes or meeting HTR criteria</w:t>
      </w:r>
      <w:r w:rsidR="00A52A95">
        <w:t>.</w:t>
      </w:r>
      <w:r>
        <w:t xml:space="preserve"> </w:t>
      </w:r>
    </w:p>
    <w:p w14:paraId="7B861AA5" w14:textId="596C6BF4" w:rsidR="009D75FA" w:rsidRPr="003E2AB9" w:rsidRDefault="009D75FA" w:rsidP="00F62010">
      <w:pPr>
        <w:pStyle w:val="ListParagraph"/>
        <w:numPr>
          <w:ilvl w:val="0"/>
          <w:numId w:val="12"/>
        </w:numPr>
      </w:pPr>
      <w:r>
        <w:t>Provide bill savings measures to 2,400 tenant units</w:t>
      </w:r>
      <w:r w:rsidR="00A52A95">
        <w:t>.</w:t>
      </w:r>
    </w:p>
    <w:p w14:paraId="2D0D1F19" w14:textId="33ACB519" w:rsidR="00437F71" w:rsidRPr="005D36E2" w:rsidRDefault="009D75FA" w:rsidP="0055727F">
      <w:pPr>
        <w:pStyle w:val="ListParagraph"/>
        <w:numPr>
          <w:ilvl w:val="0"/>
          <w:numId w:val="12"/>
        </w:numPr>
        <w:spacing w:after="240"/>
      </w:pPr>
      <w:r>
        <w:t>Establish a team of local Direct Install Contractors to serve a diverse geographic region</w:t>
      </w:r>
      <w:r w:rsidR="00A52A95">
        <w:t>.</w:t>
      </w:r>
    </w:p>
    <w:p w14:paraId="0A485603" w14:textId="6391236B" w:rsidR="00087F27" w:rsidRDefault="00087F27" w:rsidP="0055727F">
      <w:pPr>
        <w:pStyle w:val="Heading2"/>
      </w:pPr>
      <w:bookmarkStart w:id="53" w:name="_Toc173407343"/>
      <w:r>
        <w:t>To-Code Savings Claims</w:t>
      </w:r>
      <w:bookmarkEnd w:id="53"/>
    </w:p>
    <w:p w14:paraId="5CB28CCC" w14:textId="4ADF4C9E" w:rsidR="00BA5C87" w:rsidRPr="00BA5C87" w:rsidRDefault="00BA5C87" w:rsidP="00A52A95">
      <w:pPr>
        <w:keepNext/>
        <w:spacing w:after="120"/>
      </w:pPr>
      <w:r>
        <w:t xml:space="preserve">The Program includes measures that are above code except for lighting. Lighting recommendations typically include replacing existing incandescent or CFLs with LED fixtures which are mandated by national lighting standards. </w:t>
      </w:r>
    </w:p>
    <w:p w14:paraId="42D0B8BE" w14:textId="6CF0D7E4" w:rsidR="00BA5C87" w:rsidRPr="00BA5C87" w:rsidRDefault="00BA5C87" w:rsidP="00A52A95">
      <w:pPr>
        <w:pStyle w:val="ListParagraph"/>
        <w:numPr>
          <w:ilvl w:val="0"/>
          <w:numId w:val="26"/>
        </w:numPr>
        <w:spacing w:after="40"/>
      </w:pPr>
      <w:r w:rsidRPr="00BA5C87">
        <w:rPr>
          <w:b/>
          <w:bCs/>
        </w:rPr>
        <w:t>Where to‐code savings potential resides:</w:t>
      </w:r>
      <w:r w:rsidRPr="00BA5C87">
        <w:t xml:space="preserve"> Small, independently owned multifamily buildings represent a significant opportunity for to-code savings because these buildings have not been well served by IOU EE programs in the past. Additionally, this subsegment </w:t>
      </w:r>
      <w:r w:rsidR="004F2691" w:rsidRPr="00BA5C87">
        <w:t>faces</w:t>
      </w:r>
      <w:r w:rsidRPr="00BA5C87">
        <w:t xml:space="preserve"> several of the most difficult barriers to overcome (information, first cost, and split incentive).</w:t>
      </w:r>
    </w:p>
    <w:p w14:paraId="5C4C3234" w14:textId="33316022" w:rsidR="00BA5C87" w:rsidRPr="00BA5C87" w:rsidRDefault="00BA5C87" w:rsidP="00A52A95">
      <w:pPr>
        <w:pStyle w:val="ListParagraph"/>
        <w:numPr>
          <w:ilvl w:val="0"/>
          <w:numId w:val="26"/>
        </w:numPr>
        <w:spacing w:after="40"/>
      </w:pPr>
      <w:r w:rsidRPr="67C763DF">
        <w:rPr>
          <w:b/>
          <w:bCs/>
        </w:rPr>
        <w:t xml:space="preserve">Equipment types, building types, geographical locations, and/or customer segments promising cost‐effective to‐code savings: </w:t>
      </w:r>
      <w:r>
        <w:t>The most common opportunity for to</w:t>
      </w:r>
      <w:r w:rsidR="00FA352B">
        <w:t>-</w:t>
      </w:r>
      <w:r>
        <w:t xml:space="preserve">code savings will be lighting, where many units will still have incandescent and CFL lamps and fixtures. Through its simple and proactive </w:t>
      </w:r>
      <w:r w:rsidR="00A52A95">
        <w:t>DI</w:t>
      </w:r>
      <w:r>
        <w:t xml:space="preserve"> delivery </w:t>
      </w:r>
      <w:r w:rsidR="00FA352B">
        <w:t>model</w:t>
      </w:r>
      <w:r>
        <w:t>, the Program will quickly and cost-effectively implement accelerated replacement of these and other measures to maximize energy savings for tenant</w:t>
      </w:r>
      <w:r w:rsidR="00FA352B">
        <w:t>s</w:t>
      </w:r>
      <w:r>
        <w:t xml:space="preserve"> and owner</w:t>
      </w:r>
      <w:r w:rsidR="00FA352B">
        <w:t>s</w:t>
      </w:r>
      <w:r>
        <w:t>.</w:t>
      </w:r>
    </w:p>
    <w:p w14:paraId="722EE548" w14:textId="3E49233B" w:rsidR="00BA5C87" w:rsidRPr="00BA5C87" w:rsidRDefault="00BA5C87" w:rsidP="00A52A95">
      <w:pPr>
        <w:pStyle w:val="ListParagraph"/>
        <w:numPr>
          <w:ilvl w:val="0"/>
          <w:numId w:val="26"/>
        </w:numPr>
        <w:spacing w:after="40"/>
      </w:pPr>
      <w:r w:rsidRPr="67C763DF">
        <w:rPr>
          <w:b/>
          <w:bCs/>
        </w:rPr>
        <w:t>Barriers preventing code‐compliant equipment replacements:</w:t>
      </w:r>
      <w:r>
        <w:t xml:space="preserve"> Because of the traditional barriers at play in the small apartment sector, owners will not spend the additional capital to replace failed equipment with costlier above</w:t>
      </w:r>
      <w:r w:rsidR="00FA352B">
        <w:t>-</w:t>
      </w:r>
      <w:r>
        <w:t xml:space="preserve">code equipment. For example, if there are fixtures that use T12 lamps, the owner will continue to buy replacement T12 lamps, rather than replace the entire fixture with T8 or TLED fixtures. Tenants will not upgrade their units because of the extra cost, and the fact that they don’t own the property, and may not be planning to live in the unit long enough to realize the full benefits of above code EE. </w:t>
      </w:r>
    </w:p>
    <w:p w14:paraId="0C1EE6AF" w14:textId="673A7D78" w:rsidR="00BA5C87" w:rsidRPr="00BA5C87" w:rsidRDefault="00BA5C87" w:rsidP="00A52A95">
      <w:pPr>
        <w:pStyle w:val="ListParagraph"/>
        <w:numPr>
          <w:ilvl w:val="0"/>
          <w:numId w:val="26"/>
        </w:numPr>
        <w:spacing w:after="40"/>
      </w:pPr>
      <w:r w:rsidRPr="00BA5C87">
        <w:rPr>
          <w:b/>
          <w:bCs/>
        </w:rPr>
        <w:t>Issues preventing natural turnover:</w:t>
      </w:r>
      <w:r w:rsidRPr="00BA5C87">
        <w:t xml:space="preserve"> Natural turnover is not occurring within the small multifamily segment, mainly due to owners’ reluctance to spend any more money than </w:t>
      </w:r>
      <w:proofErr w:type="gramStart"/>
      <w:r w:rsidRPr="00BA5C87">
        <w:t>absolutely necessary</w:t>
      </w:r>
      <w:proofErr w:type="gramEnd"/>
      <w:r w:rsidRPr="00BA5C87">
        <w:t xml:space="preserve"> on maintenance and upgrade of the property. </w:t>
      </w:r>
    </w:p>
    <w:p w14:paraId="18846DDE" w14:textId="274F85D5" w:rsidR="00BA5C87" w:rsidRPr="00BA5C87" w:rsidRDefault="00BA5C87" w:rsidP="00F62010">
      <w:pPr>
        <w:pStyle w:val="ListParagraph"/>
        <w:numPr>
          <w:ilvl w:val="0"/>
          <w:numId w:val="26"/>
        </w:numPr>
        <w:rPr>
          <w:i/>
        </w:rPr>
      </w:pPr>
      <w:r w:rsidRPr="00BA5C87">
        <w:rPr>
          <w:b/>
          <w:bCs/>
        </w:rPr>
        <w:t>Program interventions to accelerate equipment turnover:</w:t>
      </w:r>
      <w:r w:rsidRPr="00BA5C87">
        <w:t xml:space="preserve">  The direct </w:t>
      </w:r>
      <w:proofErr w:type="gramStart"/>
      <w:r w:rsidRPr="00BA5C87">
        <w:t>install</w:t>
      </w:r>
      <w:proofErr w:type="gramEnd"/>
      <w:r w:rsidRPr="00BA5C87">
        <w:t xml:space="preserve"> delivery method ensures immediate replacement of existing inefficient equipment without the need for owner or tenant outlay of cash. </w:t>
      </w:r>
    </w:p>
    <w:p w14:paraId="30F6A792" w14:textId="60E9F427" w:rsidR="00474CAE" w:rsidRDefault="00474CAE" w:rsidP="00284CC0">
      <w:pPr>
        <w:pStyle w:val="Heading2"/>
      </w:pPr>
      <w:bookmarkStart w:id="54" w:name="_Toc173407344"/>
      <w:r>
        <w:t>Pilots</w:t>
      </w:r>
      <w:bookmarkEnd w:id="54"/>
      <w:r>
        <w:t xml:space="preserve"> </w:t>
      </w:r>
    </w:p>
    <w:p w14:paraId="7C2AA1F3" w14:textId="1B6EF49C" w:rsidR="00136864" w:rsidRDefault="001063AC" w:rsidP="001A2AF8">
      <w:pPr>
        <w:pStyle w:val="BodyText"/>
        <w:ind w:left="0"/>
      </w:pPr>
      <w:r>
        <w:t xml:space="preserve">The Program will develop up to three SoCalREN Multifamily Energy Showcase projects that will be used as examples of best practices and new technologies applicable to smaller multifamily buildings. Sites will be selected based on </w:t>
      </w:r>
      <w:proofErr w:type="gramStart"/>
      <w:r>
        <w:t>a number of</w:t>
      </w:r>
      <w:proofErr w:type="gramEnd"/>
      <w:r>
        <w:t xml:space="preserve"> factors, such as owner’s interest and willingness to be an “ambassador” to other owners of small apartments, suitability of the site to be representative of a majority of apartment types</w:t>
      </w:r>
      <w:r w:rsidR="00FA352B">
        <w:t>,</w:t>
      </w:r>
      <w:r>
        <w:t xml:space="preserve"> and climate zones. The measures installed will go beyond the standard list </w:t>
      </w:r>
      <w:r w:rsidR="004F2691">
        <w:t>and</w:t>
      </w:r>
      <w:r>
        <w:t xml:space="preserve"> may include electrification EE measures such as heat pump HVAC and water heating systems, high efficiency gas appliances, advanced controls to enable demand response, insulation, window films, and LED lighting. </w:t>
      </w:r>
    </w:p>
    <w:p w14:paraId="12F213B5" w14:textId="77777777" w:rsidR="00F029A4" w:rsidRDefault="00F029A4" w:rsidP="00284CC0">
      <w:pPr>
        <w:pStyle w:val="Heading2"/>
      </w:pPr>
      <w:bookmarkStart w:id="55" w:name="_Toc173407345"/>
      <w:r>
        <w:lastRenderedPageBreak/>
        <w:t>Program Logic Model</w:t>
      </w:r>
      <w:bookmarkEnd w:id="55"/>
    </w:p>
    <w:p w14:paraId="263F4362" w14:textId="4B99BF17" w:rsidR="002A2A7C" w:rsidRDefault="00136864" w:rsidP="007D61CF">
      <w:pPr>
        <w:keepNext/>
      </w:pPr>
      <w:r w:rsidRPr="00136864">
        <w:t xml:space="preserve">The Logic Model for the </w:t>
      </w:r>
      <w:r w:rsidR="001A3252" w:rsidRPr="00136864">
        <w:t xml:space="preserve">SoCalREN </w:t>
      </w:r>
      <w:r w:rsidR="001A3252">
        <w:t>Small HTR MF DI</w:t>
      </w:r>
      <w:r w:rsidR="001A3252" w:rsidRPr="00136864">
        <w:t xml:space="preserve"> </w:t>
      </w:r>
      <w:r w:rsidR="001A3252">
        <w:t xml:space="preserve">Program </w:t>
      </w:r>
      <w:r w:rsidRPr="00136864">
        <w:t xml:space="preserve">is </w:t>
      </w:r>
      <w:r w:rsidR="00BE48FE">
        <w:t xml:space="preserve">displayed </w:t>
      </w:r>
      <w:r w:rsidRPr="00136864">
        <w:t>below:</w:t>
      </w:r>
    </w:p>
    <w:p w14:paraId="5977E6A5" w14:textId="6470295B" w:rsidR="003235E5" w:rsidRPr="00F8455E" w:rsidRDefault="003235E5" w:rsidP="003235E5">
      <w:pPr>
        <w:pStyle w:val="Caption"/>
        <w:jc w:val="left"/>
        <w:rPr>
          <w:szCs w:val="24"/>
        </w:rPr>
      </w:pPr>
      <w:r w:rsidRPr="00F8455E">
        <w:rPr>
          <w:szCs w:val="24"/>
        </w:rPr>
        <w:t xml:space="preserve">Exhibit </w:t>
      </w:r>
      <w:r w:rsidRPr="00F8455E">
        <w:rPr>
          <w:szCs w:val="24"/>
        </w:rPr>
        <w:fldChar w:fldCharType="begin"/>
      </w:r>
      <w:r w:rsidRPr="00F8455E">
        <w:rPr>
          <w:szCs w:val="24"/>
        </w:rPr>
        <w:instrText xml:space="preserve"> SEQ Exhibit \* ARABIC </w:instrText>
      </w:r>
      <w:r w:rsidRPr="00F8455E">
        <w:rPr>
          <w:szCs w:val="24"/>
        </w:rPr>
        <w:fldChar w:fldCharType="separate"/>
      </w:r>
      <w:r w:rsidR="00180F39">
        <w:rPr>
          <w:noProof/>
          <w:szCs w:val="24"/>
        </w:rPr>
        <w:t>5</w:t>
      </w:r>
      <w:r w:rsidRPr="00F8455E">
        <w:rPr>
          <w:szCs w:val="24"/>
        </w:rPr>
        <w:fldChar w:fldCharType="end"/>
      </w:r>
      <w:r w:rsidRPr="00F8455E">
        <w:rPr>
          <w:szCs w:val="24"/>
        </w:rPr>
        <w:t>. Program Logic Model</w:t>
      </w:r>
    </w:p>
    <w:p w14:paraId="6408DB58" w14:textId="2C641646" w:rsidR="00437F71" w:rsidRDefault="008F7D8E" w:rsidP="00136864">
      <w:pPr>
        <w:pStyle w:val="BodyText"/>
        <w:ind w:left="0"/>
      </w:pPr>
      <w:r>
        <w:rPr>
          <w:noProof/>
        </w:rPr>
        <w:drawing>
          <wp:inline distT="0" distB="0" distL="0" distR="0" wp14:anchorId="4A10945A" wp14:editId="3C12CB0A">
            <wp:extent cx="6180212" cy="2818130"/>
            <wp:effectExtent l="0" t="0" r="0" b="1270"/>
            <wp:docPr id="13820620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589"/>
                    <a:stretch/>
                  </pic:blipFill>
                  <pic:spPr bwMode="auto">
                    <a:xfrm>
                      <a:off x="0" y="0"/>
                      <a:ext cx="6181337" cy="2818643"/>
                    </a:xfrm>
                    <a:prstGeom prst="rect">
                      <a:avLst/>
                    </a:prstGeom>
                    <a:noFill/>
                    <a:ln>
                      <a:noFill/>
                    </a:ln>
                    <a:extLst>
                      <a:ext uri="{53640926-AAD7-44D8-BBD7-CCE9431645EC}">
                        <a14:shadowObscured xmlns:a14="http://schemas.microsoft.com/office/drawing/2010/main"/>
                      </a:ext>
                    </a:extLst>
                  </pic:spPr>
                </pic:pic>
              </a:graphicData>
            </a:graphic>
          </wp:inline>
        </w:drawing>
      </w:r>
    </w:p>
    <w:p w14:paraId="0C568803" w14:textId="2F870009" w:rsidR="00136864" w:rsidRDefault="00136864" w:rsidP="00136864">
      <w:pPr>
        <w:pStyle w:val="BodyText"/>
        <w:ind w:left="0"/>
      </w:pPr>
    </w:p>
    <w:p w14:paraId="6919161C" w14:textId="565509A4" w:rsidR="00136864" w:rsidRDefault="00136864" w:rsidP="00136864">
      <w:pPr>
        <w:pStyle w:val="BodyText"/>
        <w:ind w:left="0"/>
      </w:pPr>
    </w:p>
    <w:p w14:paraId="175FB75D" w14:textId="11055FC3" w:rsidR="00136864" w:rsidRDefault="00136864" w:rsidP="00136864">
      <w:pPr>
        <w:pStyle w:val="BodyText"/>
        <w:ind w:left="0"/>
      </w:pPr>
    </w:p>
    <w:p w14:paraId="5906EB21" w14:textId="77777777" w:rsidR="00BF58CD" w:rsidRDefault="00BF58CD" w:rsidP="00136864">
      <w:pPr>
        <w:pStyle w:val="BodyText"/>
        <w:ind w:left="0"/>
        <w:sectPr w:rsidR="00BF58CD">
          <w:pgSz w:w="12240" w:h="15840"/>
          <w:pgMar w:top="1440" w:right="1440" w:bottom="1440" w:left="1440" w:header="720" w:footer="720" w:gutter="0"/>
          <w:cols w:space="720"/>
          <w:docGrid w:linePitch="360"/>
        </w:sectPr>
      </w:pPr>
    </w:p>
    <w:p w14:paraId="70419013" w14:textId="116CF478" w:rsidR="002A2A7C" w:rsidRDefault="00F029A4" w:rsidP="001D6A87">
      <w:pPr>
        <w:pStyle w:val="Heading2"/>
      </w:pPr>
      <w:bookmarkStart w:id="56" w:name="_Toc173407346"/>
      <w:r>
        <w:lastRenderedPageBreak/>
        <w:t>Process Flow Chart</w:t>
      </w:r>
      <w:bookmarkEnd w:id="56"/>
    </w:p>
    <w:p w14:paraId="1BEB6AF9" w14:textId="2FF8D27A" w:rsidR="00136864" w:rsidRDefault="00136864" w:rsidP="00136864">
      <w:r w:rsidRPr="00136864">
        <w:t xml:space="preserve">The </w:t>
      </w:r>
      <w:r>
        <w:t>Process Flow Chart</w:t>
      </w:r>
      <w:r w:rsidRPr="00136864">
        <w:t xml:space="preserve"> for the </w:t>
      </w:r>
      <w:r w:rsidR="001A3252" w:rsidRPr="00136864">
        <w:t xml:space="preserve">SoCalREN </w:t>
      </w:r>
      <w:r w:rsidR="001A3252">
        <w:t>Small HTR MF DI</w:t>
      </w:r>
      <w:r w:rsidR="001A3252" w:rsidRPr="00136864">
        <w:t xml:space="preserve"> </w:t>
      </w:r>
      <w:r w:rsidR="001A3252">
        <w:t xml:space="preserve">Program </w:t>
      </w:r>
      <w:r w:rsidRPr="00136864">
        <w:t xml:space="preserve">is </w:t>
      </w:r>
      <w:r w:rsidR="007D61CF">
        <w:t xml:space="preserve">displayed </w:t>
      </w:r>
      <w:r w:rsidRPr="00136864">
        <w:t>below:</w:t>
      </w:r>
    </w:p>
    <w:p w14:paraId="20635B45" w14:textId="532C289D" w:rsidR="007D61CF" w:rsidRDefault="007D61CF" w:rsidP="007D61CF">
      <w:pPr>
        <w:pStyle w:val="Caption"/>
        <w:jc w:val="left"/>
      </w:pPr>
      <w:r>
        <w:t xml:space="preserve">Exhibit </w:t>
      </w:r>
      <w:r>
        <w:fldChar w:fldCharType="begin"/>
      </w:r>
      <w:r>
        <w:instrText xml:space="preserve"> SEQ Exhibit \* ARABIC </w:instrText>
      </w:r>
      <w:r>
        <w:fldChar w:fldCharType="separate"/>
      </w:r>
      <w:r w:rsidR="00180F39">
        <w:rPr>
          <w:noProof/>
        </w:rPr>
        <w:t>6</w:t>
      </w:r>
      <w:r>
        <w:fldChar w:fldCharType="end"/>
      </w:r>
      <w:r>
        <w:t>. Process Flow Chart</w:t>
      </w:r>
    </w:p>
    <w:p w14:paraId="17DE5577" w14:textId="328F1D11" w:rsidR="009E75D7" w:rsidRDefault="00595277" w:rsidP="00136864">
      <w:r w:rsidRPr="00595277">
        <w:rPr>
          <w:noProof/>
        </w:rPr>
        <w:drawing>
          <wp:inline distT="0" distB="0" distL="0" distR="0" wp14:anchorId="5767776F" wp14:editId="6CE55580">
            <wp:extent cx="5943600" cy="2540000"/>
            <wp:effectExtent l="0" t="0" r="0" b="0"/>
            <wp:docPr id="385586186" name="Picture 3" descr="A diagram of a work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86186" name="Picture 3" descr="A diagram of a workflow&#10;&#10;Description automatically generated"/>
                    <pic:cNvPicPr/>
                  </pic:nvPicPr>
                  <pic:blipFill>
                    <a:blip r:embed="rId19"/>
                    <a:stretch>
                      <a:fillRect/>
                    </a:stretch>
                  </pic:blipFill>
                  <pic:spPr>
                    <a:xfrm>
                      <a:off x="0" y="0"/>
                      <a:ext cx="5943600" cy="2540000"/>
                    </a:xfrm>
                    <a:prstGeom prst="rect">
                      <a:avLst/>
                    </a:prstGeom>
                  </pic:spPr>
                </pic:pic>
              </a:graphicData>
            </a:graphic>
          </wp:inline>
        </w:drawing>
      </w:r>
    </w:p>
    <w:p w14:paraId="4F44A270" w14:textId="11C02191" w:rsidR="009E75D7" w:rsidRDefault="009E75D7" w:rsidP="00136864"/>
    <w:p w14:paraId="03236E6D" w14:textId="77777777" w:rsidR="003D0EFD" w:rsidRPr="00136864" w:rsidRDefault="003D0EFD" w:rsidP="00136864"/>
    <w:p w14:paraId="1E4124C3" w14:textId="1625EF66" w:rsidR="00437F71" w:rsidRDefault="00437F71" w:rsidP="001D6A87">
      <w:pPr>
        <w:pStyle w:val="BodyText"/>
        <w:ind w:left="0"/>
      </w:pPr>
    </w:p>
    <w:p w14:paraId="1B2F2F3D" w14:textId="77777777" w:rsidR="00757CA3" w:rsidRDefault="00757CA3" w:rsidP="001D6A87">
      <w:pPr>
        <w:pStyle w:val="BodyText"/>
        <w:ind w:left="0"/>
      </w:pPr>
    </w:p>
    <w:p w14:paraId="2253CE6C" w14:textId="77777777" w:rsidR="00BF58CD" w:rsidRDefault="00BF58CD">
      <w:pPr>
        <w:spacing w:after="160"/>
      </w:pPr>
    </w:p>
    <w:p w14:paraId="524D33DA" w14:textId="2B637A33" w:rsidR="008B73A1" w:rsidRDefault="008B73A1">
      <w:pPr>
        <w:spacing w:after="160"/>
        <w:sectPr w:rsidR="008B73A1" w:rsidSect="008E68BA">
          <w:pgSz w:w="12240" w:h="15840"/>
          <w:pgMar w:top="1440" w:right="1440" w:bottom="1440" w:left="1440" w:header="720" w:footer="720" w:gutter="0"/>
          <w:cols w:space="720"/>
          <w:docGrid w:linePitch="360"/>
        </w:sectPr>
      </w:pPr>
    </w:p>
    <w:p w14:paraId="0990FF3B" w14:textId="24D0A130" w:rsidR="007666B8" w:rsidRDefault="00F029A4" w:rsidP="00C94703">
      <w:pPr>
        <w:pStyle w:val="Heading2"/>
      </w:pPr>
      <w:bookmarkStart w:id="57" w:name="_Toc173407347"/>
      <w:r>
        <w:lastRenderedPageBreak/>
        <w:t>Diagram of Program</w:t>
      </w:r>
      <w:bookmarkEnd w:id="57"/>
    </w:p>
    <w:p w14:paraId="5C3E1CC9" w14:textId="27421DF1" w:rsidR="003D0EFD" w:rsidRDefault="003D0EFD" w:rsidP="003D0EFD">
      <w:r w:rsidRPr="00136864">
        <w:t xml:space="preserve">The </w:t>
      </w:r>
      <w:r>
        <w:t>Diagram of the</w:t>
      </w:r>
      <w:r w:rsidRPr="00136864">
        <w:t xml:space="preserve"> SoCalREN </w:t>
      </w:r>
      <w:r>
        <w:t xml:space="preserve">Small </w:t>
      </w:r>
      <w:r w:rsidR="00062C17">
        <w:t>HTR MF DI</w:t>
      </w:r>
      <w:r w:rsidRPr="00136864">
        <w:t xml:space="preserve"> </w:t>
      </w:r>
      <w:r>
        <w:t xml:space="preserve">Program </w:t>
      </w:r>
      <w:r w:rsidRPr="00136864">
        <w:t xml:space="preserve">is </w:t>
      </w:r>
      <w:r w:rsidR="007D61CF">
        <w:t xml:space="preserve">displayed </w:t>
      </w:r>
      <w:r w:rsidRPr="00136864">
        <w:t>below:</w:t>
      </w:r>
    </w:p>
    <w:p w14:paraId="70C4D916" w14:textId="3A2D1EAB" w:rsidR="00DA4388" w:rsidRPr="00DA4388" w:rsidRDefault="00DA4388" w:rsidP="00DA4388">
      <w:pPr>
        <w:pStyle w:val="Caption"/>
        <w:jc w:val="left"/>
        <w:rPr>
          <w:sz w:val="22"/>
          <w:szCs w:val="22"/>
        </w:rPr>
      </w:pPr>
      <w:r w:rsidRPr="00DA4388">
        <w:rPr>
          <w:sz w:val="22"/>
          <w:szCs w:val="22"/>
        </w:rPr>
        <w:t xml:space="preserve">Exhibit </w:t>
      </w:r>
      <w:r w:rsidRPr="00DA4388">
        <w:rPr>
          <w:sz w:val="22"/>
          <w:szCs w:val="22"/>
        </w:rPr>
        <w:fldChar w:fldCharType="begin"/>
      </w:r>
      <w:r w:rsidRPr="00DA4388">
        <w:rPr>
          <w:sz w:val="22"/>
          <w:szCs w:val="22"/>
        </w:rPr>
        <w:instrText xml:space="preserve"> SEQ Exhibit \* ARABIC </w:instrText>
      </w:r>
      <w:r w:rsidRPr="00DA4388">
        <w:rPr>
          <w:sz w:val="22"/>
          <w:szCs w:val="22"/>
        </w:rPr>
        <w:fldChar w:fldCharType="separate"/>
      </w:r>
      <w:r w:rsidR="00180F39">
        <w:rPr>
          <w:noProof/>
          <w:sz w:val="22"/>
          <w:szCs w:val="22"/>
        </w:rPr>
        <w:t>7</w:t>
      </w:r>
      <w:r w:rsidRPr="00DA4388">
        <w:rPr>
          <w:sz w:val="22"/>
          <w:szCs w:val="22"/>
        </w:rPr>
        <w:fldChar w:fldCharType="end"/>
      </w:r>
      <w:r w:rsidRPr="00DA4388">
        <w:rPr>
          <w:sz w:val="22"/>
          <w:szCs w:val="22"/>
        </w:rPr>
        <w:t>. Diagram of Program</w:t>
      </w:r>
    </w:p>
    <w:p w14:paraId="2D4CF5C5" w14:textId="70A77C0F" w:rsidR="00122673" w:rsidRDefault="00480078" w:rsidP="00C94703">
      <w:pPr>
        <w:pStyle w:val="BodyText"/>
        <w:ind w:left="0"/>
      </w:pPr>
      <w:r>
        <w:rPr>
          <w:noProof/>
        </w:rPr>
        <w:drawing>
          <wp:inline distT="0" distB="0" distL="0" distR="0" wp14:anchorId="0133CBD9" wp14:editId="7F6A7A89">
            <wp:extent cx="5943600" cy="3642737"/>
            <wp:effectExtent l="0" t="0" r="0" b="0"/>
            <wp:docPr id="216951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642737"/>
                    </a:xfrm>
                    <a:prstGeom prst="rect">
                      <a:avLst/>
                    </a:prstGeom>
                    <a:noFill/>
                  </pic:spPr>
                </pic:pic>
              </a:graphicData>
            </a:graphic>
          </wp:inline>
        </w:drawing>
      </w:r>
    </w:p>
    <w:p w14:paraId="35E22B5E" w14:textId="77777777" w:rsidR="00C94703" w:rsidRPr="00C94703" w:rsidRDefault="00C94703" w:rsidP="00C94703">
      <w:pPr>
        <w:pStyle w:val="BodyText"/>
        <w:ind w:left="0"/>
      </w:pPr>
    </w:p>
    <w:p w14:paraId="46DDDDE8" w14:textId="6A99082B" w:rsidR="00DC60BA" w:rsidRDefault="00DC60BA" w:rsidP="00DC60BA">
      <w:pPr>
        <w:pStyle w:val="Heading2"/>
      </w:pPr>
      <w:bookmarkStart w:id="58" w:name="_Toc173407348"/>
      <w:r>
        <w:t>Workforce Education and Training</w:t>
      </w:r>
      <w:r w:rsidR="00431C2E">
        <w:rPr>
          <w:rStyle w:val="FootnoteReference"/>
        </w:rPr>
        <w:footnoteReference w:id="7"/>
      </w:r>
      <w:bookmarkEnd w:id="58"/>
    </w:p>
    <w:p w14:paraId="5BEAE735" w14:textId="58191D3D" w:rsidR="00DC60BA" w:rsidRPr="00DC60BA" w:rsidRDefault="00DC60BA" w:rsidP="00DC60BA">
      <w:r>
        <w:t xml:space="preserve">The Program will work closely with SoCalREN’s Workforce Education &amp; Training Program (SCR-WET-D1) to help direct </w:t>
      </w:r>
      <w:proofErr w:type="gramStart"/>
      <w:r>
        <w:t>install</w:t>
      </w:r>
      <w:proofErr w:type="gramEnd"/>
      <w:r>
        <w:t xml:space="preserve"> contractors employ and train disadvantaged workers.</w:t>
      </w:r>
    </w:p>
    <w:p w14:paraId="11D5BA88" w14:textId="77777777" w:rsidR="00520822" w:rsidRPr="00DC60BA" w:rsidRDefault="00520822" w:rsidP="00DC60BA"/>
    <w:p w14:paraId="109F5A75" w14:textId="758096A4" w:rsidR="000E4AB3" w:rsidRDefault="00842A1F" w:rsidP="000A7A07">
      <w:pPr>
        <w:pStyle w:val="Heading2"/>
      </w:pPr>
      <w:bookmarkStart w:id="59" w:name="_Toc173407349"/>
      <w:r>
        <w:t>Workforce Standards</w:t>
      </w:r>
      <w:r w:rsidR="002D5D30" w:rsidRPr="002D5D30">
        <w:rPr>
          <w:bCs/>
          <w:vertAlign w:val="superscript"/>
        </w:rPr>
        <w:footnoteReference w:id="8"/>
      </w:r>
      <w:bookmarkEnd w:id="59"/>
    </w:p>
    <w:p w14:paraId="4C5DFE2A" w14:textId="6C1E3C21" w:rsidR="000E4AB3" w:rsidRDefault="000A7A07" w:rsidP="000A7A07">
      <w:pPr>
        <w:pStyle w:val="BodyText"/>
        <w:ind w:left="0"/>
      </w:pPr>
      <w:r>
        <w:t xml:space="preserve">Decision Addressing Workforce Requirements and Third-Party Contract Terms and Conditions, </w:t>
      </w:r>
      <w:r w:rsidR="007666B8">
        <w:t xml:space="preserve">Decision 18-10-008 </w:t>
      </w:r>
      <w:r w:rsidRPr="000A7A07">
        <w:t>October 11, 2018</w:t>
      </w:r>
      <w:r>
        <w:t xml:space="preserve">, states that the </w:t>
      </w:r>
      <w:r w:rsidR="00CC1ED8">
        <w:t xml:space="preserve">minimum workforce </w:t>
      </w:r>
      <w:r>
        <w:t>standards apply “</w:t>
      </w:r>
      <w:r w:rsidRPr="000A7A07">
        <w:t>to large non-residential HVAC and lighting controls projects</w:t>
      </w:r>
      <w:r>
        <w:t xml:space="preserve"> (p. 71)</w:t>
      </w:r>
      <w:r w:rsidRPr="000A7A07">
        <w:t>.</w:t>
      </w:r>
      <w:r>
        <w:t>” It further states that “</w:t>
      </w:r>
      <w:r w:rsidRPr="000A7A07">
        <w:t>all projects involving installatio</w:t>
      </w:r>
      <w:r w:rsidR="007666B8">
        <w:t>n, modification, or maintenance</w:t>
      </w:r>
      <w:r w:rsidRPr="000A7A07">
        <w:t xml:space="preserve"> of heating, ventilation, and air conditioning (HVAC) measures in non-residential buildings</w:t>
      </w:r>
      <w:r>
        <w:t xml:space="preserve"> (p. 76)” are subject to the standards</w:t>
      </w:r>
      <w:r w:rsidR="00A52CD7">
        <w:t xml:space="preserve">. </w:t>
      </w:r>
      <w:r>
        <w:t xml:space="preserve">Therefore, the Workforce Requirements do not apply to this Residential </w:t>
      </w:r>
      <w:r w:rsidR="006336F0">
        <w:t xml:space="preserve">Sector </w:t>
      </w:r>
      <w:r>
        <w:t>Program.</w:t>
      </w:r>
    </w:p>
    <w:p w14:paraId="086FCA81" w14:textId="5C2D965F" w:rsidR="00842A1F" w:rsidRDefault="00842A1F" w:rsidP="00842A1F">
      <w:pPr>
        <w:pStyle w:val="BodyText"/>
        <w:ind w:left="0"/>
      </w:pPr>
      <w:r w:rsidRPr="00842A1F">
        <w:lastRenderedPageBreak/>
        <w:t>However, all projects completed through the Program are performed by participating contractors who are either licensed General (B) Contractors or hold a specialty license for a particular trade (e.g., C-10 electrical contractor). The Program requires contractors to follow all state and local building codes</w:t>
      </w:r>
      <w:r w:rsidR="00457D49">
        <w:t xml:space="preserve">. </w:t>
      </w:r>
    </w:p>
    <w:p w14:paraId="1439416A" w14:textId="60EF31D1" w:rsidR="008C6933" w:rsidRDefault="008C6933" w:rsidP="008C6933">
      <w:pPr>
        <w:pStyle w:val="Heading2"/>
      </w:pPr>
      <w:bookmarkStart w:id="60" w:name="_Toc173407350"/>
      <w:r>
        <w:t>Disadvantaged Worker Plan</w:t>
      </w:r>
      <w:r w:rsidR="00105537">
        <w:rPr>
          <w:rStyle w:val="FootnoteReference"/>
        </w:rPr>
        <w:footnoteReference w:id="9"/>
      </w:r>
      <w:bookmarkEnd w:id="60"/>
    </w:p>
    <w:p w14:paraId="2A7F5446" w14:textId="624B241E" w:rsidR="00470216" w:rsidRDefault="008C6933" w:rsidP="008C6933">
      <w:r w:rsidRPr="00A157D8">
        <w:t xml:space="preserve">The Program serves as a gateway for the </w:t>
      </w:r>
      <w:r w:rsidR="005D5CAF">
        <w:t xml:space="preserve">SoCalREN </w:t>
      </w:r>
      <w:r w:rsidRPr="00A157D8">
        <w:t xml:space="preserve">Green Path Careers program to help place graduates with Program contractors. The </w:t>
      </w:r>
      <w:r w:rsidR="00F006BA">
        <w:t xml:space="preserve">SoCalREN </w:t>
      </w:r>
      <w:r w:rsidRPr="00A157D8">
        <w:t>Green Path Careers program provide</w:t>
      </w:r>
      <w:r>
        <w:t>s</w:t>
      </w:r>
      <w:r w:rsidRPr="00A157D8">
        <w:t xml:space="preserve"> contractors with access to a trained workforce who can assist in the energy assessment phase and mitigate the cost barrier of hiring entry-level workers. </w:t>
      </w:r>
    </w:p>
    <w:p w14:paraId="6F909040" w14:textId="55C8EE9E" w:rsidR="00470216" w:rsidRDefault="00470216" w:rsidP="00470216">
      <w:pPr>
        <w:pStyle w:val="Heading2"/>
      </w:pPr>
      <w:bookmarkStart w:id="61" w:name="_Toc173407351"/>
      <w:r>
        <w:t>Additional Information</w:t>
      </w:r>
      <w:bookmarkEnd w:id="61"/>
    </w:p>
    <w:p w14:paraId="2AC65D57" w14:textId="1D59636E" w:rsidR="00470216" w:rsidRPr="00CC0FC9" w:rsidRDefault="00470216" w:rsidP="008C6933">
      <w:r>
        <w:t>Not Applicable</w:t>
      </w:r>
    </w:p>
    <w:p w14:paraId="31E48241" w14:textId="77777777" w:rsidR="008C6933" w:rsidRPr="00842A1F" w:rsidRDefault="008C6933" w:rsidP="00842A1F">
      <w:pPr>
        <w:pStyle w:val="BodyText"/>
        <w:ind w:left="0"/>
      </w:pPr>
    </w:p>
    <w:p w14:paraId="7C4ABEBB" w14:textId="77777777" w:rsidR="00842A1F" w:rsidRPr="000A7A07" w:rsidRDefault="00842A1F" w:rsidP="000A7A07">
      <w:pPr>
        <w:pStyle w:val="BodyText"/>
        <w:ind w:left="0"/>
      </w:pPr>
    </w:p>
    <w:p w14:paraId="38BC2B94" w14:textId="00EED18A" w:rsidR="00AB491A" w:rsidRPr="00DA40BF" w:rsidRDefault="00AB491A" w:rsidP="005C2BA4">
      <w:pPr>
        <w:sectPr w:rsidR="00AB491A" w:rsidRPr="00DA40BF">
          <w:pgSz w:w="12240" w:h="15840"/>
          <w:pgMar w:top="1440" w:right="1440" w:bottom="1440" w:left="1440" w:header="720" w:footer="720" w:gutter="0"/>
          <w:cols w:space="720"/>
          <w:docGrid w:linePitch="360"/>
        </w:sectPr>
      </w:pPr>
    </w:p>
    <w:p w14:paraId="25E09B98" w14:textId="77777777" w:rsidR="005058B3" w:rsidRDefault="009D06EB" w:rsidP="00333751">
      <w:pPr>
        <w:pStyle w:val="Heading1"/>
        <w:spacing w:before="0"/>
      </w:pPr>
      <w:bookmarkStart w:id="62" w:name="_Toc173407352"/>
      <w:r>
        <w:lastRenderedPageBreak/>
        <w:t xml:space="preserve">Appendix: </w:t>
      </w:r>
      <w:r w:rsidR="00AB491A">
        <w:t>Supporting Information and Documents</w:t>
      </w:r>
      <w:bookmarkEnd w:id="62"/>
    </w:p>
    <w:p w14:paraId="34BDCCFE" w14:textId="77777777" w:rsidR="00F07039" w:rsidRDefault="00F07039" w:rsidP="00F62010">
      <w:pPr>
        <w:pStyle w:val="Heading2"/>
        <w:numPr>
          <w:ilvl w:val="0"/>
          <w:numId w:val="8"/>
        </w:numPr>
      </w:pPr>
      <w:bookmarkStart w:id="63" w:name="_Toc173407353"/>
      <w:r>
        <w:t>Program Manuals and Program Rules</w:t>
      </w:r>
      <w:bookmarkEnd w:id="63"/>
      <w:r>
        <w:t xml:space="preserve"> </w:t>
      </w:r>
    </w:p>
    <w:p w14:paraId="631B4E6B" w14:textId="5B78A270" w:rsidR="00122673" w:rsidRPr="003B3A71" w:rsidRDefault="00C94703" w:rsidP="00133A11">
      <w:pPr>
        <w:spacing w:after="120"/>
      </w:pPr>
      <w:r w:rsidRPr="003B3A71">
        <w:t xml:space="preserve">All information required in the table below is detailed in the </w:t>
      </w:r>
      <w:r w:rsidR="00960598" w:rsidRPr="003B3A71">
        <w:t>SoCalREN Small HTR MF DI Program Manual</w:t>
      </w:r>
      <w:r w:rsidR="003B3A71" w:rsidRPr="003B3A71">
        <w:t xml:space="preserve">. </w:t>
      </w:r>
    </w:p>
    <w:p w14:paraId="29E31E58" w14:textId="46A80272" w:rsidR="00410BB6" w:rsidRDefault="00410BB6" w:rsidP="00410BB6">
      <w:pPr>
        <w:pStyle w:val="Caption"/>
        <w:jc w:val="left"/>
      </w:pPr>
      <w:r>
        <w:t xml:space="preserve">Exhibit </w:t>
      </w:r>
      <w:r>
        <w:fldChar w:fldCharType="begin"/>
      </w:r>
      <w:r>
        <w:instrText xml:space="preserve"> SEQ Exhibit \* ARABIC </w:instrText>
      </w:r>
      <w:r>
        <w:fldChar w:fldCharType="separate"/>
      </w:r>
      <w:r w:rsidR="00180F39">
        <w:rPr>
          <w:noProof/>
        </w:rPr>
        <w:t>8</w:t>
      </w:r>
      <w:r>
        <w:fldChar w:fldCharType="end"/>
      </w:r>
      <w:r>
        <w:t xml:space="preserve">. </w:t>
      </w:r>
      <w:r w:rsidRPr="000424D1">
        <w:t>Supportive Materials Index</w:t>
      </w:r>
    </w:p>
    <w:tbl>
      <w:tblPr>
        <w:tblStyle w:val="TableGrid"/>
        <w:tblW w:w="10085" w:type="dxa"/>
        <w:tblLayout w:type="fixed"/>
        <w:tblCellMar>
          <w:top w:w="29" w:type="dxa"/>
          <w:left w:w="72" w:type="dxa"/>
          <w:bottom w:w="29" w:type="dxa"/>
          <w:right w:w="72" w:type="dxa"/>
        </w:tblCellMar>
        <w:tblLook w:val="04A0" w:firstRow="1" w:lastRow="0" w:firstColumn="1" w:lastColumn="0" w:noHBand="0" w:noVBand="1"/>
      </w:tblPr>
      <w:tblGrid>
        <w:gridCol w:w="419"/>
        <w:gridCol w:w="2356"/>
        <w:gridCol w:w="4363"/>
        <w:gridCol w:w="2947"/>
      </w:tblGrid>
      <w:tr w:rsidR="00043EA5" w14:paraId="071516DE" w14:textId="77777777" w:rsidTr="00344522">
        <w:trPr>
          <w:trHeight w:val="556"/>
          <w:tblHeader/>
        </w:trPr>
        <w:tc>
          <w:tcPr>
            <w:tcW w:w="419" w:type="dxa"/>
            <w:shd w:val="clear" w:color="auto" w:fill="D9D9D9" w:themeFill="background1" w:themeFillShade="D9"/>
            <w:vAlign w:val="center"/>
          </w:tcPr>
          <w:p w14:paraId="46A886D2" w14:textId="77777777" w:rsidR="00043EA5" w:rsidRPr="006E51B0" w:rsidRDefault="00043EA5" w:rsidP="00284CC0">
            <w:pPr>
              <w:jc w:val="center"/>
              <w:rPr>
                <w:b/>
              </w:rPr>
            </w:pPr>
            <w:r w:rsidRPr="006E51B0">
              <w:rPr>
                <w:b/>
              </w:rPr>
              <w:t>#</w:t>
            </w:r>
          </w:p>
        </w:tc>
        <w:tc>
          <w:tcPr>
            <w:tcW w:w="2356" w:type="dxa"/>
            <w:shd w:val="clear" w:color="auto" w:fill="D9D9D9" w:themeFill="background1" w:themeFillShade="D9"/>
            <w:vAlign w:val="center"/>
          </w:tcPr>
          <w:p w14:paraId="4A490513" w14:textId="77777777" w:rsidR="00043EA5" w:rsidRDefault="00043EA5" w:rsidP="00284CC0">
            <w:pPr>
              <w:jc w:val="center"/>
              <w:rPr>
                <w:b/>
              </w:rPr>
            </w:pPr>
            <w:r>
              <w:rPr>
                <w:b/>
              </w:rPr>
              <w:t>Information</w:t>
            </w:r>
          </w:p>
          <w:p w14:paraId="6E547B1F" w14:textId="45B75B71" w:rsidR="00D9201B" w:rsidRPr="006E51B0" w:rsidRDefault="00133A11" w:rsidP="00133A11">
            <w:pPr>
              <w:jc w:val="center"/>
              <w:rPr>
                <w:b/>
              </w:rPr>
            </w:pPr>
            <w:r w:rsidRPr="00133A11">
              <w:rPr>
                <w:b/>
              </w:rPr>
              <w:t>Required</w:t>
            </w:r>
          </w:p>
        </w:tc>
        <w:tc>
          <w:tcPr>
            <w:tcW w:w="4363" w:type="dxa"/>
            <w:shd w:val="clear" w:color="auto" w:fill="D9D9D9" w:themeFill="background1" w:themeFillShade="D9"/>
            <w:vAlign w:val="center"/>
          </w:tcPr>
          <w:p w14:paraId="3A045092" w14:textId="77777777" w:rsidR="00043EA5" w:rsidRPr="006E51B0" w:rsidRDefault="00043EA5" w:rsidP="00284CC0">
            <w:pPr>
              <w:jc w:val="center"/>
              <w:rPr>
                <w:b/>
              </w:rPr>
            </w:pPr>
            <w:r w:rsidRPr="0008033F">
              <w:rPr>
                <w:b/>
              </w:rPr>
              <w:t>Short Description</w:t>
            </w:r>
          </w:p>
        </w:tc>
        <w:tc>
          <w:tcPr>
            <w:tcW w:w="2947" w:type="dxa"/>
            <w:shd w:val="clear" w:color="auto" w:fill="D9D9D9" w:themeFill="background1" w:themeFillShade="D9"/>
            <w:vAlign w:val="center"/>
          </w:tcPr>
          <w:p w14:paraId="5293B1B4" w14:textId="77777777" w:rsidR="00043EA5" w:rsidRPr="006E51B0" w:rsidRDefault="00043EA5" w:rsidP="00284CC0">
            <w:pPr>
              <w:jc w:val="center"/>
              <w:rPr>
                <w:b/>
              </w:rPr>
            </w:pPr>
            <w:r>
              <w:rPr>
                <w:b/>
              </w:rPr>
              <w:t>Location Name/URL link</w:t>
            </w:r>
          </w:p>
        </w:tc>
      </w:tr>
      <w:tr w:rsidR="00043EA5" w14:paraId="78C17451" w14:textId="77777777" w:rsidTr="00333751">
        <w:trPr>
          <w:trHeight w:val="556"/>
        </w:trPr>
        <w:tc>
          <w:tcPr>
            <w:tcW w:w="419" w:type="dxa"/>
            <w:vAlign w:val="center"/>
          </w:tcPr>
          <w:p w14:paraId="4F1AF945" w14:textId="77777777" w:rsidR="00043EA5" w:rsidRPr="006E51B0" w:rsidRDefault="00043EA5" w:rsidP="00284CC0">
            <w:pPr>
              <w:jc w:val="center"/>
              <w:rPr>
                <w:b/>
              </w:rPr>
            </w:pPr>
            <w:bookmarkStart w:id="64" w:name="_Hlk173229960"/>
            <w:r w:rsidRPr="006E51B0">
              <w:rPr>
                <w:b/>
              </w:rPr>
              <w:t>1</w:t>
            </w:r>
          </w:p>
        </w:tc>
        <w:tc>
          <w:tcPr>
            <w:tcW w:w="2356" w:type="dxa"/>
            <w:vAlign w:val="center"/>
          </w:tcPr>
          <w:p w14:paraId="58D9B5DD" w14:textId="13A5E2D3" w:rsidR="00043EA5" w:rsidRPr="00133A11" w:rsidRDefault="00043EA5" w:rsidP="00284CC0">
            <w:pPr>
              <w:rPr>
                <w:b/>
              </w:rPr>
            </w:pPr>
            <w:r w:rsidRPr="00133A11">
              <w:rPr>
                <w:b/>
              </w:rPr>
              <w:t xml:space="preserve">Eligible Measures or </w:t>
            </w:r>
            <w:r w:rsidR="009E0A46">
              <w:rPr>
                <w:b/>
              </w:rPr>
              <w:t>M</w:t>
            </w:r>
            <w:r w:rsidRPr="00133A11">
              <w:rPr>
                <w:b/>
              </w:rPr>
              <w:t xml:space="preserve">easure </w:t>
            </w:r>
            <w:r w:rsidR="009E0A46">
              <w:rPr>
                <w:b/>
              </w:rPr>
              <w:t>E</w:t>
            </w:r>
            <w:r w:rsidRPr="00133A11">
              <w:rPr>
                <w:b/>
              </w:rPr>
              <w:t>ligibility</w:t>
            </w:r>
          </w:p>
        </w:tc>
        <w:tc>
          <w:tcPr>
            <w:tcW w:w="4363" w:type="dxa"/>
            <w:vAlign w:val="center"/>
          </w:tcPr>
          <w:p w14:paraId="3322CB68" w14:textId="15B5DF9F" w:rsidR="00043EA5" w:rsidRDefault="00043EA5" w:rsidP="00284CC0">
            <w:r>
              <w:t xml:space="preserve">A </w:t>
            </w:r>
            <w:r w:rsidRPr="006A4AF8">
              <w:t>list of eligible measures</w:t>
            </w:r>
            <w:r w:rsidR="00C009D7">
              <w:t>,</w:t>
            </w:r>
            <w:r w:rsidRPr="006A4AF8">
              <w:t xml:space="preserve"> or measure eligibility requirements</w:t>
            </w:r>
          </w:p>
        </w:tc>
        <w:tc>
          <w:tcPr>
            <w:tcW w:w="2947" w:type="dxa"/>
            <w:vAlign w:val="center"/>
          </w:tcPr>
          <w:p w14:paraId="58E232BD" w14:textId="1773EA3D" w:rsidR="00043EA5" w:rsidRDefault="00C94703" w:rsidP="00284CC0">
            <w:r>
              <w:t>Included in Program Manual</w:t>
            </w:r>
          </w:p>
        </w:tc>
      </w:tr>
      <w:tr w:rsidR="00043EA5" w14:paraId="7DDB0E44" w14:textId="77777777" w:rsidTr="00333751">
        <w:trPr>
          <w:trHeight w:val="828"/>
        </w:trPr>
        <w:tc>
          <w:tcPr>
            <w:tcW w:w="419" w:type="dxa"/>
            <w:vAlign w:val="center"/>
          </w:tcPr>
          <w:p w14:paraId="30984AB4" w14:textId="77777777" w:rsidR="00043EA5" w:rsidRPr="006E51B0" w:rsidRDefault="00043EA5" w:rsidP="00284CC0">
            <w:pPr>
              <w:jc w:val="center"/>
              <w:rPr>
                <w:b/>
              </w:rPr>
            </w:pPr>
            <w:r w:rsidRPr="006E51B0">
              <w:rPr>
                <w:b/>
              </w:rPr>
              <w:t>2</w:t>
            </w:r>
          </w:p>
        </w:tc>
        <w:tc>
          <w:tcPr>
            <w:tcW w:w="2356" w:type="dxa"/>
            <w:vAlign w:val="center"/>
          </w:tcPr>
          <w:p w14:paraId="5D7697DB" w14:textId="77777777" w:rsidR="00043EA5" w:rsidRPr="00133A11" w:rsidRDefault="00043EA5" w:rsidP="00284CC0">
            <w:pPr>
              <w:rPr>
                <w:b/>
              </w:rPr>
            </w:pPr>
            <w:r w:rsidRPr="00133A11">
              <w:rPr>
                <w:b/>
              </w:rPr>
              <w:t>Customer Eligibility Requirements</w:t>
            </w:r>
          </w:p>
        </w:tc>
        <w:tc>
          <w:tcPr>
            <w:tcW w:w="4363" w:type="dxa"/>
            <w:vAlign w:val="center"/>
          </w:tcPr>
          <w:p w14:paraId="29AC9CCE" w14:textId="263BCBD4" w:rsidR="00043EA5" w:rsidRDefault="00133A11" w:rsidP="00284CC0">
            <w:r w:rsidRPr="006A4AF8">
              <w:t xml:space="preserve">Requirements </w:t>
            </w:r>
            <w:r w:rsidR="00043EA5" w:rsidRPr="006A4AF8">
              <w:t>for program participation (for example, annual energy use or peak kW demand</w:t>
            </w:r>
            <w:r w:rsidR="00C009D7">
              <w:t>)</w:t>
            </w:r>
          </w:p>
        </w:tc>
        <w:tc>
          <w:tcPr>
            <w:tcW w:w="2947" w:type="dxa"/>
            <w:vAlign w:val="center"/>
          </w:tcPr>
          <w:p w14:paraId="5E08420E" w14:textId="3E3C5E8B" w:rsidR="00043EA5" w:rsidRDefault="00C94703" w:rsidP="00284CC0">
            <w:r>
              <w:t>Included in Program Manual</w:t>
            </w:r>
          </w:p>
        </w:tc>
      </w:tr>
      <w:tr w:rsidR="00043EA5" w14:paraId="3A2BF60F" w14:textId="77777777" w:rsidTr="00333751">
        <w:trPr>
          <w:trHeight w:val="1658"/>
        </w:trPr>
        <w:tc>
          <w:tcPr>
            <w:tcW w:w="419" w:type="dxa"/>
            <w:vAlign w:val="center"/>
          </w:tcPr>
          <w:p w14:paraId="57BF3838" w14:textId="77777777" w:rsidR="00043EA5" w:rsidRPr="006E51B0" w:rsidRDefault="00043EA5" w:rsidP="00284CC0">
            <w:pPr>
              <w:jc w:val="center"/>
              <w:rPr>
                <w:b/>
              </w:rPr>
            </w:pPr>
            <w:r>
              <w:rPr>
                <w:b/>
              </w:rPr>
              <w:t>3</w:t>
            </w:r>
          </w:p>
        </w:tc>
        <w:tc>
          <w:tcPr>
            <w:tcW w:w="2356" w:type="dxa"/>
            <w:vAlign w:val="center"/>
          </w:tcPr>
          <w:p w14:paraId="5DDC9D60" w14:textId="77777777" w:rsidR="00043EA5" w:rsidRPr="00133A11" w:rsidRDefault="00043EA5" w:rsidP="00284CC0">
            <w:pPr>
              <w:rPr>
                <w:b/>
              </w:rPr>
            </w:pPr>
            <w:r w:rsidRPr="00133A11">
              <w:rPr>
                <w:b/>
              </w:rPr>
              <w:t>Contractor Eligibility Requirements</w:t>
            </w:r>
          </w:p>
        </w:tc>
        <w:tc>
          <w:tcPr>
            <w:tcW w:w="4363" w:type="dxa"/>
            <w:vAlign w:val="center"/>
          </w:tcPr>
          <w:p w14:paraId="738E4E54" w14:textId="3C6EC624" w:rsidR="00043EA5" w:rsidRDefault="00043EA5" w:rsidP="00133A11">
            <w:r w:rsidRPr="006A4AF8">
              <w:t xml:space="preserve">List </w:t>
            </w:r>
            <w:r w:rsidR="00133A11">
              <w:t xml:space="preserve">of </w:t>
            </w:r>
            <w:r w:rsidRPr="006A4AF8">
              <w:t>any contractor (and/or developer, manufacturer, retailer or other "participant") eligibility requirements</w:t>
            </w:r>
            <w:r w:rsidR="00133A11">
              <w:t>.</w:t>
            </w:r>
            <w:r w:rsidRPr="006A4AF8">
              <w:t xml:space="preserve"> </w:t>
            </w:r>
            <w:r w:rsidR="00C009D7">
              <w:t>(</w:t>
            </w:r>
            <w:r w:rsidR="00133A11" w:rsidRPr="006A4AF8">
              <w:t xml:space="preserve">For </w:t>
            </w:r>
            <w:r w:rsidRPr="006A4AF8">
              <w:t>example: specific IOU</w:t>
            </w:r>
            <w:r w:rsidR="00133A11">
              <w:t>-</w:t>
            </w:r>
            <w:r w:rsidRPr="006A4AF8">
              <w:t>required training</w:t>
            </w:r>
            <w:r w:rsidR="009E0A46">
              <w:t xml:space="preserve"> course</w:t>
            </w:r>
            <w:r w:rsidRPr="006A4AF8">
              <w:t>s, specific contractor accreditations, and/or specific technician certifications.</w:t>
            </w:r>
            <w:r w:rsidR="00C009D7">
              <w:t>)</w:t>
            </w:r>
          </w:p>
        </w:tc>
        <w:tc>
          <w:tcPr>
            <w:tcW w:w="2947" w:type="dxa"/>
            <w:vAlign w:val="center"/>
          </w:tcPr>
          <w:p w14:paraId="355FE048" w14:textId="63399844" w:rsidR="00043EA5" w:rsidRDefault="00C94703" w:rsidP="00284CC0">
            <w:r>
              <w:t>Included in Program Manual</w:t>
            </w:r>
          </w:p>
        </w:tc>
      </w:tr>
      <w:tr w:rsidR="00043EA5" w14:paraId="01E48EA1" w14:textId="77777777" w:rsidTr="00333751">
        <w:trPr>
          <w:trHeight w:val="1417"/>
        </w:trPr>
        <w:tc>
          <w:tcPr>
            <w:tcW w:w="419" w:type="dxa"/>
            <w:vAlign w:val="center"/>
          </w:tcPr>
          <w:p w14:paraId="438B775D" w14:textId="77777777" w:rsidR="00043EA5" w:rsidRDefault="00043EA5" w:rsidP="00284CC0">
            <w:pPr>
              <w:jc w:val="center"/>
              <w:rPr>
                <w:b/>
              </w:rPr>
            </w:pPr>
            <w:r>
              <w:rPr>
                <w:b/>
              </w:rPr>
              <w:t>4</w:t>
            </w:r>
          </w:p>
        </w:tc>
        <w:tc>
          <w:tcPr>
            <w:tcW w:w="2356" w:type="dxa"/>
            <w:vAlign w:val="center"/>
          </w:tcPr>
          <w:p w14:paraId="586F036D" w14:textId="5DFB8381" w:rsidR="00043EA5" w:rsidRPr="00133A11" w:rsidRDefault="00043EA5" w:rsidP="00284CC0">
            <w:pPr>
              <w:rPr>
                <w:b/>
              </w:rPr>
            </w:pPr>
            <w:r w:rsidRPr="00133A11">
              <w:rPr>
                <w:b/>
              </w:rPr>
              <w:t>Participating Contractors, Manufacturers, Retailers, Distribut</w:t>
            </w:r>
            <w:r w:rsidR="009E0A46">
              <w:rPr>
                <w:b/>
              </w:rPr>
              <w:t>o</w:t>
            </w:r>
            <w:r w:rsidRPr="00133A11">
              <w:rPr>
                <w:b/>
              </w:rPr>
              <w:t>rs</w:t>
            </w:r>
          </w:p>
        </w:tc>
        <w:tc>
          <w:tcPr>
            <w:tcW w:w="4363" w:type="dxa"/>
            <w:vAlign w:val="center"/>
          </w:tcPr>
          <w:p w14:paraId="35E341DE" w14:textId="359C7E7E" w:rsidR="00133A11" w:rsidRDefault="00C009D7" w:rsidP="00284CC0">
            <w:r>
              <w:t>Information as to</w:t>
            </w:r>
            <w:r w:rsidRPr="006A4AF8">
              <w:t xml:space="preserve"> </w:t>
            </w:r>
            <w:r w:rsidR="00133A11">
              <w:t>whether:</w:t>
            </w:r>
          </w:p>
          <w:p w14:paraId="6A62B03F" w14:textId="4FAD6570" w:rsidR="00133A11" w:rsidRDefault="00133A11" w:rsidP="00F62010">
            <w:pPr>
              <w:pStyle w:val="ListParagraph"/>
              <w:numPr>
                <w:ilvl w:val="0"/>
                <w:numId w:val="9"/>
              </w:numPr>
            </w:pPr>
            <w:r w:rsidRPr="006A4AF8">
              <w:t xml:space="preserve">Program </w:t>
            </w:r>
            <w:r w:rsidR="00043EA5" w:rsidRPr="006A4AF8">
              <w:t>or sub-program delivery channel is downstream, midstream, or upstream</w:t>
            </w:r>
            <w:r>
              <w:t>,</w:t>
            </w:r>
            <w:r w:rsidR="00043EA5" w:rsidRPr="006A4AF8">
              <w:t xml:space="preserve"> and </w:t>
            </w:r>
          </w:p>
          <w:p w14:paraId="67104F7B" w14:textId="77777777" w:rsidR="00043EA5" w:rsidRPr="006A4AF8" w:rsidRDefault="00133A11" w:rsidP="00F62010">
            <w:pPr>
              <w:pStyle w:val="ListParagraph"/>
              <w:numPr>
                <w:ilvl w:val="0"/>
                <w:numId w:val="9"/>
              </w:numPr>
            </w:pPr>
            <w:r>
              <w:t xml:space="preserve">Program </w:t>
            </w:r>
            <w:r w:rsidR="00043EA5" w:rsidRPr="006A4AF8">
              <w:t>is an incentive and/or buy-down type program.</w:t>
            </w:r>
          </w:p>
        </w:tc>
        <w:tc>
          <w:tcPr>
            <w:tcW w:w="2947" w:type="dxa"/>
            <w:vAlign w:val="center"/>
          </w:tcPr>
          <w:p w14:paraId="77C5FF6A" w14:textId="58619E51" w:rsidR="00043EA5" w:rsidRDefault="00C94703" w:rsidP="00284CC0">
            <w:r>
              <w:t>Included in Program Manual</w:t>
            </w:r>
          </w:p>
        </w:tc>
      </w:tr>
      <w:tr w:rsidR="00043EA5" w14:paraId="7B0D2B88" w14:textId="77777777" w:rsidTr="00333751">
        <w:trPr>
          <w:trHeight w:val="1113"/>
        </w:trPr>
        <w:tc>
          <w:tcPr>
            <w:tcW w:w="419" w:type="dxa"/>
            <w:vAlign w:val="center"/>
          </w:tcPr>
          <w:p w14:paraId="3840798D" w14:textId="77777777" w:rsidR="00043EA5" w:rsidRDefault="00043EA5" w:rsidP="00284CC0">
            <w:pPr>
              <w:jc w:val="center"/>
              <w:rPr>
                <w:b/>
              </w:rPr>
            </w:pPr>
            <w:r>
              <w:rPr>
                <w:b/>
              </w:rPr>
              <w:t>5</w:t>
            </w:r>
          </w:p>
        </w:tc>
        <w:tc>
          <w:tcPr>
            <w:tcW w:w="2356" w:type="dxa"/>
            <w:vAlign w:val="center"/>
          </w:tcPr>
          <w:p w14:paraId="1C83DF82" w14:textId="77777777" w:rsidR="00043EA5" w:rsidRPr="00133A11" w:rsidRDefault="00043EA5" w:rsidP="00284CC0">
            <w:pPr>
              <w:rPr>
                <w:b/>
              </w:rPr>
            </w:pPr>
            <w:r w:rsidRPr="00133A11">
              <w:rPr>
                <w:b/>
              </w:rPr>
              <w:t>Additional Services</w:t>
            </w:r>
          </w:p>
        </w:tc>
        <w:tc>
          <w:tcPr>
            <w:tcW w:w="4363" w:type="dxa"/>
            <w:vAlign w:val="center"/>
          </w:tcPr>
          <w:p w14:paraId="0A223B12" w14:textId="14F0D750" w:rsidR="00043EA5" w:rsidRPr="006A4AF8" w:rsidRDefault="00C009D7" w:rsidP="00284CC0">
            <w:r>
              <w:t>Descriptions of</w:t>
            </w:r>
            <w:r w:rsidR="00043EA5" w:rsidRPr="006A4AF8">
              <w:t xml:space="preserve"> any additional sub-program delivery, measure installation, marketing </w:t>
            </w:r>
            <w:r w:rsidR="009E0A46">
              <w:t>and</w:t>
            </w:r>
            <w:r w:rsidR="00043EA5" w:rsidRPr="006A4AF8">
              <w:t xml:space="preserve"> outreach, training</w:t>
            </w:r>
            <w:r>
              <w:t>,</w:t>
            </w:r>
            <w:r w:rsidR="00043EA5" w:rsidRPr="006A4AF8">
              <w:t xml:space="preserve"> and/or other services provided, if not yet described above.</w:t>
            </w:r>
          </w:p>
        </w:tc>
        <w:tc>
          <w:tcPr>
            <w:tcW w:w="2947" w:type="dxa"/>
            <w:vAlign w:val="center"/>
          </w:tcPr>
          <w:p w14:paraId="5E40E7E5" w14:textId="2F14A5E3" w:rsidR="00043EA5" w:rsidRDefault="00C94703" w:rsidP="00284CC0">
            <w:r>
              <w:t>Included in Program Manual</w:t>
            </w:r>
          </w:p>
        </w:tc>
      </w:tr>
      <w:tr w:rsidR="00043EA5" w14:paraId="14088CC4" w14:textId="77777777" w:rsidTr="00333751">
        <w:trPr>
          <w:trHeight w:val="1711"/>
        </w:trPr>
        <w:tc>
          <w:tcPr>
            <w:tcW w:w="419" w:type="dxa"/>
            <w:vAlign w:val="center"/>
          </w:tcPr>
          <w:p w14:paraId="434BFD76" w14:textId="77777777" w:rsidR="00043EA5" w:rsidRDefault="00043EA5" w:rsidP="00284CC0">
            <w:pPr>
              <w:jc w:val="center"/>
              <w:rPr>
                <w:b/>
              </w:rPr>
            </w:pPr>
            <w:r>
              <w:rPr>
                <w:b/>
              </w:rPr>
              <w:t>6</w:t>
            </w:r>
          </w:p>
        </w:tc>
        <w:tc>
          <w:tcPr>
            <w:tcW w:w="2356" w:type="dxa"/>
            <w:vAlign w:val="center"/>
          </w:tcPr>
          <w:p w14:paraId="554777D9" w14:textId="77777777" w:rsidR="00043EA5" w:rsidRPr="00133A11" w:rsidRDefault="00043EA5" w:rsidP="00284CC0">
            <w:pPr>
              <w:rPr>
                <w:b/>
              </w:rPr>
            </w:pPr>
            <w:r w:rsidRPr="00133A11">
              <w:rPr>
                <w:b/>
              </w:rPr>
              <w:t>Audits</w:t>
            </w:r>
          </w:p>
        </w:tc>
        <w:tc>
          <w:tcPr>
            <w:tcW w:w="4363" w:type="dxa"/>
            <w:vAlign w:val="center"/>
          </w:tcPr>
          <w:p w14:paraId="089989BC" w14:textId="4B77B341" w:rsidR="00C009D7" w:rsidRDefault="00C009D7" w:rsidP="00284CC0">
            <w:r>
              <w:t>Information as to</w:t>
            </w:r>
            <w:r w:rsidRPr="006A4AF8">
              <w:t xml:space="preserve"> </w:t>
            </w:r>
            <w:r w:rsidR="00043EA5" w:rsidRPr="006A4AF8">
              <w:t>whether</w:t>
            </w:r>
            <w:r>
              <w:t>:</w:t>
            </w:r>
          </w:p>
          <w:p w14:paraId="2208EE26" w14:textId="7A04F821" w:rsidR="00C009D7" w:rsidRDefault="00C009D7" w:rsidP="00F62010">
            <w:pPr>
              <w:pStyle w:val="ListParagraph"/>
              <w:numPr>
                <w:ilvl w:val="0"/>
                <w:numId w:val="10"/>
              </w:numPr>
            </w:pPr>
            <w:r w:rsidRPr="006A4AF8">
              <w:t>Pre</w:t>
            </w:r>
            <w:r w:rsidR="00043EA5" w:rsidRPr="006A4AF8">
              <w:t>- and post-audits are required</w:t>
            </w:r>
          </w:p>
          <w:p w14:paraId="393200BC" w14:textId="192B06A7" w:rsidR="00C009D7" w:rsidRDefault="00C009D7" w:rsidP="00F62010">
            <w:pPr>
              <w:pStyle w:val="ListParagraph"/>
              <w:numPr>
                <w:ilvl w:val="0"/>
                <w:numId w:val="10"/>
              </w:numPr>
            </w:pPr>
            <w:r w:rsidRPr="006A4AF8">
              <w:t xml:space="preserve">Funding </w:t>
            </w:r>
            <w:r w:rsidR="00043EA5" w:rsidRPr="006A4AF8">
              <w:t xml:space="preserve">or incentive levels </w:t>
            </w:r>
            <w:r>
              <w:t xml:space="preserve">have been </w:t>
            </w:r>
            <w:r w:rsidR="00043EA5" w:rsidRPr="006A4AF8">
              <w:t xml:space="preserve">set for audits, and </w:t>
            </w:r>
          </w:p>
          <w:p w14:paraId="31CDB3D2" w14:textId="6BC13A09" w:rsidR="00043EA5" w:rsidRPr="006A4AF8" w:rsidRDefault="00C009D7" w:rsidP="00F62010">
            <w:pPr>
              <w:pStyle w:val="ListParagraph"/>
              <w:numPr>
                <w:ilvl w:val="0"/>
                <w:numId w:val="10"/>
              </w:numPr>
            </w:pPr>
            <w:r w:rsidRPr="006A4AF8">
              <w:t xml:space="preserve">The </w:t>
            </w:r>
            <w:r w:rsidR="00043EA5" w:rsidRPr="006A4AF8">
              <w:t>eligibility requirements for audit incentives</w:t>
            </w:r>
            <w:r w:rsidR="00043EA5">
              <w:t>.</w:t>
            </w:r>
          </w:p>
        </w:tc>
        <w:tc>
          <w:tcPr>
            <w:tcW w:w="2947" w:type="dxa"/>
            <w:vAlign w:val="center"/>
          </w:tcPr>
          <w:p w14:paraId="3B786006" w14:textId="67F583C4" w:rsidR="00043EA5" w:rsidRDefault="00C94703" w:rsidP="00F26EE7">
            <w:r>
              <w:t>Included in Program Manual</w:t>
            </w:r>
          </w:p>
        </w:tc>
      </w:tr>
      <w:tr w:rsidR="00043EA5" w14:paraId="18989AAE" w14:textId="77777777" w:rsidTr="00333751">
        <w:trPr>
          <w:trHeight w:val="1102"/>
        </w:trPr>
        <w:tc>
          <w:tcPr>
            <w:tcW w:w="419" w:type="dxa"/>
            <w:vAlign w:val="center"/>
          </w:tcPr>
          <w:p w14:paraId="270CF2BA" w14:textId="0545B51C" w:rsidR="00043EA5" w:rsidRDefault="00043EA5" w:rsidP="00284CC0">
            <w:pPr>
              <w:jc w:val="center"/>
              <w:rPr>
                <w:b/>
              </w:rPr>
            </w:pPr>
            <w:r>
              <w:rPr>
                <w:b/>
              </w:rPr>
              <w:t>7</w:t>
            </w:r>
          </w:p>
        </w:tc>
        <w:tc>
          <w:tcPr>
            <w:tcW w:w="2356" w:type="dxa"/>
            <w:vAlign w:val="center"/>
          </w:tcPr>
          <w:p w14:paraId="36C893E6" w14:textId="77777777" w:rsidR="00043EA5" w:rsidRPr="00133A11" w:rsidRDefault="00043EA5" w:rsidP="00284CC0">
            <w:pPr>
              <w:rPr>
                <w:b/>
              </w:rPr>
            </w:pPr>
            <w:r w:rsidRPr="00133A11">
              <w:rPr>
                <w:b/>
              </w:rPr>
              <w:t>Sub-Program Quality Assurance Provisions</w:t>
            </w:r>
          </w:p>
        </w:tc>
        <w:tc>
          <w:tcPr>
            <w:tcW w:w="4363" w:type="dxa"/>
            <w:vAlign w:val="center"/>
          </w:tcPr>
          <w:p w14:paraId="47DEBF96" w14:textId="22AB06F1" w:rsidR="00043EA5" w:rsidRPr="006A4AF8" w:rsidRDefault="00C009D7" w:rsidP="00284CC0">
            <w:r w:rsidRPr="006A4AF8">
              <w:t xml:space="preserve">List </w:t>
            </w:r>
            <w:r>
              <w:t xml:space="preserve">of </w:t>
            </w:r>
            <w:r w:rsidR="00043EA5" w:rsidRPr="006A4AF8">
              <w:t>quality assurance and quality control</w:t>
            </w:r>
            <w:r>
              <w:t xml:space="preserve"> requirements</w:t>
            </w:r>
            <w:r w:rsidR="00043EA5" w:rsidRPr="006A4AF8">
              <w:t>, including accreditations and/or certifications or other credentials of individuals or organizations performing this work</w:t>
            </w:r>
            <w:r w:rsidR="00043EA5">
              <w:t>.</w:t>
            </w:r>
          </w:p>
        </w:tc>
        <w:tc>
          <w:tcPr>
            <w:tcW w:w="2947" w:type="dxa"/>
            <w:vAlign w:val="center"/>
          </w:tcPr>
          <w:p w14:paraId="4768BFF3" w14:textId="1F67C605" w:rsidR="00043EA5" w:rsidRDefault="00C94703" w:rsidP="00284CC0">
            <w:r>
              <w:t>Included in Program Manual</w:t>
            </w:r>
          </w:p>
        </w:tc>
      </w:tr>
      <w:tr w:rsidR="00D9201B" w14:paraId="7F7D514E" w14:textId="77777777" w:rsidTr="00333751">
        <w:trPr>
          <w:trHeight w:val="283"/>
        </w:trPr>
        <w:tc>
          <w:tcPr>
            <w:tcW w:w="419" w:type="dxa"/>
            <w:vAlign w:val="center"/>
          </w:tcPr>
          <w:p w14:paraId="3172D10A" w14:textId="77777777" w:rsidR="00D9201B" w:rsidRDefault="00D9201B" w:rsidP="00284CC0">
            <w:pPr>
              <w:jc w:val="center"/>
              <w:rPr>
                <w:b/>
              </w:rPr>
            </w:pPr>
            <w:r>
              <w:rPr>
                <w:b/>
              </w:rPr>
              <w:t>8</w:t>
            </w:r>
          </w:p>
        </w:tc>
        <w:tc>
          <w:tcPr>
            <w:tcW w:w="2356" w:type="dxa"/>
            <w:vAlign w:val="center"/>
          </w:tcPr>
          <w:p w14:paraId="1CCA3F95" w14:textId="4971D66B" w:rsidR="00D9201B" w:rsidRPr="00202092" w:rsidRDefault="00F26EE7" w:rsidP="00284CC0">
            <w:pPr>
              <w:rPr>
                <w:b/>
                <w:bCs/>
              </w:rPr>
            </w:pPr>
            <w:r w:rsidRPr="00202092">
              <w:rPr>
                <w:b/>
                <w:bCs/>
              </w:rPr>
              <w:t>Post Inspections</w:t>
            </w:r>
          </w:p>
        </w:tc>
        <w:tc>
          <w:tcPr>
            <w:tcW w:w="4363" w:type="dxa"/>
            <w:vAlign w:val="center"/>
          </w:tcPr>
          <w:p w14:paraId="15F5ED88" w14:textId="13B78E7B" w:rsidR="00D9201B" w:rsidRPr="006A4AF8" w:rsidRDefault="00F26EE7" w:rsidP="00284CC0">
            <w:r>
              <w:t>Post Inspections are required for select projects.</w:t>
            </w:r>
          </w:p>
        </w:tc>
        <w:tc>
          <w:tcPr>
            <w:tcW w:w="2947" w:type="dxa"/>
            <w:vAlign w:val="center"/>
          </w:tcPr>
          <w:p w14:paraId="16A628F1" w14:textId="255DE091" w:rsidR="00D9201B" w:rsidRDefault="00C94703" w:rsidP="00284CC0">
            <w:r>
              <w:t>Included in Program Manual</w:t>
            </w:r>
          </w:p>
        </w:tc>
      </w:tr>
      <w:bookmarkEnd w:id="64"/>
    </w:tbl>
    <w:p w14:paraId="7D33EE25" w14:textId="77777777" w:rsidR="00D9201B" w:rsidRPr="002A2A7C" w:rsidRDefault="00D9201B" w:rsidP="00333751">
      <w:pPr>
        <w:pStyle w:val="BodyText"/>
        <w:ind w:left="0"/>
      </w:pPr>
    </w:p>
    <w:p w14:paraId="5473A336" w14:textId="39A281FE" w:rsidR="001D6A87" w:rsidRPr="001D6A87" w:rsidRDefault="00F07039" w:rsidP="008C6933">
      <w:pPr>
        <w:pStyle w:val="Heading2"/>
      </w:pPr>
      <w:bookmarkStart w:id="65" w:name="_Toc523991425"/>
      <w:bookmarkStart w:id="66" w:name="_Toc173407354"/>
      <w:bookmarkEnd w:id="65"/>
      <w:r>
        <w:lastRenderedPageBreak/>
        <w:t xml:space="preserve">Incentive Tables, </w:t>
      </w:r>
      <w:r w:rsidR="00983698">
        <w:t>Measure Packages</w:t>
      </w:r>
      <w:r>
        <w:t>, Software Tools</w:t>
      </w:r>
      <w:bookmarkEnd w:id="66"/>
    </w:p>
    <w:p w14:paraId="78F854F9" w14:textId="507BEC27" w:rsidR="002B3482" w:rsidRPr="001D6A87" w:rsidRDefault="00333751" w:rsidP="00275387">
      <w:pPr>
        <w:spacing w:after="240"/>
        <w:ind w:right="5"/>
        <w:rPr>
          <w:rFonts w:cs="Times New Roman"/>
        </w:rPr>
      </w:pPr>
      <w:r w:rsidRPr="00333751">
        <w:rPr>
          <w:rFonts w:cs="Times New Roman"/>
        </w:rPr>
        <w:t>T</w:t>
      </w:r>
      <w:r w:rsidR="00E52CF9">
        <w:rPr>
          <w:rFonts w:cs="Times New Roman"/>
        </w:rPr>
        <w:t xml:space="preserve">his is an example of </w:t>
      </w:r>
      <w:r w:rsidR="00AB63C1">
        <w:rPr>
          <w:rFonts w:cs="Times New Roman"/>
        </w:rPr>
        <w:t>typical measures applicable to this program:</w:t>
      </w:r>
    </w:p>
    <w:p w14:paraId="39579BFD" w14:textId="05DE27C4" w:rsidR="009D231A" w:rsidRPr="001C2DB1" w:rsidRDefault="009D231A" w:rsidP="009D231A">
      <w:pPr>
        <w:pStyle w:val="Caption"/>
        <w:jc w:val="left"/>
        <w:rPr>
          <w:sz w:val="22"/>
          <w:szCs w:val="18"/>
        </w:rPr>
      </w:pPr>
      <w:bookmarkStart w:id="67" w:name="_Ref172829119"/>
      <w:bookmarkStart w:id="68" w:name="_Ref172828854"/>
      <w:r w:rsidRPr="001C2DB1">
        <w:rPr>
          <w:sz w:val="22"/>
          <w:szCs w:val="18"/>
        </w:rPr>
        <w:t xml:space="preserve">Exhibit </w:t>
      </w:r>
      <w:r w:rsidRPr="001C2DB1">
        <w:rPr>
          <w:sz w:val="22"/>
          <w:szCs w:val="18"/>
        </w:rPr>
        <w:fldChar w:fldCharType="begin"/>
      </w:r>
      <w:r w:rsidRPr="001C2DB1">
        <w:rPr>
          <w:sz w:val="22"/>
          <w:szCs w:val="18"/>
        </w:rPr>
        <w:instrText xml:space="preserve"> SEQ Exhibit \* ARABIC </w:instrText>
      </w:r>
      <w:r w:rsidRPr="001C2DB1">
        <w:rPr>
          <w:sz w:val="22"/>
          <w:szCs w:val="18"/>
        </w:rPr>
        <w:fldChar w:fldCharType="separate"/>
      </w:r>
      <w:r w:rsidR="00180F39">
        <w:rPr>
          <w:noProof/>
          <w:sz w:val="22"/>
          <w:szCs w:val="18"/>
        </w:rPr>
        <w:t>9</w:t>
      </w:r>
      <w:r w:rsidRPr="001C2DB1">
        <w:rPr>
          <w:sz w:val="22"/>
          <w:szCs w:val="18"/>
        </w:rPr>
        <w:fldChar w:fldCharType="end"/>
      </w:r>
      <w:bookmarkEnd w:id="67"/>
      <w:r w:rsidRPr="001C2DB1">
        <w:rPr>
          <w:sz w:val="22"/>
          <w:szCs w:val="18"/>
        </w:rPr>
        <w:t>. Eligible Measures</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5"/>
        <w:gridCol w:w="2600"/>
      </w:tblGrid>
      <w:tr w:rsidR="00B05B00" w:rsidRPr="001C2DB1" w14:paraId="6A650437" w14:textId="77777777" w:rsidTr="00A1629D">
        <w:trPr>
          <w:trHeight w:val="288"/>
          <w:tblHeader/>
        </w:trPr>
        <w:tc>
          <w:tcPr>
            <w:tcW w:w="6745" w:type="dxa"/>
            <w:shd w:val="clear" w:color="auto" w:fill="D9D9D9" w:themeFill="background1" w:themeFillShade="D9"/>
            <w:noWrap/>
            <w:vAlign w:val="center"/>
            <w:hideMark/>
          </w:tcPr>
          <w:p w14:paraId="4CF718C0" w14:textId="07F0852A" w:rsidR="00B05B00" w:rsidRPr="001C2DB1" w:rsidRDefault="00B05B00" w:rsidP="00B05B00">
            <w:pPr>
              <w:spacing w:line="274" w:lineRule="auto"/>
              <w:rPr>
                <w:rFonts w:cs="Times New Roman"/>
                <w:b/>
                <w:bCs/>
              </w:rPr>
            </w:pPr>
            <w:r w:rsidRPr="00592F65">
              <w:rPr>
                <w:rFonts w:eastAsia="Times New Roman" w:cs="Times New Roman"/>
                <w:b/>
                <w:bCs/>
              </w:rPr>
              <w:t>Measure Package Name</w:t>
            </w:r>
          </w:p>
        </w:tc>
        <w:tc>
          <w:tcPr>
            <w:tcW w:w="2600" w:type="dxa"/>
            <w:shd w:val="clear" w:color="auto" w:fill="D9D9D9" w:themeFill="background1" w:themeFillShade="D9"/>
            <w:noWrap/>
            <w:vAlign w:val="center"/>
            <w:hideMark/>
          </w:tcPr>
          <w:p w14:paraId="3E7D5CFC" w14:textId="4B4B56CA" w:rsidR="00B05B00" w:rsidRPr="001C2DB1" w:rsidRDefault="00B05B00" w:rsidP="00B05B00">
            <w:pPr>
              <w:spacing w:line="274" w:lineRule="auto"/>
              <w:rPr>
                <w:rFonts w:cs="Times New Roman"/>
                <w:b/>
                <w:bCs/>
              </w:rPr>
            </w:pPr>
            <w:r w:rsidRPr="00592F65">
              <w:rPr>
                <w:rFonts w:eastAsia="Times New Roman" w:cs="Times New Roman"/>
                <w:b/>
                <w:bCs/>
              </w:rPr>
              <w:t>Measure Version ID</w:t>
            </w:r>
          </w:p>
        </w:tc>
      </w:tr>
      <w:tr w:rsidR="00B05B00" w:rsidRPr="001C2DB1" w14:paraId="087D505B" w14:textId="77777777" w:rsidTr="0025233A">
        <w:trPr>
          <w:trHeight w:val="288"/>
        </w:trPr>
        <w:tc>
          <w:tcPr>
            <w:tcW w:w="6745" w:type="dxa"/>
            <w:noWrap/>
            <w:vAlign w:val="center"/>
            <w:hideMark/>
          </w:tcPr>
          <w:p w14:paraId="498732EE" w14:textId="45F89126" w:rsidR="00B05B00" w:rsidRPr="001C2DB1" w:rsidRDefault="00B05B00" w:rsidP="00B05B00">
            <w:pPr>
              <w:spacing w:line="274" w:lineRule="auto"/>
              <w:rPr>
                <w:rFonts w:cs="Times New Roman"/>
              </w:rPr>
            </w:pPr>
            <w:bookmarkStart w:id="69" w:name="_Hlk173230389"/>
            <w:r w:rsidRPr="00592F65">
              <w:rPr>
                <w:rFonts w:eastAsia="Times New Roman" w:cs="Times New Roman"/>
              </w:rPr>
              <w:t>Ductless HVAC, Residential, Fuel Substitution</w:t>
            </w:r>
          </w:p>
        </w:tc>
        <w:tc>
          <w:tcPr>
            <w:tcW w:w="2600" w:type="dxa"/>
            <w:noWrap/>
            <w:vAlign w:val="center"/>
            <w:hideMark/>
          </w:tcPr>
          <w:p w14:paraId="62B9AF0C" w14:textId="525F1343" w:rsidR="00B05B00" w:rsidRPr="001C2DB1" w:rsidRDefault="00B05B00" w:rsidP="00B05B00">
            <w:pPr>
              <w:spacing w:line="274" w:lineRule="auto"/>
              <w:rPr>
                <w:rFonts w:cs="Times New Roman"/>
              </w:rPr>
            </w:pPr>
            <w:r w:rsidRPr="00592F65">
              <w:rPr>
                <w:rFonts w:eastAsia="Times New Roman" w:cs="Times New Roman"/>
              </w:rPr>
              <w:t>SWHC044-04</w:t>
            </w:r>
          </w:p>
        </w:tc>
      </w:tr>
      <w:tr w:rsidR="00B05B00" w:rsidRPr="001C2DB1" w14:paraId="59750040" w14:textId="77777777" w:rsidTr="0025233A">
        <w:trPr>
          <w:trHeight w:val="288"/>
        </w:trPr>
        <w:tc>
          <w:tcPr>
            <w:tcW w:w="6745" w:type="dxa"/>
            <w:noWrap/>
            <w:vAlign w:val="center"/>
            <w:hideMark/>
          </w:tcPr>
          <w:p w14:paraId="4A80633D" w14:textId="62D83628" w:rsidR="00B05B00" w:rsidRPr="001C2DB1" w:rsidRDefault="00B05B00" w:rsidP="00B05B00">
            <w:pPr>
              <w:spacing w:line="274" w:lineRule="auto"/>
              <w:rPr>
                <w:rFonts w:cs="Times New Roman"/>
              </w:rPr>
            </w:pPr>
            <w:r w:rsidRPr="00592F65">
              <w:rPr>
                <w:rFonts w:eastAsia="Times New Roman" w:cs="Times New Roman"/>
              </w:rPr>
              <w:t>Heat Pump HVAC, Residential, Fuel Substitution</w:t>
            </w:r>
          </w:p>
        </w:tc>
        <w:tc>
          <w:tcPr>
            <w:tcW w:w="2600" w:type="dxa"/>
            <w:noWrap/>
            <w:vAlign w:val="center"/>
            <w:hideMark/>
          </w:tcPr>
          <w:p w14:paraId="3A6BED22" w14:textId="46474248" w:rsidR="00B05B00" w:rsidRPr="001C2DB1" w:rsidRDefault="00B05B00" w:rsidP="00B05B00">
            <w:pPr>
              <w:spacing w:line="274" w:lineRule="auto"/>
              <w:rPr>
                <w:rFonts w:cs="Times New Roman"/>
              </w:rPr>
            </w:pPr>
            <w:r w:rsidRPr="00592F65">
              <w:rPr>
                <w:rFonts w:eastAsia="Times New Roman" w:cs="Times New Roman"/>
              </w:rPr>
              <w:t>SWHC045-03</w:t>
            </w:r>
          </w:p>
        </w:tc>
      </w:tr>
      <w:tr w:rsidR="00B05B00" w:rsidRPr="001C2DB1" w14:paraId="2A11FE08" w14:textId="77777777" w:rsidTr="0025233A">
        <w:trPr>
          <w:trHeight w:val="288"/>
        </w:trPr>
        <w:tc>
          <w:tcPr>
            <w:tcW w:w="6745" w:type="dxa"/>
            <w:noWrap/>
            <w:vAlign w:val="center"/>
            <w:hideMark/>
          </w:tcPr>
          <w:p w14:paraId="78977B5A" w14:textId="7DB64526" w:rsidR="00B05B00" w:rsidRPr="001C2DB1" w:rsidRDefault="00B05B00" w:rsidP="00B05B00">
            <w:pPr>
              <w:spacing w:line="274" w:lineRule="auto"/>
              <w:rPr>
                <w:rFonts w:cs="Times New Roman"/>
              </w:rPr>
            </w:pPr>
            <w:r w:rsidRPr="00592F65">
              <w:rPr>
                <w:rFonts w:eastAsia="Times New Roman" w:cs="Times New Roman"/>
              </w:rPr>
              <w:t>Smart Thermostat, Residential</w:t>
            </w:r>
          </w:p>
        </w:tc>
        <w:tc>
          <w:tcPr>
            <w:tcW w:w="2600" w:type="dxa"/>
            <w:noWrap/>
            <w:vAlign w:val="center"/>
            <w:hideMark/>
          </w:tcPr>
          <w:p w14:paraId="66641F4F" w14:textId="76AFFCB6" w:rsidR="00B05B00" w:rsidRPr="001C2DB1" w:rsidRDefault="00B05B00" w:rsidP="00B05B00">
            <w:pPr>
              <w:spacing w:line="274" w:lineRule="auto"/>
              <w:rPr>
                <w:rFonts w:cs="Times New Roman"/>
              </w:rPr>
            </w:pPr>
            <w:r w:rsidRPr="00592F65">
              <w:rPr>
                <w:rFonts w:eastAsia="Times New Roman" w:cs="Times New Roman"/>
              </w:rPr>
              <w:t>SWHC039-08</w:t>
            </w:r>
          </w:p>
        </w:tc>
      </w:tr>
      <w:tr w:rsidR="00B05B00" w:rsidRPr="001C2DB1" w14:paraId="2F44A9AF" w14:textId="77777777" w:rsidTr="0025233A">
        <w:trPr>
          <w:trHeight w:val="288"/>
        </w:trPr>
        <w:tc>
          <w:tcPr>
            <w:tcW w:w="6745" w:type="dxa"/>
            <w:noWrap/>
            <w:vAlign w:val="center"/>
            <w:hideMark/>
          </w:tcPr>
          <w:p w14:paraId="0F4B34B4" w14:textId="15687954" w:rsidR="00B05B00" w:rsidRPr="001C2DB1" w:rsidRDefault="00B05B00" w:rsidP="00B05B00">
            <w:pPr>
              <w:spacing w:line="274" w:lineRule="auto"/>
              <w:rPr>
                <w:rFonts w:cs="Times New Roman"/>
              </w:rPr>
            </w:pPr>
            <w:r w:rsidRPr="00592F65">
              <w:rPr>
                <w:rFonts w:eastAsia="Times New Roman" w:cs="Times New Roman"/>
              </w:rPr>
              <w:t>Ceiling Insulation, Residential</w:t>
            </w:r>
          </w:p>
        </w:tc>
        <w:tc>
          <w:tcPr>
            <w:tcW w:w="2600" w:type="dxa"/>
            <w:noWrap/>
            <w:vAlign w:val="center"/>
            <w:hideMark/>
          </w:tcPr>
          <w:p w14:paraId="53318EEB" w14:textId="6C6BFE3E" w:rsidR="00B05B00" w:rsidRPr="001C2DB1" w:rsidRDefault="00B05B00" w:rsidP="00B05B00">
            <w:pPr>
              <w:spacing w:line="274" w:lineRule="auto"/>
              <w:rPr>
                <w:rFonts w:cs="Times New Roman"/>
              </w:rPr>
            </w:pPr>
            <w:r w:rsidRPr="00592F65">
              <w:rPr>
                <w:rFonts w:eastAsia="Times New Roman" w:cs="Times New Roman"/>
              </w:rPr>
              <w:t>SWBE006-03</w:t>
            </w:r>
          </w:p>
        </w:tc>
      </w:tr>
      <w:tr w:rsidR="00B05B00" w:rsidRPr="001C2DB1" w14:paraId="2B7F067F" w14:textId="77777777" w:rsidTr="0025233A">
        <w:trPr>
          <w:trHeight w:val="288"/>
        </w:trPr>
        <w:tc>
          <w:tcPr>
            <w:tcW w:w="6745" w:type="dxa"/>
            <w:noWrap/>
            <w:vAlign w:val="center"/>
            <w:hideMark/>
          </w:tcPr>
          <w:p w14:paraId="782E7005" w14:textId="1E2965C5" w:rsidR="00B05B00" w:rsidRPr="001C2DB1" w:rsidRDefault="00B05B00" w:rsidP="00B05B00">
            <w:pPr>
              <w:spacing w:line="274" w:lineRule="auto"/>
              <w:rPr>
                <w:rFonts w:cs="Times New Roman"/>
              </w:rPr>
            </w:pPr>
            <w:r w:rsidRPr="00592F65">
              <w:rPr>
                <w:rFonts w:eastAsia="Times New Roman" w:cs="Times New Roman"/>
              </w:rPr>
              <w:t>Boiler, Multifamily</w:t>
            </w:r>
          </w:p>
        </w:tc>
        <w:tc>
          <w:tcPr>
            <w:tcW w:w="2600" w:type="dxa"/>
            <w:noWrap/>
            <w:vAlign w:val="center"/>
            <w:hideMark/>
          </w:tcPr>
          <w:p w14:paraId="288C5AAA" w14:textId="5B396823" w:rsidR="00B05B00" w:rsidRPr="001C2DB1" w:rsidRDefault="00B05B00" w:rsidP="00B05B00">
            <w:pPr>
              <w:spacing w:line="274" w:lineRule="auto"/>
              <w:rPr>
                <w:rFonts w:cs="Times New Roman"/>
              </w:rPr>
            </w:pPr>
            <w:r w:rsidRPr="00592F65">
              <w:rPr>
                <w:rFonts w:eastAsia="Times New Roman" w:cs="Times New Roman"/>
              </w:rPr>
              <w:t>SWWH010-02</w:t>
            </w:r>
          </w:p>
        </w:tc>
      </w:tr>
      <w:tr w:rsidR="00B05B00" w:rsidRPr="001C2DB1" w14:paraId="5CB6A205" w14:textId="77777777" w:rsidTr="0025233A">
        <w:trPr>
          <w:trHeight w:val="288"/>
        </w:trPr>
        <w:tc>
          <w:tcPr>
            <w:tcW w:w="6745" w:type="dxa"/>
            <w:noWrap/>
            <w:vAlign w:val="center"/>
            <w:hideMark/>
          </w:tcPr>
          <w:p w14:paraId="43290EB4" w14:textId="393C637A" w:rsidR="00B05B00" w:rsidRPr="001C2DB1" w:rsidRDefault="00B05B00" w:rsidP="00B05B00">
            <w:pPr>
              <w:spacing w:line="274" w:lineRule="auto"/>
              <w:rPr>
                <w:rFonts w:cs="Times New Roman"/>
              </w:rPr>
            </w:pPr>
            <w:r w:rsidRPr="00592F65">
              <w:rPr>
                <w:rFonts w:eastAsia="Times New Roman" w:cs="Times New Roman"/>
              </w:rPr>
              <w:t>Domestic Hot Water Loop Temperature Controller, Multifamily &amp; Commercial</w:t>
            </w:r>
          </w:p>
        </w:tc>
        <w:tc>
          <w:tcPr>
            <w:tcW w:w="2600" w:type="dxa"/>
            <w:noWrap/>
            <w:vAlign w:val="center"/>
            <w:hideMark/>
          </w:tcPr>
          <w:p w14:paraId="1925DDB2" w14:textId="73E9CE5A" w:rsidR="00B05B00" w:rsidRPr="001C2DB1" w:rsidRDefault="00B05B00" w:rsidP="00B05B00">
            <w:pPr>
              <w:spacing w:line="274" w:lineRule="auto"/>
              <w:rPr>
                <w:rFonts w:cs="Times New Roman"/>
              </w:rPr>
            </w:pPr>
            <w:r w:rsidRPr="00592F65">
              <w:rPr>
                <w:rFonts w:eastAsia="Times New Roman" w:cs="Times New Roman"/>
              </w:rPr>
              <w:t>SWWH016-03</w:t>
            </w:r>
          </w:p>
        </w:tc>
      </w:tr>
      <w:tr w:rsidR="00B05B00" w:rsidRPr="001C2DB1" w14:paraId="393CE60B" w14:textId="77777777" w:rsidTr="0025233A">
        <w:trPr>
          <w:trHeight w:val="288"/>
        </w:trPr>
        <w:tc>
          <w:tcPr>
            <w:tcW w:w="6745" w:type="dxa"/>
            <w:noWrap/>
            <w:vAlign w:val="center"/>
            <w:hideMark/>
          </w:tcPr>
          <w:p w14:paraId="65728809" w14:textId="33357ADC" w:rsidR="00B05B00" w:rsidRPr="001C2DB1" w:rsidRDefault="00B05B00" w:rsidP="00B05B00">
            <w:pPr>
              <w:spacing w:line="274" w:lineRule="auto"/>
              <w:rPr>
                <w:rFonts w:cs="Times New Roman"/>
              </w:rPr>
            </w:pPr>
            <w:r w:rsidRPr="00592F65">
              <w:rPr>
                <w:rFonts w:eastAsia="Times New Roman" w:cs="Times New Roman"/>
              </w:rPr>
              <w:t>Demand Control for Centralized Water Heater Recirculation Pump, Multifamily &amp; Commercial</w:t>
            </w:r>
          </w:p>
        </w:tc>
        <w:tc>
          <w:tcPr>
            <w:tcW w:w="2600" w:type="dxa"/>
            <w:noWrap/>
            <w:vAlign w:val="center"/>
            <w:hideMark/>
          </w:tcPr>
          <w:p w14:paraId="75D9A286" w14:textId="7A06EDFF" w:rsidR="00B05B00" w:rsidRPr="001C2DB1" w:rsidRDefault="00B05B00" w:rsidP="00B05B00">
            <w:pPr>
              <w:spacing w:line="274" w:lineRule="auto"/>
              <w:rPr>
                <w:rFonts w:cs="Times New Roman"/>
              </w:rPr>
            </w:pPr>
            <w:r w:rsidRPr="00592F65">
              <w:rPr>
                <w:rFonts w:eastAsia="Times New Roman" w:cs="Times New Roman"/>
              </w:rPr>
              <w:t>SWWH015-03</w:t>
            </w:r>
          </w:p>
        </w:tc>
      </w:tr>
      <w:tr w:rsidR="00B05B00" w:rsidRPr="001C2DB1" w14:paraId="745DE7FA" w14:textId="77777777" w:rsidTr="0025233A">
        <w:trPr>
          <w:trHeight w:val="288"/>
        </w:trPr>
        <w:tc>
          <w:tcPr>
            <w:tcW w:w="6745" w:type="dxa"/>
            <w:noWrap/>
            <w:vAlign w:val="center"/>
            <w:hideMark/>
          </w:tcPr>
          <w:p w14:paraId="7051F51B" w14:textId="55DE80BB" w:rsidR="00B05B00" w:rsidRPr="001C2DB1" w:rsidRDefault="00B05B00" w:rsidP="00B05B00">
            <w:pPr>
              <w:spacing w:line="274" w:lineRule="auto"/>
              <w:rPr>
                <w:rFonts w:cs="Times New Roman"/>
              </w:rPr>
            </w:pPr>
            <w:r w:rsidRPr="00592F65">
              <w:rPr>
                <w:rFonts w:eastAsia="Times New Roman" w:cs="Times New Roman"/>
              </w:rPr>
              <w:t>Oven, Gas, Residential</w:t>
            </w:r>
          </w:p>
        </w:tc>
        <w:tc>
          <w:tcPr>
            <w:tcW w:w="2600" w:type="dxa"/>
            <w:noWrap/>
            <w:vAlign w:val="center"/>
            <w:hideMark/>
          </w:tcPr>
          <w:p w14:paraId="13350718" w14:textId="3C94A67A" w:rsidR="00B05B00" w:rsidRPr="001C2DB1" w:rsidRDefault="00B05B00" w:rsidP="00B05B00">
            <w:pPr>
              <w:spacing w:line="274" w:lineRule="auto"/>
              <w:rPr>
                <w:rFonts w:cs="Times New Roman"/>
              </w:rPr>
            </w:pPr>
            <w:r w:rsidRPr="00592F65">
              <w:rPr>
                <w:rFonts w:eastAsia="Times New Roman" w:cs="Times New Roman"/>
              </w:rPr>
              <w:t>SWAP017-03</w:t>
            </w:r>
          </w:p>
        </w:tc>
      </w:tr>
      <w:tr w:rsidR="00B05B00" w:rsidRPr="001C2DB1" w14:paraId="05236CBE" w14:textId="77777777" w:rsidTr="0025233A">
        <w:trPr>
          <w:trHeight w:val="288"/>
        </w:trPr>
        <w:tc>
          <w:tcPr>
            <w:tcW w:w="6745" w:type="dxa"/>
            <w:noWrap/>
            <w:vAlign w:val="center"/>
            <w:hideMark/>
          </w:tcPr>
          <w:p w14:paraId="51994DDE" w14:textId="3F5C136D" w:rsidR="00B05B00" w:rsidRPr="001C2DB1" w:rsidRDefault="00B05B00" w:rsidP="00B05B00">
            <w:pPr>
              <w:spacing w:line="274" w:lineRule="auto"/>
              <w:rPr>
                <w:rFonts w:cs="Times New Roman"/>
              </w:rPr>
            </w:pPr>
            <w:r w:rsidRPr="00592F65">
              <w:rPr>
                <w:rFonts w:eastAsia="Times New Roman" w:cs="Times New Roman"/>
              </w:rPr>
              <w:t>Clothes Dryer, Residential</w:t>
            </w:r>
          </w:p>
        </w:tc>
        <w:tc>
          <w:tcPr>
            <w:tcW w:w="2600" w:type="dxa"/>
            <w:noWrap/>
            <w:vAlign w:val="center"/>
            <w:hideMark/>
          </w:tcPr>
          <w:p w14:paraId="014D14CB" w14:textId="3087D269" w:rsidR="00B05B00" w:rsidRPr="001C2DB1" w:rsidRDefault="00B05B00" w:rsidP="00B05B00">
            <w:pPr>
              <w:spacing w:line="274" w:lineRule="auto"/>
              <w:rPr>
                <w:rFonts w:cs="Times New Roman"/>
              </w:rPr>
            </w:pPr>
            <w:r w:rsidRPr="00592F65">
              <w:rPr>
                <w:rFonts w:eastAsia="Times New Roman" w:cs="Times New Roman"/>
              </w:rPr>
              <w:t>SWAP003-04</w:t>
            </w:r>
          </w:p>
        </w:tc>
      </w:tr>
      <w:tr w:rsidR="00B05B00" w:rsidRPr="001C2DB1" w14:paraId="2DF28BA5" w14:textId="77777777" w:rsidTr="0025233A">
        <w:trPr>
          <w:trHeight w:val="288"/>
        </w:trPr>
        <w:tc>
          <w:tcPr>
            <w:tcW w:w="6745" w:type="dxa"/>
            <w:noWrap/>
            <w:vAlign w:val="center"/>
            <w:hideMark/>
          </w:tcPr>
          <w:p w14:paraId="3B0F62F5" w14:textId="41A5951D" w:rsidR="00B05B00" w:rsidRPr="001C2DB1" w:rsidRDefault="00B05B00" w:rsidP="00B05B00">
            <w:pPr>
              <w:spacing w:line="274" w:lineRule="auto"/>
              <w:rPr>
                <w:rFonts w:cs="Times New Roman"/>
              </w:rPr>
            </w:pPr>
            <w:r w:rsidRPr="00592F65">
              <w:rPr>
                <w:rFonts w:eastAsia="Times New Roman" w:cs="Times New Roman"/>
              </w:rPr>
              <w:t>Faucet Aerator, Residential</w:t>
            </w:r>
          </w:p>
        </w:tc>
        <w:tc>
          <w:tcPr>
            <w:tcW w:w="2600" w:type="dxa"/>
            <w:noWrap/>
            <w:vAlign w:val="center"/>
            <w:hideMark/>
          </w:tcPr>
          <w:p w14:paraId="58541D3D" w14:textId="75250063" w:rsidR="00B05B00" w:rsidRPr="001C2DB1" w:rsidRDefault="00B05B00" w:rsidP="00B05B00">
            <w:pPr>
              <w:spacing w:line="274" w:lineRule="auto"/>
              <w:rPr>
                <w:rFonts w:cs="Times New Roman"/>
              </w:rPr>
            </w:pPr>
            <w:r w:rsidRPr="00592F65">
              <w:rPr>
                <w:rFonts w:eastAsia="Times New Roman" w:cs="Times New Roman"/>
              </w:rPr>
              <w:t>SWWH001-04</w:t>
            </w:r>
          </w:p>
        </w:tc>
      </w:tr>
      <w:tr w:rsidR="00B05B00" w:rsidRPr="001C2DB1" w14:paraId="46DD4B2C" w14:textId="77777777" w:rsidTr="0025233A">
        <w:trPr>
          <w:trHeight w:val="288"/>
        </w:trPr>
        <w:tc>
          <w:tcPr>
            <w:tcW w:w="6745" w:type="dxa"/>
            <w:noWrap/>
            <w:vAlign w:val="center"/>
            <w:hideMark/>
          </w:tcPr>
          <w:p w14:paraId="4CE414A7" w14:textId="5DB9A721" w:rsidR="00B05B00" w:rsidRPr="001C2DB1" w:rsidRDefault="00B05B00" w:rsidP="00B05B00">
            <w:pPr>
              <w:spacing w:line="274" w:lineRule="auto"/>
              <w:rPr>
                <w:rFonts w:cs="Times New Roman"/>
              </w:rPr>
            </w:pPr>
            <w:r w:rsidRPr="00592F65">
              <w:rPr>
                <w:rFonts w:eastAsia="Times New Roman" w:cs="Times New Roman"/>
              </w:rPr>
              <w:t>Furnace, Residential</w:t>
            </w:r>
          </w:p>
        </w:tc>
        <w:tc>
          <w:tcPr>
            <w:tcW w:w="2600" w:type="dxa"/>
            <w:noWrap/>
            <w:vAlign w:val="center"/>
            <w:hideMark/>
          </w:tcPr>
          <w:p w14:paraId="64F93118" w14:textId="57EAF11F" w:rsidR="00B05B00" w:rsidRPr="001C2DB1" w:rsidRDefault="00B05B00" w:rsidP="00B05B00">
            <w:pPr>
              <w:spacing w:line="274" w:lineRule="auto"/>
              <w:rPr>
                <w:rFonts w:cs="Times New Roman"/>
              </w:rPr>
            </w:pPr>
            <w:r w:rsidRPr="00592F65">
              <w:rPr>
                <w:rFonts w:eastAsia="Times New Roman" w:cs="Times New Roman"/>
              </w:rPr>
              <w:t>SWHC031-03</w:t>
            </w:r>
          </w:p>
        </w:tc>
      </w:tr>
      <w:tr w:rsidR="00B05B00" w:rsidRPr="001C2DB1" w14:paraId="2838C0D3" w14:textId="77777777" w:rsidTr="0025233A">
        <w:trPr>
          <w:trHeight w:val="288"/>
        </w:trPr>
        <w:tc>
          <w:tcPr>
            <w:tcW w:w="6745" w:type="dxa"/>
            <w:noWrap/>
            <w:vAlign w:val="center"/>
            <w:hideMark/>
          </w:tcPr>
          <w:p w14:paraId="3299AE94" w14:textId="563C5580" w:rsidR="00B05B00" w:rsidRPr="001C2DB1" w:rsidRDefault="00B05B00" w:rsidP="00B05B00">
            <w:pPr>
              <w:spacing w:line="274" w:lineRule="auto"/>
              <w:rPr>
                <w:rFonts w:cs="Times New Roman"/>
              </w:rPr>
            </w:pPr>
            <w:r w:rsidRPr="00592F65">
              <w:rPr>
                <w:rFonts w:eastAsia="Times New Roman" w:cs="Times New Roman"/>
              </w:rPr>
              <w:t>Water Heater Pipe Wrap, Residential</w:t>
            </w:r>
          </w:p>
        </w:tc>
        <w:tc>
          <w:tcPr>
            <w:tcW w:w="2600" w:type="dxa"/>
            <w:noWrap/>
            <w:vAlign w:val="center"/>
            <w:hideMark/>
          </w:tcPr>
          <w:p w14:paraId="4CCB2434" w14:textId="644B6669" w:rsidR="00B05B00" w:rsidRPr="001C2DB1" w:rsidRDefault="00B05B00" w:rsidP="00B05B00">
            <w:pPr>
              <w:spacing w:line="274" w:lineRule="auto"/>
              <w:rPr>
                <w:rFonts w:cs="Times New Roman"/>
              </w:rPr>
            </w:pPr>
            <w:r w:rsidRPr="00592F65">
              <w:rPr>
                <w:rFonts w:eastAsia="Times New Roman" w:cs="Times New Roman"/>
              </w:rPr>
              <w:t>SWWH026-03</w:t>
            </w:r>
          </w:p>
        </w:tc>
      </w:tr>
      <w:tr w:rsidR="00B05B00" w:rsidRPr="001C2DB1" w14:paraId="59EDC526" w14:textId="77777777" w:rsidTr="0025233A">
        <w:trPr>
          <w:trHeight w:val="288"/>
        </w:trPr>
        <w:tc>
          <w:tcPr>
            <w:tcW w:w="6745" w:type="dxa"/>
            <w:noWrap/>
            <w:vAlign w:val="center"/>
            <w:hideMark/>
          </w:tcPr>
          <w:p w14:paraId="244A21A4" w14:textId="39196ADA" w:rsidR="00B05B00" w:rsidRPr="001C2DB1" w:rsidRDefault="00B05B00" w:rsidP="00B05B00">
            <w:pPr>
              <w:spacing w:line="274" w:lineRule="auto"/>
              <w:rPr>
                <w:rFonts w:cs="Times New Roman"/>
              </w:rPr>
            </w:pPr>
            <w:r w:rsidRPr="00592F65">
              <w:rPr>
                <w:rFonts w:eastAsia="Times New Roman" w:cs="Times New Roman"/>
              </w:rPr>
              <w:t>Low-Flow Showerhead, Residential</w:t>
            </w:r>
          </w:p>
        </w:tc>
        <w:tc>
          <w:tcPr>
            <w:tcW w:w="2600" w:type="dxa"/>
            <w:noWrap/>
            <w:vAlign w:val="center"/>
            <w:hideMark/>
          </w:tcPr>
          <w:p w14:paraId="4AF952E4" w14:textId="6C1E23D5" w:rsidR="00B05B00" w:rsidRPr="001C2DB1" w:rsidRDefault="00B05B00" w:rsidP="00B05B00">
            <w:pPr>
              <w:spacing w:line="274" w:lineRule="auto"/>
              <w:rPr>
                <w:rFonts w:cs="Times New Roman"/>
              </w:rPr>
            </w:pPr>
            <w:r w:rsidRPr="00592F65">
              <w:rPr>
                <w:rFonts w:eastAsia="Times New Roman" w:cs="Times New Roman"/>
              </w:rPr>
              <w:t>SWWH002-04</w:t>
            </w:r>
          </w:p>
        </w:tc>
      </w:tr>
      <w:tr w:rsidR="00B05B00" w:rsidRPr="001C2DB1" w14:paraId="195D1331" w14:textId="77777777" w:rsidTr="0025233A">
        <w:trPr>
          <w:trHeight w:val="288"/>
        </w:trPr>
        <w:tc>
          <w:tcPr>
            <w:tcW w:w="6745" w:type="dxa"/>
            <w:noWrap/>
            <w:vAlign w:val="center"/>
            <w:hideMark/>
          </w:tcPr>
          <w:p w14:paraId="11B13838" w14:textId="658C433C" w:rsidR="00B05B00" w:rsidRPr="001C2DB1" w:rsidRDefault="00B05B00" w:rsidP="00B05B00">
            <w:pPr>
              <w:spacing w:line="274" w:lineRule="auto"/>
              <w:rPr>
                <w:rFonts w:cs="Times New Roman"/>
              </w:rPr>
            </w:pPr>
            <w:r w:rsidRPr="00592F65">
              <w:rPr>
                <w:rFonts w:eastAsia="Times New Roman" w:cs="Times New Roman"/>
              </w:rPr>
              <w:t>Heater for Pool or Spa, Commercial and Multifamily</w:t>
            </w:r>
          </w:p>
        </w:tc>
        <w:tc>
          <w:tcPr>
            <w:tcW w:w="2600" w:type="dxa"/>
            <w:noWrap/>
            <w:vAlign w:val="center"/>
            <w:hideMark/>
          </w:tcPr>
          <w:p w14:paraId="56C68805" w14:textId="7B1F1520" w:rsidR="00B05B00" w:rsidRPr="001C2DB1" w:rsidRDefault="00B05B00" w:rsidP="00B05B00">
            <w:pPr>
              <w:spacing w:line="274" w:lineRule="auto"/>
              <w:rPr>
                <w:rFonts w:cs="Times New Roman"/>
              </w:rPr>
            </w:pPr>
            <w:r w:rsidRPr="00592F65">
              <w:rPr>
                <w:rFonts w:eastAsia="Times New Roman" w:cs="Times New Roman"/>
              </w:rPr>
              <w:t>SWRE003-03</w:t>
            </w:r>
          </w:p>
        </w:tc>
      </w:tr>
      <w:tr w:rsidR="00B05B00" w:rsidRPr="001C2DB1" w14:paraId="3F82D354" w14:textId="77777777" w:rsidTr="0025233A">
        <w:trPr>
          <w:trHeight w:val="288"/>
        </w:trPr>
        <w:tc>
          <w:tcPr>
            <w:tcW w:w="6745" w:type="dxa"/>
            <w:noWrap/>
            <w:vAlign w:val="center"/>
            <w:hideMark/>
          </w:tcPr>
          <w:p w14:paraId="22B5FD71" w14:textId="5DD8F0E5" w:rsidR="00B05B00" w:rsidRPr="001C2DB1" w:rsidRDefault="00B05B00" w:rsidP="00B05B00">
            <w:pPr>
              <w:spacing w:line="274" w:lineRule="auto"/>
              <w:rPr>
                <w:rFonts w:cs="Times New Roman"/>
              </w:rPr>
            </w:pPr>
            <w:r w:rsidRPr="00592F65">
              <w:rPr>
                <w:rFonts w:eastAsia="Times New Roman" w:cs="Times New Roman"/>
              </w:rPr>
              <w:t>Tankless Water Heater, Residential</w:t>
            </w:r>
          </w:p>
        </w:tc>
        <w:tc>
          <w:tcPr>
            <w:tcW w:w="2600" w:type="dxa"/>
            <w:noWrap/>
            <w:vAlign w:val="center"/>
            <w:hideMark/>
          </w:tcPr>
          <w:p w14:paraId="3AC8AC32" w14:textId="685B626F" w:rsidR="00B05B00" w:rsidRPr="001C2DB1" w:rsidRDefault="00B05B00" w:rsidP="00B05B00">
            <w:pPr>
              <w:spacing w:line="274" w:lineRule="auto"/>
              <w:rPr>
                <w:rFonts w:cs="Times New Roman"/>
              </w:rPr>
            </w:pPr>
            <w:r w:rsidRPr="00592F65">
              <w:rPr>
                <w:rFonts w:eastAsia="Times New Roman" w:cs="Times New Roman"/>
              </w:rPr>
              <w:t>SWWH013-03</w:t>
            </w:r>
          </w:p>
        </w:tc>
      </w:tr>
      <w:tr w:rsidR="00B05B00" w:rsidRPr="001C2DB1" w14:paraId="748055CB" w14:textId="77777777" w:rsidTr="0025233A">
        <w:trPr>
          <w:trHeight w:val="288"/>
        </w:trPr>
        <w:tc>
          <w:tcPr>
            <w:tcW w:w="6745" w:type="dxa"/>
            <w:noWrap/>
            <w:vAlign w:val="center"/>
            <w:hideMark/>
          </w:tcPr>
          <w:p w14:paraId="18F21D34" w14:textId="5B424FCE" w:rsidR="00B05B00" w:rsidRPr="001C2DB1" w:rsidRDefault="00B05B00" w:rsidP="00B05B00">
            <w:pPr>
              <w:spacing w:line="274" w:lineRule="auto"/>
              <w:rPr>
                <w:rFonts w:cs="Times New Roman"/>
              </w:rPr>
            </w:pPr>
            <w:r w:rsidRPr="00592F65">
              <w:rPr>
                <w:rFonts w:eastAsia="Times New Roman" w:cs="Times New Roman"/>
              </w:rPr>
              <w:t>Storage Water Heater, Residential</w:t>
            </w:r>
          </w:p>
        </w:tc>
        <w:tc>
          <w:tcPr>
            <w:tcW w:w="2600" w:type="dxa"/>
            <w:noWrap/>
            <w:vAlign w:val="center"/>
            <w:hideMark/>
          </w:tcPr>
          <w:p w14:paraId="1B5705A5" w14:textId="080B6BDD" w:rsidR="00B05B00" w:rsidRPr="001C2DB1" w:rsidRDefault="00B05B00" w:rsidP="00B05B00">
            <w:pPr>
              <w:spacing w:line="274" w:lineRule="auto"/>
              <w:rPr>
                <w:rFonts w:cs="Times New Roman"/>
              </w:rPr>
            </w:pPr>
            <w:r w:rsidRPr="00592F65">
              <w:rPr>
                <w:rFonts w:eastAsia="Times New Roman" w:cs="Times New Roman"/>
              </w:rPr>
              <w:t>SWWH012-03</w:t>
            </w:r>
          </w:p>
        </w:tc>
      </w:tr>
      <w:tr w:rsidR="00B05B00" w:rsidRPr="001C2DB1" w14:paraId="48AA8AC5" w14:textId="77777777" w:rsidTr="0025233A">
        <w:trPr>
          <w:trHeight w:val="288"/>
        </w:trPr>
        <w:tc>
          <w:tcPr>
            <w:tcW w:w="6745" w:type="dxa"/>
            <w:noWrap/>
            <w:vAlign w:val="center"/>
            <w:hideMark/>
          </w:tcPr>
          <w:p w14:paraId="7A683831" w14:textId="5A49CBD7" w:rsidR="00B05B00" w:rsidRPr="001C2DB1" w:rsidRDefault="00B05B00" w:rsidP="00B05B00">
            <w:pPr>
              <w:spacing w:line="274" w:lineRule="auto"/>
              <w:rPr>
                <w:rFonts w:cs="Times New Roman"/>
              </w:rPr>
            </w:pPr>
            <w:r w:rsidRPr="00592F65">
              <w:rPr>
                <w:rFonts w:eastAsia="Times New Roman" w:cs="Times New Roman"/>
              </w:rPr>
              <w:t>Heat Pump Water Heater, Residential, Fuel Substitution</w:t>
            </w:r>
          </w:p>
        </w:tc>
        <w:tc>
          <w:tcPr>
            <w:tcW w:w="2600" w:type="dxa"/>
            <w:noWrap/>
            <w:vAlign w:val="center"/>
            <w:hideMark/>
          </w:tcPr>
          <w:p w14:paraId="0B409BED" w14:textId="01190C3E" w:rsidR="00B05B00" w:rsidRPr="001C2DB1" w:rsidRDefault="00B05B00" w:rsidP="00B05B00">
            <w:pPr>
              <w:spacing w:line="274" w:lineRule="auto"/>
              <w:rPr>
                <w:rFonts w:cs="Times New Roman"/>
              </w:rPr>
            </w:pPr>
            <w:r w:rsidRPr="00592F65">
              <w:rPr>
                <w:rFonts w:eastAsia="Times New Roman" w:cs="Times New Roman"/>
              </w:rPr>
              <w:t>SWWH025-07</w:t>
            </w:r>
          </w:p>
        </w:tc>
      </w:tr>
      <w:tr w:rsidR="00B05B00" w:rsidRPr="001C2DB1" w14:paraId="027F3FD5" w14:textId="77777777" w:rsidTr="0025233A">
        <w:trPr>
          <w:trHeight w:val="288"/>
        </w:trPr>
        <w:tc>
          <w:tcPr>
            <w:tcW w:w="6745" w:type="dxa"/>
            <w:noWrap/>
            <w:vAlign w:val="center"/>
            <w:hideMark/>
          </w:tcPr>
          <w:p w14:paraId="519A7FD5" w14:textId="03E2C813" w:rsidR="00B05B00" w:rsidRPr="001C2DB1" w:rsidRDefault="00B05B00" w:rsidP="00B05B00">
            <w:pPr>
              <w:spacing w:line="274" w:lineRule="auto"/>
              <w:rPr>
                <w:rFonts w:cs="Times New Roman"/>
              </w:rPr>
            </w:pPr>
            <w:r w:rsidRPr="00592F65">
              <w:rPr>
                <w:rFonts w:eastAsia="Times New Roman" w:cs="Times New Roman"/>
              </w:rPr>
              <w:t>UL Type B LED Mogul Base Lamp HID Retrofits for Outdoor Area/Pole and Decorative Fixtures</w:t>
            </w:r>
          </w:p>
        </w:tc>
        <w:tc>
          <w:tcPr>
            <w:tcW w:w="2600" w:type="dxa"/>
            <w:noWrap/>
            <w:vAlign w:val="center"/>
            <w:hideMark/>
          </w:tcPr>
          <w:p w14:paraId="2F26E72C" w14:textId="70E722EB" w:rsidR="00B05B00" w:rsidRPr="001C2DB1" w:rsidRDefault="00B05B00" w:rsidP="00B05B00">
            <w:pPr>
              <w:spacing w:line="274" w:lineRule="auto"/>
              <w:rPr>
                <w:rFonts w:cs="Times New Roman"/>
              </w:rPr>
            </w:pPr>
            <w:r w:rsidRPr="00592F65">
              <w:rPr>
                <w:rFonts w:eastAsia="Times New Roman" w:cs="Times New Roman"/>
              </w:rPr>
              <w:t>SWLG020-02</w:t>
            </w:r>
          </w:p>
        </w:tc>
      </w:tr>
      <w:tr w:rsidR="00B05B00" w:rsidRPr="001C2DB1" w14:paraId="4CBABC41" w14:textId="77777777" w:rsidTr="0025233A">
        <w:trPr>
          <w:trHeight w:val="288"/>
        </w:trPr>
        <w:tc>
          <w:tcPr>
            <w:tcW w:w="6745" w:type="dxa"/>
            <w:noWrap/>
            <w:vAlign w:val="center"/>
            <w:hideMark/>
          </w:tcPr>
          <w:p w14:paraId="66C06E5F" w14:textId="4779535C" w:rsidR="00B05B00" w:rsidRPr="001C2DB1" w:rsidRDefault="00B05B00" w:rsidP="00B05B00">
            <w:pPr>
              <w:spacing w:line="274" w:lineRule="auto"/>
              <w:rPr>
                <w:rFonts w:cs="Times New Roman"/>
              </w:rPr>
            </w:pPr>
            <w:r w:rsidRPr="00592F65">
              <w:rPr>
                <w:rFonts w:eastAsia="Times New Roman" w:cs="Times New Roman"/>
              </w:rPr>
              <w:t>Hot Water Tank Insulation, Nonresidential and Multifamily</w:t>
            </w:r>
          </w:p>
        </w:tc>
        <w:tc>
          <w:tcPr>
            <w:tcW w:w="2600" w:type="dxa"/>
            <w:noWrap/>
            <w:vAlign w:val="center"/>
            <w:hideMark/>
          </w:tcPr>
          <w:p w14:paraId="7F5721DB" w14:textId="0499485D" w:rsidR="00B05B00" w:rsidRPr="001C2DB1" w:rsidRDefault="00B05B00" w:rsidP="00B05B00">
            <w:pPr>
              <w:spacing w:line="274" w:lineRule="auto"/>
              <w:rPr>
                <w:rFonts w:cs="Times New Roman"/>
              </w:rPr>
            </w:pPr>
            <w:r w:rsidRPr="00592F65">
              <w:rPr>
                <w:rFonts w:eastAsia="Times New Roman" w:cs="Times New Roman"/>
              </w:rPr>
              <w:t>SWWH018-04</w:t>
            </w:r>
          </w:p>
        </w:tc>
      </w:tr>
      <w:tr w:rsidR="00B05B00" w:rsidRPr="001C2DB1" w14:paraId="27733B54" w14:textId="77777777" w:rsidTr="0025233A">
        <w:trPr>
          <w:trHeight w:val="288"/>
        </w:trPr>
        <w:tc>
          <w:tcPr>
            <w:tcW w:w="6745" w:type="dxa"/>
            <w:noWrap/>
            <w:vAlign w:val="center"/>
            <w:hideMark/>
          </w:tcPr>
          <w:p w14:paraId="32D4E075" w14:textId="641076AF" w:rsidR="00B05B00" w:rsidRPr="001C2DB1" w:rsidRDefault="00B05B00" w:rsidP="00B05B00">
            <w:pPr>
              <w:spacing w:line="274" w:lineRule="auto"/>
              <w:rPr>
                <w:rFonts w:cs="Times New Roman"/>
              </w:rPr>
            </w:pPr>
            <w:r w:rsidRPr="00592F65">
              <w:rPr>
                <w:rFonts w:eastAsia="Times New Roman" w:cs="Times New Roman"/>
              </w:rPr>
              <w:t>Brushless Fan Motor Replacement, Residential</w:t>
            </w:r>
          </w:p>
        </w:tc>
        <w:tc>
          <w:tcPr>
            <w:tcW w:w="2600" w:type="dxa"/>
            <w:noWrap/>
            <w:vAlign w:val="center"/>
            <w:hideMark/>
          </w:tcPr>
          <w:p w14:paraId="2BB3AFFD" w14:textId="0CC88085" w:rsidR="00B05B00" w:rsidRPr="001C2DB1" w:rsidRDefault="00B05B00" w:rsidP="00B05B00">
            <w:pPr>
              <w:spacing w:line="274" w:lineRule="auto"/>
              <w:rPr>
                <w:rFonts w:cs="Times New Roman"/>
              </w:rPr>
            </w:pPr>
            <w:r w:rsidRPr="00592F65">
              <w:rPr>
                <w:rFonts w:eastAsia="Times New Roman" w:cs="Times New Roman"/>
              </w:rPr>
              <w:t>SWHC038-04</w:t>
            </w:r>
          </w:p>
        </w:tc>
      </w:tr>
      <w:tr w:rsidR="00B05B00" w:rsidRPr="001C2DB1" w14:paraId="56A7D6D9" w14:textId="77777777" w:rsidTr="0025233A">
        <w:trPr>
          <w:trHeight w:val="288"/>
        </w:trPr>
        <w:tc>
          <w:tcPr>
            <w:tcW w:w="6745" w:type="dxa"/>
            <w:noWrap/>
            <w:vAlign w:val="center"/>
            <w:hideMark/>
          </w:tcPr>
          <w:p w14:paraId="7B717864" w14:textId="5F70680D" w:rsidR="00B05B00" w:rsidRPr="001C2DB1" w:rsidRDefault="00B05B00" w:rsidP="00B05B00">
            <w:pPr>
              <w:spacing w:line="274" w:lineRule="auto"/>
              <w:rPr>
                <w:rFonts w:cs="Times New Roman"/>
              </w:rPr>
            </w:pPr>
            <w:r w:rsidRPr="00592F65">
              <w:rPr>
                <w:rFonts w:eastAsia="Times New Roman" w:cs="Times New Roman"/>
              </w:rPr>
              <w:t>Duct Seal, Residential</w:t>
            </w:r>
          </w:p>
        </w:tc>
        <w:tc>
          <w:tcPr>
            <w:tcW w:w="2600" w:type="dxa"/>
            <w:noWrap/>
            <w:vAlign w:val="center"/>
            <w:hideMark/>
          </w:tcPr>
          <w:p w14:paraId="4B249D00" w14:textId="2A0D105D" w:rsidR="00B05B00" w:rsidRPr="001C2DB1" w:rsidRDefault="00B05B00" w:rsidP="00B05B00">
            <w:pPr>
              <w:spacing w:line="274" w:lineRule="auto"/>
              <w:rPr>
                <w:rFonts w:cs="Times New Roman"/>
              </w:rPr>
            </w:pPr>
            <w:r w:rsidRPr="00592F65">
              <w:rPr>
                <w:rFonts w:eastAsia="Times New Roman" w:cs="Times New Roman"/>
              </w:rPr>
              <w:t>SWSV001-06</w:t>
            </w:r>
          </w:p>
        </w:tc>
      </w:tr>
      <w:tr w:rsidR="00A1629D" w:rsidRPr="001C2DB1" w14:paraId="0F20ABBF" w14:textId="77777777" w:rsidTr="0025233A">
        <w:trPr>
          <w:trHeight w:val="288"/>
        </w:trPr>
        <w:tc>
          <w:tcPr>
            <w:tcW w:w="6745" w:type="dxa"/>
            <w:noWrap/>
            <w:vAlign w:val="center"/>
          </w:tcPr>
          <w:p w14:paraId="6A33FAF2" w14:textId="4E1CA24A" w:rsidR="00A1629D" w:rsidRPr="001C2DB1" w:rsidRDefault="00A1629D" w:rsidP="00A1629D">
            <w:pPr>
              <w:spacing w:line="274" w:lineRule="auto"/>
              <w:rPr>
                <w:rFonts w:eastAsia="Times New Roman" w:cs="Times New Roman"/>
              </w:rPr>
            </w:pPr>
            <w:r w:rsidRPr="001C2DB1">
              <w:t>Hot Water Pipe Insulation, Nonresidential and Multifamily</w:t>
            </w:r>
          </w:p>
        </w:tc>
        <w:tc>
          <w:tcPr>
            <w:tcW w:w="2600" w:type="dxa"/>
            <w:noWrap/>
            <w:vAlign w:val="center"/>
          </w:tcPr>
          <w:p w14:paraId="672EF2AC" w14:textId="3B8AD8E2" w:rsidR="00A1629D" w:rsidRPr="001C2DB1" w:rsidRDefault="00A1629D" w:rsidP="00A1629D">
            <w:pPr>
              <w:spacing w:line="274" w:lineRule="auto"/>
              <w:rPr>
                <w:rFonts w:eastAsia="Times New Roman" w:cs="Times New Roman"/>
              </w:rPr>
            </w:pPr>
            <w:r w:rsidRPr="001C2DB1">
              <w:t>SWWH017-05</w:t>
            </w:r>
          </w:p>
        </w:tc>
      </w:tr>
      <w:tr w:rsidR="00A1629D" w:rsidRPr="001C2DB1" w14:paraId="6BE9F201" w14:textId="77777777" w:rsidTr="0025233A">
        <w:trPr>
          <w:trHeight w:val="288"/>
        </w:trPr>
        <w:tc>
          <w:tcPr>
            <w:tcW w:w="6745" w:type="dxa"/>
            <w:noWrap/>
            <w:vAlign w:val="center"/>
          </w:tcPr>
          <w:p w14:paraId="333D81BB" w14:textId="58AF346F" w:rsidR="00A1629D" w:rsidRPr="001C2DB1" w:rsidRDefault="00A1629D" w:rsidP="00A1629D">
            <w:pPr>
              <w:spacing w:line="274" w:lineRule="auto"/>
              <w:rPr>
                <w:rFonts w:eastAsia="Times New Roman" w:cs="Times New Roman"/>
              </w:rPr>
            </w:pPr>
            <w:r w:rsidRPr="001C2DB1">
              <w:t>Smart Fan Controller, Residential</w:t>
            </w:r>
          </w:p>
        </w:tc>
        <w:tc>
          <w:tcPr>
            <w:tcW w:w="2600" w:type="dxa"/>
            <w:noWrap/>
            <w:vAlign w:val="center"/>
          </w:tcPr>
          <w:p w14:paraId="59A6B7E7" w14:textId="547B7A76" w:rsidR="00A1629D" w:rsidRPr="001C2DB1" w:rsidRDefault="00A1629D" w:rsidP="00A1629D">
            <w:pPr>
              <w:spacing w:line="274" w:lineRule="auto"/>
              <w:rPr>
                <w:rFonts w:eastAsia="Times New Roman" w:cs="Times New Roman"/>
              </w:rPr>
            </w:pPr>
            <w:r w:rsidRPr="001C2DB1">
              <w:t>SWHC059-02</w:t>
            </w:r>
          </w:p>
        </w:tc>
      </w:tr>
      <w:bookmarkEnd w:id="69"/>
    </w:tbl>
    <w:p w14:paraId="36465239" w14:textId="1F6F4510" w:rsidR="001D6A87" w:rsidRPr="00401158" w:rsidRDefault="00C66A95" w:rsidP="002B3482">
      <w:pPr>
        <w:pStyle w:val="BodyText"/>
        <w:keepNext/>
        <w:ind w:left="0"/>
        <w:rPr>
          <w:b/>
          <w:bCs/>
        </w:rPr>
      </w:pPr>
      <w:r>
        <w:rPr>
          <w:b/>
          <w:bCs/>
        </w:rPr>
        <w:br w:type="page"/>
      </w:r>
      <w:r w:rsidR="002B3482">
        <w:rPr>
          <w:b/>
          <w:bCs/>
        </w:rPr>
        <w:lastRenderedPageBreak/>
        <w:t>M</w:t>
      </w:r>
      <w:r w:rsidR="00A273E3" w:rsidRPr="00401158">
        <w:rPr>
          <w:b/>
          <w:bCs/>
        </w:rPr>
        <w:t>easure Costs</w:t>
      </w:r>
    </w:p>
    <w:p w14:paraId="4013534D" w14:textId="692A025A" w:rsidR="003A2546" w:rsidRPr="002B3482" w:rsidRDefault="00401158" w:rsidP="00A1629D">
      <w:pPr>
        <w:pStyle w:val="BodyText"/>
        <w:keepNext/>
        <w:ind w:left="0"/>
      </w:pPr>
      <w:r w:rsidRPr="00401158">
        <w:t xml:space="preserve">Below are the </w:t>
      </w:r>
      <w:r w:rsidR="00483B0F">
        <w:t xml:space="preserve">estimated </w:t>
      </w:r>
      <w:r w:rsidR="00483B0F" w:rsidRPr="00401158">
        <w:t>DI</w:t>
      </w:r>
      <w:r w:rsidRPr="00401158">
        <w:t xml:space="preserve"> costs </w:t>
      </w:r>
      <w:r w:rsidR="003D3E27">
        <w:t xml:space="preserve">for </w:t>
      </w:r>
      <w:r w:rsidR="005E099D">
        <w:t xml:space="preserve">measures </w:t>
      </w:r>
      <w:r w:rsidR="003D3E27">
        <w:t xml:space="preserve">anticipated </w:t>
      </w:r>
      <w:r w:rsidR="005E099D">
        <w:t>to be installed. Costs are b</w:t>
      </w:r>
      <w:r w:rsidRPr="00401158">
        <w:t xml:space="preserve">ased on </w:t>
      </w:r>
      <w:proofErr w:type="gramStart"/>
      <w:r w:rsidRPr="00401158">
        <w:t>actual</w:t>
      </w:r>
      <w:proofErr w:type="gramEnd"/>
      <w:r w:rsidRPr="00401158">
        <w:t xml:space="preserve"> contractor’s quoted prices and full measure costs </w:t>
      </w:r>
      <w:r w:rsidR="007D4CB9">
        <w:t xml:space="preserve">as indicated in existing measure packages </w:t>
      </w:r>
      <w:r w:rsidRPr="00401158">
        <w:t>whe</w:t>
      </w:r>
      <w:r>
        <w:t xml:space="preserve">n </w:t>
      </w:r>
      <w:r w:rsidRPr="00401158">
        <w:t xml:space="preserve">not </w:t>
      </w:r>
      <w:r w:rsidRPr="002B3482">
        <w:t>available.</w:t>
      </w:r>
    </w:p>
    <w:p w14:paraId="0CFFE8AC" w14:textId="36A52486" w:rsidR="00224704" w:rsidRPr="002B3482" w:rsidRDefault="00224704" w:rsidP="00224704">
      <w:pPr>
        <w:pStyle w:val="Caption"/>
        <w:jc w:val="left"/>
        <w:rPr>
          <w:sz w:val="22"/>
          <w:szCs w:val="18"/>
        </w:rPr>
      </w:pPr>
      <w:r w:rsidRPr="002B3482">
        <w:rPr>
          <w:sz w:val="22"/>
          <w:szCs w:val="18"/>
        </w:rPr>
        <w:t xml:space="preserve">Exhibit </w:t>
      </w:r>
      <w:r w:rsidRPr="002B3482">
        <w:rPr>
          <w:sz w:val="22"/>
          <w:szCs w:val="18"/>
        </w:rPr>
        <w:fldChar w:fldCharType="begin"/>
      </w:r>
      <w:r w:rsidRPr="002B3482">
        <w:rPr>
          <w:sz w:val="22"/>
          <w:szCs w:val="18"/>
        </w:rPr>
        <w:instrText xml:space="preserve"> SEQ Exhibit \* ARABIC </w:instrText>
      </w:r>
      <w:r w:rsidRPr="002B3482">
        <w:rPr>
          <w:sz w:val="22"/>
          <w:szCs w:val="18"/>
        </w:rPr>
        <w:fldChar w:fldCharType="separate"/>
      </w:r>
      <w:r w:rsidR="00180F39">
        <w:rPr>
          <w:noProof/>
          <w:sz w:val="22"/>
          <w:szCs w:val="18"/>
        </w:rPr>
        <w:t>10</w:t>
      </w:r>
      <w:r w:rsidRPr="002B3482">
        <w:rPr>
          <w:sz w:val="22"/>
          <w:szCs w:val="18"/>
        </w:rPr>
        <w:fldChar w:fldCharType="end"/>
      </w:r>
      <w:r w:rsidRPr="002B3482">
        <w:rPr>
          <w:sz w:val="22"/>
          <w:szCs w:val="18"/>
        </w:rPr>
        <w:t>. Measure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5"/>
        <w:gridCol w:w="1890"/>
        <w:gridCol w:w="1070"/>
      </w:tblGrid>
      <w:tr w:rsidR="003A2546" w:rsidRPr="003A2546" w14:paraId="5A719CA1" w14:textId="77777777" w:rsidTr="00224704">
        <w:trPr>
          <w:trHeight w:val="144"/>
        </w:trPr>
        <w:tc>
          <w:tcPr>
            <w:tcW w:w="6385" w:type="dxa"/>
            <w:shd w:val="clear" w:color="000000" w:fill="D9D9D9"/>
            <w:noWrap/>
            <w:vAlign w:val="center"/>
            <w:hideMark/>
          </w:tcPr>
          <w:p w14:paraId="62A81EBD" w14:textId="77777777" w:rsidR="003A2546" w:rsidRPr="003A2546" w:rsidRDefault="003A2546" w:rsidP="003A2546">
            <w:pPr>
              <w:spacing w:before="120" w:after="120" w:line="240" w:lineRule="auto"/>
              <w:jc w:val="center"/>
              <w:rPr>
                <w:rFonts w:eastAsia="Times New Roman" w:cs="Times New Roman"/>
                <w:b/>
                <w:bCs/>
                <w:color w:val="000000"/>
              </w:rPr>
            </w:pPr>
            <w:r w:rsidRPr="003A2546">
              <w:rPr>
                <w:rFonts w:eastAsia="Arial" w:cs="Times New Roman"/>
                <w:b/>
                <w:bCs/>
                <w:color w:val="000000"/>
              </w:rPr>
              <w:t>Measures</w:t>
            </w:r>
          </w:p>
        </w:tc>
        <w:tc>
          <w:tcPr>
            <w:tcW w:w="1890" w:type="dxa"/>
            <w:shd w:val="clear" w:color="000000" w:fill="D9D9D9"/>
            <w:noWrap/>
            <w:vAlign w:val="center"/>
            <w:hideMark/>
          </w:tcPr>
          <w:p w14:paraId="66B02215" w14:textId="74DC5129" w:rsidR="003A2546" w:rsidRPr="003A2546" w:rsidRDefault="003A2546" w:rsidP="003A2546">
            <w:pPr>
              <w:spacing w:before="120" w:after="120" w:line="240" w:lineRule="auto"/>
              <w:jc w:val="center"/>
              <w:rPr>
                <w:rFonts w:eastAsia="Times New Roman" w:cs="Times New Roman"/>
                <w:b/>
                <w:bCs/>
                <w:color w:val="000000"/>
              </w:rPr>
            </w:pPr>
            <w:r w:rsidRPr="003A2546">
              <w:rPr>
                <w:rFonts w:eastAsia="Times New Roman" w:cs="Times New Roman"/>
                <w:b/>
                <w:bCs/>
                <w:color w:val="000000"/>
              </w:rPr>
              <w:t>Normalize</w:t>
            </w:r>
            <w:r w:rsidR="00C1460A">
              <w:rPr>
                <w:rFonts w:eastAsia="Times New Roman" w:cs="Times New Roman"/>
                <w:b/>
                <w:bCs/>
                <w:color w:val="000000"/>
              </w:rPr>
              <w:t>d</w:t>
            </w:r>
            <w:r w:rsidRPr="003A2546">
              <w:rPr>
                <w:rFonts w:eastAsia="Times New Roman" w:cs="Times New Roman"/>
                <w:b/>
                <w:bCs/>
                <w:color w:val="000000"/>
              </w:rPr>
              <w:t xml:space="preserve"> Unit</w:t>
            </w:r>
          </w:p>
        </w:tc>
        <w:tc>
          <w:tcPr>
            <w:tcW w:w="1070" w:type="dxa"/>
            <w:shd w:val="clear" w:color="000000" w:fill="D9D9D9"/>
            <w:noWrap/>
            <w:vAlign w:val="center"/>
            <w:hideMark/>
          </w:tcPr>
          <w:p w14:paraId="0E186F47" w14:textId="333C4794" w:rsidR="003A2546" w:rsidRPr="003A2546" w:rsidRDefault="003A2546" w:rsidP="003A2546">
            <w:pPr>
              <w:spacing w:before="120" w:after="120" w:line="240" w:lineRule="auto"/>
              <w:jc w:val="center"/>
              <w:rPr>
                <w:rFonts w:eastAsia="Times New Roman" w:cs="Times New Roman"/>
                <w:b/>
                <w:bCs/>
                <w:color w:val="000000"/>
              </w:rPr>
            </w:pPr>
            <w:r w:rsidRPr="003A2546">
              <w:rPr>
                <w:rFonts w:eastAsia="Times New Roman" w:cs="Times New Roman"/>
                <w:b/>
                <w:bCs/>
                <w:color w:val="000000"/>
              </w:rPr>
              <w:t>DI Cost</w:t>
            </w:r>
            <w:r w:rsidR="00FD28FC">
              <w:rPr>
                <w:rStyle w:val="FootnoteReference"/>
                <w:rFonts w:eastAsia="Times New Roman" w:cs="Times New Roman"/>
                <w:b/>
                <w:bCs/>
                <w:color w:val="000000"/>
              </w:rPr>
              <w:footnoteReference w:id="10"/>
            </w:r>
          </w:p>
        </w:tc>
      </w:tr>
      <w:tr w:rsidR="003A2546" w:rsidRPr="003A2546" w14:paraId="7222B29C" w14:textId="77777777" w:rsidTr="00D6767F">
        <w:trPr>
          <w:trHeight w:val="144"/>
        </w:trPr>
        <w:tc>
          <w:tcPr>
            <w:tcW w:w="6385" w:type="dxa"/>
            <w:shd w:val="clear" w:color="auto" w:fill="auto"/>
            <w:noWrap/>
            <w:vAlign w:val="center"/>
          </w:tcPr>
          <w:p w14:paraId="58D3B1E9" w14:textId="43072AFE" w:rsidR="003A2546" w:rsidRPr="00D6767F" w:rsidRDefault="001168ED" w:rsidP="00D6767F">
            <w:pPr>
              <w:spacing w:line="240" w:lineRule="auto"/>
              <w:rPr>
                <w:rFonts w:eastAsia="Times New Roman" w:cs="Times New Roman"/>
                <w:color w:val="000000"/>
              </w:rPr>
            </w:pPr>
            <w:r w:rsidRPr="00D6767F">
              <w:rPr>
                <w:rFonts w:cs="Times New Roman"/>
              </w:rPr>
              <w:t>Hot Water Tank Insulation, Nonresidential and Multifamily</w:t>
            </w:r>
          </w:p>
        </w:tc>
        <w:tc>
          <w:tcPr>
            <w:tcW w:w="1890" w:type="dxa"/>
            <w:shd w:val="clear" w:color="auto" w:fill="auto"/>
            <w:noWrap/>
            <w:vAlign w:val="center"/>
          </w:tcPr>
          <w:p w14:paraId="4C5D1CDF" w14:textId="73988E89" w:rsidR="003A2546" w:rsidRPr="00D6767F" w:rsidRDefault="001168ED" w:rsidP="00D6767F">
            <w:pPr>
              <w:spacing w:line="240" w:lineRule="auto"/>
              <w:rPr>
                <w:rFonts w:eastAsia="Times New Roman" w:cs="Times New Roman"/>
                <w:color w:val="000000"/>
              </w:rPr>
            </w:pPr>
            <w:r w:rsidRPr="00D6767F">
              <w:rPr>
                <w:rFonts w:eastAsia="Times New Roman" w:cs="Times New Roman"/>
                <w:color w:val="000000"/>
              </w:rPr>
              <w:t>Area-ft2</w:t>
            </w:r>
          </w:p>
        </w:tc>
        <w:tc>
          <w:tcPr>
            <w:tcW w:w="1070" w:type="dxa"/>
            <w:shd w:val="clear" w:color="auto" w:fill="auto"/>
            <w:noWrap/>
            <w:vAlign w:val="center"/>
          </w:tcPr>
          <w:p w14:paraId="2B298010" w14:textId="3FBD9FDD" w:rsidR="003A2546" w:rsidRPr="00D6767F" w:rsidRDefault="001344EF" w:rsidP="00D6767F">
            <w:pPr>
              <w:spacing w:line="240" w:lineRule="auto"/>
              <w:rPr>
                <w:rFonts w:eastAsia="Times New Roman" w:cs="Times New Roman"/>
                <w:color w:val="000000"/>
              </w:rPr>
            </w:pPr>
            <w:r>
              <w:rPr>
                <w:rFonts w:eastAsia="Times New Roman" w:cs="Times New Roman"/>
                <w:color w:val="000000"/>
              </w:rPr>
              <w:t>$</w:t>
            </w:r>
            <w:r w:rsidR="00ED0585">
              <w:rPr>
                <w:rFonts w:eastAsia="Times New Roman" w:cs="Times New Roman"/>
                <w:color w:val="000000"/>
              </w:rPr>
              <w:t>16</w:t>
            </w:r>
            <w:r w:rsidR="00072F6D">
              <w:rPr>
                <w:rFonts w:eastAsia="Times New Roman" w:cs="Times New Roman"/>
                <w:color w:val="000000"/>
              </w:rPr>
              <w:t>.75</w:t>
            </w:r>
          </w:p>
        </w:tc>
      </w:tr>
      <w:tr w:rsidR="003A2546" w:rsidRPr="003A2546" w14:paraId="38DC94D5" w14:textId="77777777" w:rsidTr="00D6767F">
        <w:trPr>
          <w:trHeight w:val="144"/>
        </w:trPr>
        <w:tc>
          <w:tcPr>
            <w:tcW w:w="6385" w:type="dxa"/>
            <w:shd w:val="clear" w:color="auto" w:fill="auto"/>
            <w:noWrap/>
            <w:vAlign w:val="center"/>
          </w:tcPr>
          <w:p w14:paraId="382B11D8" w14:textId="74005C03" w:rsidR="003A2546" w:rsidRPr="00D6767F" w:rsidRDefault="001168ED" w:rsidP="00D6767F">
            <w:pPr>
              <w:spacing w:line="240" w:lineRule="auto"/>
              <w:rPr>
                <w:rFonts w:eastAsia="Times New Roman" w:cs="Times New Roman"/>
                <w:color w:val="000000"/>
              </w:rPr>
            </w:pPr>
            <w:r w:rsidRPr="00D6767F">
              <w:rPr>
                <w:rFonts w:cs="Times New Roman"/>
              </w:rPr>
              <w:t>Brushless Fan Motor Replacement, Residential</w:t>
            </w:r>
          </w:p>
        </w:tc>
        <w:tc>
          <w:tcPr>
            <w:tcW w:w="1890" w:type="dxa"/>
            <w:shd w:val="clear" w:color="auto" w:fill="auto"/>
            <w:noWrap/>
            <w:vAlign w:val="center"/>
          </w:tcPr>
          <w:p w14:paraId="67585904" w14:textId="4CD6D39A" w:rsidR="003A2546" w:rsidRPr="00D6767F" w:rsidRDefault="001168ED" w:rsidP="00D6767F">
            <w:pPr>
              <w:spacing w:line="240" w:lineRule="auto"/>
              <w:rPr>
                <w:rFonts w:eastAsia="Times New Roman" w:cs="Times New Roman"/>
                <w:color w:val="000000"/>
              </w:rPr>
            </w:pPr>
            <w:r w:rsidRPr="00D6767F">
              <w:rPr>
                <w:rFonts w:eastAsia="Times New Roman" w:cs="Times New Roman"/>
                <w:color w:val="000000"/>
              </w:rPr>
              <w:t>SurfArea-ft2</w:t>
            </w:r>
          </w:p>
        </w:tc>
        <w:tc>
          <w:tcPr>
            <w:tcW w:w="1070" w:type="dxa"/>
            <w:shd w:val="clear" w:color="auto" w:fill="auto"/>
            <w:noWrap/>
            <w:vAlign w:val="center"/>
          </w:tcPr>
          <w:p w14:paraId="435BEE95" w14:textId="460B729A" w:rsidR="003A2546" w:rsidRPr="00D6767F" w:rsidRDefault="001344EF" w:rsidP="00D6767F">
            <w:pPr>
              <w:spacing w:line="240" w:lineRule="auto"/>
              <w:rPr>
                <w:rFonts w:eastAsia="Times New Roman" w:cs="Times New Roman"/>
                <w:color w:val="000000"/>
              </w:rPr>
            </w:pPr>
            <w:r>
              <w:rPr>
                <w:rFonts w:eastAsia="Times New Roman" w:cs="Times New Roman"/>
                <w:color w:val="000000"/>
              </w:rPr>
              <w:t>$</w:t>
            </w:r>
            <w:r w:rsidR="00B96621">
              <w:rPr>
                <w:rFonts w:eastAsia="Times New Roman" w:cs="Times New Roman"/>
                <w:color w:val="000000"/>
              </w:rPr>
              <w:t>0</w:t>
            </w:r>
            <w:r w:rsidR="00072F6D">
              <w:rPr>
                <w:rFonts w:eastAsia="Times New Roman" w:cs="Times New Roman"/>
                <w:color w:val="000000"/>
              </w:rPr>
              <w:t>.40</w:t>
            </w:r>
          </w:p>
        </w:tc>
      </w:tr>
      <w:tr w:rsidR="003A2546" w:rsidRPr="003A2546" w14:paraId="52850F21" w14:textId="77777777" w:rsidTr="00D6767F">
        <w:trPr>
          <w:trHeight w:val="144"/>
        </w:trPr>
        <w:tc>
          <w:tcPr>
            <w:tcW w:w="6385" w:type="dxa"/>
            <w:shd w:val="clear" w:color="auto" w:fill="auto"/>
            <w:noWrap/>
            <w:vAlign w:val="center"/>
          </w:tcPr>
          <w:p w14:paraId="01468CE5" w14:textId="2A7396B0" w:rsidR="003A2546" w:rsidRPr="00D6767F" w:rsidRDefault="001168ED" w:rsidP="00D6767F">
            <w:pPr>
              <w:spacing w:line="240" w:lineRule="auto"/>
              <w:rPr>
                <w:rFonts w:eastAsia="Times New Roman" w:cs="Times New Roman"/>
                <w:color w:val="000000"/>
              </w:rPr>
            </w:pPr>
            <w:r w:rsidRPr="00D6767F">
              <w:rPr>
                <w:rFonts w:cs="Times New Roman"/>
              </w:rPr>
              <w:t>Duct Seal, Residential</w:t>
            </w:r>
          </w:p>
        </w:tc>
        <w:tc>
          <w:tcPr>
            <w:tcW w:w="1890" w:type="dxa"/>
            <w:shd w:val="clear" w:color="auto" w:fill="auto"/>
            <w:noWrap/>
            <w:vAlign w:val="center"/>
          </w:tcPr>
          <w:p w14:paraId="0A97D4AF" w14:textId="2F68BA53" w:rsidR="003A2546" w:rsidRPr="00D6767F" w:rsidRDefault="001168ED" w:rsidP="00D6767F">
            <w:pPr>
              <w:spacing w:line="240" w:lineRule="auto"/>
              <w:rPr>
                <w:rFonts w:eastAsia="Times New Roman" w:cs="Times New Roman"/>
                <w:color w:val="000000"/>
              </w:rPr>
            </w:pPr>
            <w:r w:rsidRPr="00D6767F">
              <w:rPr>
                <w:rFonts w:eastAsia="Times New Roman" w:cs="Times New Roman"/>
                <w:color w:val="000000"/>
              </w:rPr>
              <w:t>Area-ft2-BA</w:t>
            </w:r>
          </w:p>
        </w:tc>
        <w:tc>
          <w:tcPr>
            <w:tcW w:w="1070" w:type="dxa"/>
            <w:shd w:val="clear" w:color="auto" w:fill="auto"/>
            <w:noWrap/>
            <w:vAlign w:val="center"/>
          </w:tcPr>
          <w:p w14:paraId="7DC6E67C" w14:textId="40385B9B" w:rsidR="003A2546" w:rsidRPr="00D6767F" w:rsidRDefault="001344EF" w:rsidP="00D6767F">
            <w:pPr>
              <w:spacing w:line="240" w:lineRule="auto"/>
              <w:rPr>
                <w:rFonts w:eastAsia="Times New Roman" w:cs="Times New Roman"/>
                <w:color w:val="000000"/>
              </w:rPr>
            </w:pPr>
            <w:r>
              <w:rPr>
                <w:rFonts w:eastAsia="Times New Roman" w:cs="Times New Roman"/>
                <w:color w:val="000000"/>
              </w:rPr>
              <w:t>$</w:t>
            </w:r>
            <w:r w:rsidR="00B96621">
              <w:rPr>
                <w:rFonts w:eastAsia="Times New Roman" w:cs="Times New Roman"/>
                <w:color w:val="000000"/>
              </w:rPr>
              <w:t>0</w:t>
            </w:r>
            <w:r w:rsidR="00072F6D">
              <w:rPr>
                <w:rFonts w:eastAsia="Times New Roman" w:cs="Times New Roman"/>
                <w:color w:val="000000"/>
              </w:rPr>
              <w:t>.39</w:t>
            </w:r>
          </w:p>
        </w:tc>
      </w:tr>
      <w:tr w:rsidR="003A2546" w:rsidRPr="003A2546" w14:paraId="69756BAD" w14:textId="77777777" w:rsidTr="00D6767F">
        <w:trPr>
          <w:trHeight w:val="144"/>
        </w:trPr>
        <w:tc>
          <w:tcPr>
            <w:tcW w:w="6385" w:type="dxa"/>
            <w:shd w:val="clear" w:color="auto" w:fill="auto"/>
            <w:noWrap/>
            <w:vAlign w:val="center"/>
          </w:tcPr>
          <w:p w14:paraId="55A252C2" w14:textId="048DD368" w:rsidR="003A2546" w:rsidRPr="00D6767F" w:rsidRDefault="001168ED" w:rsidP="00D6767F">
            <w:pPr>
              <w:spacing w:line="240" w:lineRule="auto"/>
              <w:rPr>
                <w:rFonts w:eastAsia="Times New Roman" w:cs="Times New Roman"/>
                <w:color w:val="000000"/>
              </w:rPr>
            </w:pPr>
            <w:r w:rsidRPr="00D6767F">
              <w:rPr>
                <w:rFonts w:cs="Times New Roman"/>
              </w:rPr>
              <w:t>Low-Flow Showerhead, Residential</w:t>
            </w:r>
          </w:p>
        </w:tc>
        <w:tc>
          <w:tcPr>
            <w:tcW w:w="1890" w:type="dxa"/>
            <w:shd w:val="clear" w:color="auto" w:fill="auto"/>
            <w:noWrap/>
            <w:vAlign w:val="center"/>
          </w:tcPr>
          <w:p w14:paraId="4F4DBA49" w14:textId="4FF3F161" w:rsidR="003A2546" w:rsidRPr="00D6767F" w:rsidRDefault="001168ED" w:rsidP="00D6767F">
            <w:pPr>
              <w:spacing w:line="240" w:lineRule="auto"/>
              <w:rPr>
                <w:rFonts w:eastAsia="Times New Roman" w:cs="Times New Roman"/>
                <w:color w:val="000000"/>
              </w:rPr>
            </w:pPr>
            <w:r w:rsidRPr="00D6767F">
              <w:rPr>
                <w:rFonts w:eastAsia="Times New Roman" w:cs="Times New Roman"/>
                <w:color w:val="000000"/>
              </w:rPr>
              <w:t>Each</w:t>
            </w:r>
          </w:p>
        </w:tc>
        <w:tc>
          <w:tcPr>
            <w:tcW w:w="1070" w:type="dxa"/>
            <w:shd w:val="clear" w:color="auto" w:fill="auto"/>
            <w:noWrap/>
            <w:vAlign w:val="center"/>
          </w:tcPr>
          <w:p w14:paraId="73F06C3E" w14:textId="11199533" w:rsidR="003A2546" w:rsidRPr="00D6767F" w:rsidRDefault="00912477" w:rsidP="00D6767F">
            <w:pPr>
              <w:spacing w:line="240" w:lineRule="auto"/>
              <w:rPr>
                <w:rFonts w:eastAsia="Times New Roman" w:cs="Times New Roman"/>
                <w:color w:val="000000"/>
              </w:rPr>
            </w:pPr>
            <w:r>
              <w:rPr>
                <w:rFonts w:eastAsia="Times New Roman" w:cs="Times New Roman"/>
                <w:color w:val="000000"/>
              </w:rPr>
              <w:t>$</w:t>
            </w:r>
            <w:r w:rsidR="00072F6D">
              <w:rPr>
                <w:rFonts w:eastAsia="Times New Roman" w:cs="Times New Roman"/>
                <w:color w:val="000000"/>
              </w:rPr>
              <w:t>25</w:t>
            </w:r>
            <w:r w:rsidR="009576A4">
              <w:rPr>
                <w:rFonts w:eastAsia="Times New Roman" w:cs="Times New Roman"/>
                <w:color w:val="000000"/>
              </w:rPr>
              <w:t>.00</w:t>
            </w:r>
          </w:p>
        </w:tc>
      </w:tr>
      <w:tr w:rsidR="003A2546" w:rsidRPr="003A2546" w14:paraId="54850EBF" w14:textId="77777777" w:rsidTr="00D6767F">
        <w:trPr>
          <w:trHeight w:val="144"/>
        </w:trPr>
        <w:tc>
          <w:tcPr>
            <w:tcW w:w="6385" w:type="dxa"/>
            <w:shd w:val="clear" w:color="auto" w:fill="auto"/>
            <w:noWrap/>
            <w:vAlign w:val="center"/>
          </w:tcPr>
          <w:p w14:paraId="58B0AE14" w14:textId="361B1F0E" w:rsidR="003A2546" w:rsidRPr="00D6767F" w:rsidRDefault="001168ED" w:rsidP="00D6767F">
            <w:pPr>
              <w:spacing w:line="240" w:lineRule="auto"/>
              <w:rPr>
                <w:rFonts w:eastAsia="Times New Roman" w:cs="Times New Roman"/>
                <w:color w:val="000000"/>
              </w:rPr>
            </w:pPr>
            <w:r w:rsidRPr="00D6767F">
              <w:rPr>
                <w:rFonts w:cs="Times New Roman"/>
              </w:rPr>
              <w:t>Faucet Aerator, Residential</w:t>
            </w:r>
          </w:p>
        </w:tc>
        <w:tc>
          <w:tcPr>
            <w:tcW w:w="1890" w:type="dxa"/>
            <w:shd w:val="clear" w:color="auto" w:fill="auto"/>
            <w:noWrap/>
            <w:vAlign w:val="center"/>
          </w:tcPr>
          <w:p w14:paraId="0D131421" w14:textId="49832FEE" w:rsidR="003A2546" w:rsidRPr="00D6767F" w:rsidRDefault="001168ED" w:rsidP="00D6767F">
            <w:pPr>
              <w:spacing w:line="240" w:lineRule="auto"/>
              <w:rPr>
                <w:rFonts w:eastAsia="Times New Roman" w:cs="Times New Roman"/>
                <w:color w:val="000000"/>
              </w:rPr>
            </w:pPr>
            <w:r w:rsidRPr="00D6767F">
              <w:rPr>
                <w:rFonts w:eastAsia="Times New Roman" w:cs="Times New Roman"/>
                <w:color w:val="000000"/>
              </w:rPr>
              <w:t>Each</w:t>
            </w:r>
          </w:p>
        </w:tc>
        <w:tc>
          <w:tcPr>
            <w:tcW w:w="1070" w:type="dxa"/>
            <w:shd w:val="clear" w:color="auto" w:fill="auto"/>
            <w:noWrap/>
            <w:vAlign w:val="center"/>
          </w:tcPr>
          <w:p w14:paraId="2FF7E7D1" w14:textId="09024C7C" w:rsidR="003A2546" w:rsidRPr="00D6767F" w:rsidRDefault="00912477" w:rsidP="00D6767F">
            <w:pPr>
              <w:spacing w:line="240" w:lineRule="auto"/>
              <w:rPr>
                <w:rFonts w:eastAsia="Times New Roman" w:cs="Times New Roman"/>
                <w:color w:val="000000"/>
              </w:rPr>
            </w:pPr>
            <w:r>
              <w:rPr>
                <w:rFonts w:eastAsia="Times New Roman" w:cs="Times New Roman"/>
                <w:color w:val="000000"/>
              </w:rPr>
              <w:t>$</w:t>
            </w:r>
            <w:r w:rsidR="000D52D3">
              <w:rPr>
                <w:rFonts w:eastAsia="Times New Roman" w:cs="Times New Roman"/>
                <w:color w:val="000000"/>
              </w:rPr>
              <w:t>7</w:t>
            </w:r>
            <w:r w:rsidR="00737E41">
              <w:rPr>
                <w:rFonts w:eastAsia="Times New Roman" w:cs="Times New Roman"/>
                <w:color w:val="000000"/>
              </w:rPr>
              <w:t>.00</w:t>
            </w:r>
          </w:p>
        </w:tc>
      </w:tr>
      <w:tr w:rsidR="003A2546" w:rsidRPr="003A2546" w14:paraId="026ABC3C" w14:textId="77777777" w:rsidTr="00D6767F">
        <w:trPr>
          <w:trHeight w:val="144"/>
        </w:trPr>
        <w:tc>
          <w:tcPr>
            <w:tcW w:w="6385" w:type="dxa"/>
            <w:shd w:val="clear" w:color="auto" w:fill="auto"/>
            <w:noWrap/>
            <w:vAlign w:val="center"/>
          </w:tcPr>
          <w:p w14:paraId="0F939CB7" w14:textId="537BC5B4" w:rsidR="003A2546" w:rsidRPr="00D6767F" w:rsidRDefault="001168ED" w:rsidP="00D6767F">
            <w:pPr>
              <w:spacing w:line="240" w:lineRule="auto"/>
              <w:rPr>
                <w:rFonts w:eastAsia="Times New Roman" w:cs="Times New Roman"/>
                <w:color w:val="000000"/>
              </w:rPr>
            </w:pPr>
            <w:r w:rsidRPr="00D6767F">
              <w:rPr>
                <w:rFonts w:cs="Times New Roman"/>
              </w:rPr>
              <w:t>Hot Water Pipe Insulation, Nonresidential and Multifamily</w:t>
            </w:r>
          </w:p>
        </w:tc>
        <w:tc>
          <w:tcPr>
            <w:tcW w:w="1890" w:type="dxa"/>
            <w:shd w:val="clear" w:color="auto" w:fill="auto"/>
            <w:noWrap/>
            <w:vAlign w:val="center"/>
          </w:tcPr>
          <w:p w14:paraId="2CEFDE77" w14:textId="4E5C6102" w:rsidR="003A2546" w:rsidRPr="00D6767F" w:rsidRDefault="001168ED" w:rsidP="00D6767F">
            <w:pPr>
              <w:spacing w:line="240" w:lineRule="auto"/>
              <w:rPr>
                <w:rFonts w:eastAsia="Times New Roman" w:cs="Times New Roman"/>
                <w:color w:val="000000"/>
              </w:rPr>
            </w:pPr>
            <w:r w:rsidRPr="00D6767F">
              <w:rPr>
                <w:rFonts w:eastAsia="Times New Roman" w:cs="Times New Roman"/>
                <w:color w:val="000000"/>
              </w:rPr>
              <w:t>Len-ft</w:t>
            </w:r>
          </w:p>
        </w:tc>
        <w:tc>
          <w:tcPr>
            <w:tcW w:w="1070" w:type="dxa"/>
            <w:shd w:val="clear" w:color="auto" w:fill="auto"/>
            <w:noWrap/>
            <w:vAlign w:val="center"/>
          </w:tcPr>
          <w:p w14:paraId="093647BC" w14:textId="1468DC14" w:rsidR="003A2546" w:rsidRPr="00D6767F" w:rsidRDefault="00912477" w:rsidP="00D6767F">
            <w:pPr>
              <w:spacing w:line="240" w:lineRule="auto"/>
              <w:rPr>
                <w:rFonts w:eastAsia="Times New Roman" w:cs="Times New Roman"/>
                <w:color w:val="000000"/>
              </w:rPr>
            </w:pPr>
            <w:r>
              <w:rPr>
                <w:rFonts w:eastAsia="Times New Roman" w:cs="Times New Roman"/>
                <w:color w:val="000000"/>
              </w:rPr>
              <w:t>$</w:t>
            </w:r>
            <w:r w:rsidR="000D52D3">
              <w:rPr>
                <w:rFonts w:eastAsia="Times New Roman" w:cs="Times New Roman"/>
                <w:color w:val="000000"/>
              </w:rPr>
              <w:t>15</w:t>
            </w:r>
            <w:r w:rsidR="00737E41">
              <w:rPr>
                <w:rFonts w:eastAsia="Times New Roman" w:cs="Times New Roman"/>
                <w:color w:val="000000"/>
              </w:rPr>
              <w:t>.00</w:t>
            </w:r>
          </w:p>
        </w:tc>
      </w:tr>
      <w:tr w:rsidR="003A2546" w:rsidRPr="003A2546" w14:paraId="5BB5E19E" w14:textId="77777777" w:rsidTr="00D6767F">
        <w:trPr>
          <w:trHeight w:val="144"/>
        </w:trPr>
        <w:tc>
          <w:tcPr>
            <w:tcW w:w="6385" w:type="dxa"/>
            <w:shd w:val="clear" w:color="auto" w:fill="auto"/>
            <w:noWrap/>
            <w:vAlign w:val="center"/>
          </w:tcPr>
          <w:p w14:paraId="53C40178" w14:textId="7B9004E5" w:rsidR="003A2546" w:rsidRPr="00D6767F" w:rsidRDefault="001168ED" w:rsidP="00D6767F">
            <w:pPr>
              <w:spacing w:line="240" w:lineRule="auto"/>
              <w:rPr>
                <w:rFonts w:eastAsia="Times New Roman" w:cs="Times New Roman"/>
                <w:color w:val="000000"/>
              </w:rPr>
            </w:pPr>
            <w:r w:rsidRPr="00D6767F">
              <w:rPr>
                <w:rFonts w:cs="Times New Roman"/>
              </w:rPr>
              <w:t>Smart Thermostat, Residential</w:t>
            </w:r>
          </w:p>
        </w:tc>
        <w:tc>
          <w:tcPr>
            <w:tcW w:w="1890" w:type="dxa"/>
            <w:shd w:val="clear" w:color="auto" w:fill="auto"/>
            <w:noWrap/>
            <w:vAlign w:val="center"/>
          </w:tcPr>
          <w:p w14:paraId="217930DD" w14:textId="5F18D008" w:rsidR="003A2546" w:rsidRPr="00D6767F" w:rsidRDefault="001168ED" w:rsidP="00D6767F">
            <w:pPr>
              <w:spacing w:line="240" w:lineRule="auto"/>
              <w:rPr>
                <w:rFonts w:eastAsia="Times New Roman" w:cs="Times New Roman"/>
                <w:color w:val="000000"/>
              </w:rPr>
            </w:pPr>
            <w:r w:rsidRPr="00D6767F">
              <w:rPr>
                <w:rFonts w:eastAsia="Times New Roman" w:cs="Times New Roman"/>
                <w:color w:val="000000"/>
              </w:rPr>
              <w:t>Household</w:t>
            </w:r>
          </w:p>
        </w:tc>
        <w:tc>
          <w:tcPr>
            <w:tcW w:w="1070" w:type="dxa"/>
            <w:shd w:val="clear" w:color="auto" w:fill="auto"/>
            <w:noWrap/>
            <w:vAlign w:val="center"/>
          </w:tcPr>
          <w:p w14:paraId="415457B7" w14:textId="78421DF0" w:rsidR="003A2546" w:rsidRPr="00D6767F" w:rsidRDefault="00912477" w:rsidP="00D6767F">
            <w:pPr>
              <w:spacing w:line="240" w:lineRule="auto"/>
              <w:rPr>
                <w:rFonts w:eastAsia="Times New Roman" w:cs="Times New Roman"/>
                <w:color w:val="000000"/>
              </w:rPr>
            </w:pPr>
            <w:r>
              <w:rPr>
                <w:rFonts w:eastAsia="Times New Roman" w:cs="Times New Roman"/>
                <w:color w:val="000000"/>
              </w:rPr>
              <w:t>$</w:t>
            </w:r>
            <w:r w:rsidR="00464AAA">
              <w:rPr>
                <w:rFonts w:eastAsia="Times New Roman" w:cs="Times New Roman"/>
                <w:color w:val="000000"/>
              </w:rPr>
              <w:t>200</w:t>
            </w:r>
            <w:r w:rsidR="00737E41">
              <w:rPr>
                <w:rFonts w:eastAsia="Times New Roman" w:cs="Times New Roman"/>
                <w:color w:val="000000"/>
              </w:rPr>
              <w:t>.00</w:t>
            </w:r>
          </w:p>
        </w:tc>
      </w:tr>
      <w:tr w:rsidR="003A2546" w:rsidRPr="003A2546" w14:paraId="4B3F7DFD" w14:textId="77777777" w:rsidTr="00D6767F">
        <w:trPr>
          <w:trHeight w:val="144"/>
        </w:trPr>
        <w:tc>
          <w:tcPr>
            <w:tcW w:w="6385" w:type="dxa"/>
            <w:shd w:val="clear" w:color="auto" w:fill="auto"/>
            <w:noWrap/>
            <w:vAlign w:val="center"/>
          </w:tcPr>
          <w:p w14:paraId="6B9D57F1" w14:textId="346FB685" w:rsidR="003A2546" w:rsidRPr="00D6767F" w:rsidRDefault="001168ED" w:rsidP="00D6767F">
            <w:pPr>
              <w:spacing w:line="240" w:lineRule="auto"/>
              <w:rPr>
                <w:rFonts w:eastAsia="Times New Roman" w:cs="Times New Roman"/>
                <w:color w:val="000000"/>
              </w:rPr>
            </w:pPr>
            <w:r w:rsidRPr="00D6767F">
              <w:rPr>
                <w:rFonts w:cs="Times New Roman"/>
              </w:rPr>
              <w:t>Smart Fan Controller, Residential</w:t>
            </w:r>
          </w:p>
        </w:tc>
        <w:tc>
          <w:tcPr>
            <w:tcW w:w="1890" w:type="dxa"/>
            <w:shd w:val="clear" w:color="auto" w:fill="auto"/>
            <w:noWrap/>
            <w:vAlign w:val="center"/>
          </w:tcPr>
          <w:p w14:paraId="0E43A7D3" w14:textId="3CB9E542" w:rsidR="003A2546" w:rsidRPr="00D6767F" w:rsidRDefault="001168ED" w:rsidP="00D6767F">
            <w:pPr>
              <w:spacing w:line="240" w:lineRule="auto"/>
              <w:rPr>
                <w:rFonts w:eastAsia="Times New Roman" w:cs="Times New Roman"/>
                <w:color w:val="000000"/>
              </w:rPr>
            </w:pPr>
            <w:r w:rsidRPr="00D6767F">
              <w:rPr>
                <w:rFonts w:eastAsia="Times New Roman" w:cs="Times New Roman"/>
                <w:color w:val="000000"/>
              </w:rPr>
              <w:t>Area-ft2-BA</w:t>
            </w:r>
          </w:p>
        </w:tc>
        <w:tc>
          <w:tcPr>
            <w:tcW w:w="1070" w:type="dxa"/>
            <w:shd w:val="clear" w:color="auto" w:fill="auto"/>
            <w:noWrap/>
            <w:vAlign w:val="center"/>
          </w:tcPr>
          <w:p w14:paraId="5489F316" w14:textId="4D1F2518" w:rsidR="003A2546" w:rsidRPr="00D6767F" w:rsidRDefault="00912477" w:rsidP="00D6767F">
            <w:pPr>
              <w:spacing w:line="240" w:lineRule="auto"/>
              <w:rPr>
                <w:rFonts w:eastAsia="Times New Roman" w:cs="Times New Roman"/>
                <w:color w:val="000000"/>
              </w:rPr>
            </w:pPr>
            <w:r>
              <w:rPr>
                <w:rFonts w:eastAsia="Times New Roman" w:cs="Times New Roman"/>
                <w:color w:val="000000"/>
              </w:rPr>
              <w:t>$</w:t>
            </w:r>
            <w:r w:rsidR="00B96621">
              <w:rPr>
                <w:rFonts w:eastAsia="Times New Roman" w:cs="Times New Roman"/>
                <w:color w:val="000000"/>
              </w:rPr>
              <w:t>0</w:t>
            </w:r>
            <w:r w:rsidR="00464AAA">
              <w:rPr>
                <w:rFonts w:eastAsia="Times New Roman" w:cs="Times New Roman"/>
                <w:color w:val="000000"/>
              </w:rPr>
              <w:t>.32</w:t>
            </w:r>
          </w:p>
        </w:tc>
      </w:tr>
      <w:tr w:rsidR="003A2546" w:rsidRPr="003A2546" w14:paraId="7EE68317" w14:textId="77777777" w:rsidTr="00D6767F">
        <w:trPr>
          <w:trHeight w:val="144"/>
        </w:trPr>
        <w:tc>
          <w:tcPr>
            <w:tcW w:w="6385" w:type="dxa"/>
            <w:shd w:val="clear" w:color="auto" w:fill="auto"/>
            <w:noWrap/>
            <w:vAlign w:val="center"/>
          </w:tcPr>
          <w:p w14:paraId="5DD13B6F" w14:textId="1740D398" w:rsidR="003A2546" w:rsidRPr="00D6767F" w:rsidRDefault="001168ED" w:rsidP="00D6767F">
            <w:pPr>
              <w:spacing w:line="240" w:lineRule="auto"/>
              <w:rPr>
                <w:rFonts w:eastAsia="Times New Roman" w:cs="Times New Roman"/>
                <w:color w:val="000000"/>
              </w:rPr>
            </w:pPr>
            <w:r w:rsidRPr="00D6767F">
              <w:rPr>
                <w:rFonts w:cs="Times New Roman"/>
              </w:rPr>
              <w:t>UL Type B LED Mogul Base Lamp HID Retrofits for Outdoor Area/Pole and Decorative Fixtures</w:t>
            </w:r>
          </w:p>
        </w:tc>
        <w:tc>
          <w:tcPr>
            <w:tcW w:w="1890" w:type="dxa"/>
            <w:shd w:val="clear" w:color="auto" w:fill="auto"/>
            <w:noWrap/>
            <w:vAlign w:val="center"/>
          </w:tcPr>
          <w:p w14:paraId="3EE1FA13" w14:textId="2D0237F3" w:rsidR="003A2546" w:rsidRPr="00D6767F" w:rsidRDefault="001168ED" w:rsidP="00D6767F">
            <w:pPr>
              <w:spacing w:line="240" w:lineRule="auto"/>
              <w:rPr>
                <w:rFonts w:eastAsia="Times New Roman" w:cs="Times New Roman"/>
                <w:color w:val="000000"/>
              </w:rPr>
            </w:pPr>
            <w:r w:rsidRPr="00D6767F">
              <w:rPr>
                <w:rFonts w:eastAsia="Times New Roman" w:cs="Times New Roman"/>
                <w:color w:val="000000"/>
              </w:rPr>
              <w:t>Lamp</w:t>
            </w:r>
          </w:p>
        </w:tc>
        <w:tc>
          <w:tcPr>
            <w:tcW w:w="1070" w:type="dxa"/>
            <w:shd w:val="clear" w:color="auto" w:fill="auto"/>
            <w:noWrap/>
            <w:vAlign w:val="center"/>
          </w:tcPr>
          <w:p w14:paraId="7E438231" w14:textId="25D9C83C" w:rsidR="003A2546" w:rsidRPr="00D6767F" w:rsidRDefault="00912477" w:rsidP="00D6767F">
            <w:pPr>
              <w:spacing w:line="240" w:lineRule="auto"/>
              <w:rPr>
                <w:rFonts w:eastAsia="Times New Roman" w:cs="Times New Roman"/>
                <w:color w:val="000000"/>
              </w:rPr>
            </w:pPr>
            <w:r>
              <w:rPr>
                <w:rFonts w:eastAsia="Times New Roman" w:cs="Times New Roman"/>
                <w:color w:val="000000"/>
              </w:rPr>
              <w:t>$</w:t>
            </w:r>
            <w:r w:rsidR="00464AAA">
              <w:rPr>
                <w:rFonts w:eastAsia="Times New Roman" w:cs="Times New Roman"/>
                <w:color w:val="000000"/>
              </w:rPr>
              <w:t>2</w:t>
            </w:r>
            <w:r w:rsidR="001344EF">
              <w:rPr>
                <w:rFonts w:eastAsia="Times New Roman" w:cs="Times New Roman"/>
                <w:color w:val="000000"/>
              </w:rPr>
              <w:t>14.41</w:t>
            </w:r>
          </w:p>
        </w:tc>
      </w:tr>
    </w:tbl>
    <w:p w14:paraId="621E734F" w14:textId="2B915F46" w:rsidR="00D666BA" w:rsidRDefault="00D666BA" w:rsidP="003A2546">
      <w:pPr>
        <w:pStyle w:val="BodyText"/>
        <w:ind w:left="0"/>
      </w:pPr>
      <w:r>
        <w:br w:type="page"/>
      </w:r>
    </w:p>
    <w:p w14:paraId="60B1BA89" w14:textId="041A002E" w:rsidR="000E3476" w:rsidRDefault="000E3476" w:rsidP="000E3476">
      <w:pPr>
        <w:pStyle w:val="Heading2"/>
      </w:pPr>
      <w:bookmarkStart w:id="70" w:name="_Toc173407355"/>
      <w:r>
        <w:lastRenderedPageBreak/>
        <w:t>Program Manual</w:t>
      </w:r>
      <w:bookmarkEnd w:id="70"/>
      <w:r>
        <w:t xml:space="preserve"> </w:t>
      </w:r>
    </w:p>
    <w:p w14:paraId="72A4B570" w14:textId="62343FB2" w:rsidR="004E36B1" w:rsidRPr="004E36B1" w:rsidRDefault="00191F72" w:rsidP="004E36B1">
      <w:pPr>
        <w:pStyle w:val="ListParagraph"/>
        <w:numPr>
          <w:ilvl w:val="3"/>
          <w:numId w:val="1"/>
        </w:numPr>
        <w:ind w:left="360"/>
        <w:rPr>
          <w:b/>
          <w:bCs/>
        </w:rPr>
      </w:pPr>
      <w:r w:rsidRPr="00D77BCF">
        <w:rPr>
          <w:b/>
          <w:bCs/>
        </w:rPr>
        <w:t>Program Overview</w:t>
      </w:r>
    </w:p>
    <w:p w14:paraId="059E262D" w14:textId="77777777" w:rsidR="00D77BCF" w:rsidRPr="00D77BCF" w:rsidRDefault="00D77BCF" w:rsidP="00D77BCF"/>
    <w:p w14:paraId="58FFB7AF" w14:textId="3F87ECF2" w:rsidR="004E36B1" w:rsidRDefault="0073661B" w:rsidP="00D77BCF">
      <w:r w:rsidRPr="0073661B">
        <w:t>The Southern California Regional Energy Network (SoCalREN) Small Hard-to-Reach Multifamily Direct Install Program (Small HTR MF DI Program or “the Program”) provides turnkey installation of energy efficiency measures that will reduce electric, natural gas, and water consumption of small (50 units or fewer) apartment buildings that are classified as Hard-to-Reach (HTR) or are located within Disadvantaged Communities (DACs). The measures will be applicable to both individual residential units and common areas, thereby reducing energy costs for both owners and tenants. The program will include outreach needed to enroll buildings in the program, basic energy awareness training for tenants and owners, training and management of direct install contractors, and opportunities for contractors to provide employment and training for disadvantaged workers.</w:t>
      </w:r>
    </w:p>
    <w:p w14:paraId="47287EB3" w14:textId="77777777" w:rsidR="0073661B" w:rsidRDefault="0073661B" w:rsidP="00D77BCF"/>
    <w:p w14:paraId="58C5977B" w14:textId="77777777" w:rsidR="004E36B1" w:rsidRPr="00D77BCF" w:rsidRDefault="004E36B1" w:rsidP="004E36B1">
      <w:pPr>
        <w:pStyle w:val="ListParagraph"/>
        <w:numPr>
          <w:ilvl w:val="3"/>
          <w:numId w:val="1"/>
        </w:numPr>
        <w:ind w:left="360"/>
        <w:rPr>
          <w:b/>
          <w:bCs/>
        </w:rPr>
      </w:pPr>
      <w:r w:rsidRPr="00D77BCF">
        <w:rPr>
          <w:b/>
          <w:bCs/>
        </w:rPr>
        <w:t>Eligible Measures or Measure Eligibility</w:t>
      </w:r>
    </w:p>
    <w:p w14:paraId="2F513D4D" w14:textId="77777777" w:rsidR="004E36B1" w:rsidRPr="00D77BCF" w:rsidRDefault="004E36B1" w:rsidP="004E36B1"/>
    <w:p w14:paraId="1BB77F2A" w14:textId="5C067A07" w:rsidR="00191F72" w:rsidRDefault="00D543A0" w:rsidP="00D77BCF">
      <w:r>
        <w:t>Measure packages eligible for installation through this program are as follows:</w:t>
      </w:r>
    </w:p>
    <w:p w14:paraId="1A3B5614" w14:textId="77777777" w:rsidR="00D543A0" w:rsidRDefault="00D543A0" w:rsidP="00D77BCF"/>
    <w:p w14:paraId="7B984B9F" w14:textId="77777777" w:rsidR="00D543A0" w:rsidRDefault="00D543A0" w:rsidP="00D543A0">
      <w:pPr>
        <w:pStyle w:val="ListParagraph"/>
        <w:numPr>
          <w:ilvl w:val="0"/>
          <w:numId w:val="29"/>
        </w:numPr>
      </w:pPr>
      <w:r>
        <w:t>Ductless HVAC, Residential, Fuel Substitution</w:t>
      </w:r>
    </w:p>
    <w:p w14:paraId="1C9A01BC" w14:textId="77777777" w:rsidR="00D543A0" w:rsidRDefault="00D543A0" w:rsidP="00D543A0">
      <w:pPr>
        <w:pStyle w:val="ListParagraph"/>
        <w:numPr>
          <w:ilvl w:val="0"/>
          <w:numId w:val="29"/>
        </w:numPr>
      </w:pPr>
      <w:r>
        <w:t>Heat Pump HVAC, Residential, Fuel Substitution</w:t>
      </w:r>
    </w:p>
    <w:p w14:paraId="5B413D39" w14:textId="77777777" w:rsidR="00D543A0" w:rsidRDefault="00D543A0" w:rsidP="00D543A0">
      <w:pPr>
        <w:pStyle w:val="ListParagraph"/>
        <w:numPr>
          <w:ilvl w:val="0"/>
          <w:numId w:val="29"/>
        </w:numPr>
      </w:pPr>
      <w:r>
        <w:t>Smart Thermostat, Residential</w:t>
      </w:r>
    </w:p>
    <w:p w14:paraId="70D688D3" w14:textId="77777777" w:rsidR="00D543A0" w:rsidRDefault="00D543A0" w:rsidP="00D543A0">
      <w:pPr>
        <w:pStyle w:val="ListParagraph"/>
        <w:numPr>
          <w:ilvl w:val="0"/>
          <w:numId w:val="29"/>
        </w:numPr>
      </w:pPr>
      <w:r>
        <w:t>Ceiling Insulation, Residential</w:t>
      </w:r>
    </w:p>
    <w:p w14:paraId="714BEDAD" w14:textId="77777777" w:rsidR="00D543A0" w:rsidRDefault="00D543A0" w:rsidP="00D543A0">
      <w:pPr>
        <w:pStyle w:val="ListParagraph"/>
        <w:numPr>
          <w:ilvl w:val="0"/>
          <w:numId w:val="29"/>
        </w:numPr>
      </w:pPr>
      <w:r>
        <w:t>Boiler, Multifamily</w:t>
      </w:r>
    </w:p>
    <w:p w14:paraId="08E9FCC3" w14:textId="77777777" w:rsidR="00D543A0" w:rsidRDefault="00D543A0" w:rsidP="00D543A0">
      <w:pPr>
        <w:pStyle w:val="ListParagraph"/>
        <w:numPr>
          <w:ilvl w:val="0"/>
          <w:numId w:val="29"/>
        </w:numPr>
      </w:pPr>
      <w:r>
        <w:t>Domestic Hot Water Loop Temperature Controller, Multifamily &amp; Commercial</w:t>
      </w:r>
    </w:p>
    <w:p w14:paraId="13928282" w14:textId="77777777" w:rsidR="00D543A0" w:rsidRDefault="00D543A0" w:rsidP="00D543A0">
      <w:pPr>
        <w:pStyle w:val="ListParagraph"/>
        <w:numPr>
          <w:ilvl w:val="0"/>
          <w:numId w:val="29"/>
        </w:numPr>
      </w:pPr>
      <w:r>
        <w:t>Demand Control for Centralized Water Heater Recirculation Pump, Multifamily &amp; Commercial</w:t>
      </w:r>
    </w:p>
    <w:p w14:paraId="76A57B82" w14:textId="77777777" w:rsidR="00D543A0" w:rsidRDefault="00D543A0" w:rsidP="00D543A0">
      <w:pPr>
        <w:pStyle w:val="ListParagraph"/>
        <w:numPr>
          <w:ilvl w:val="0"/>
          <w:numId w:val="29"/>
        </w:numPr>
      </w:pPr>
      <w:r>
        <w:t>Oven, Gas, Residential</w:t>
      </w:r>
    </w:p>
    <w:p w14:paraId="4580129A" w14:textId="77777777" w:rsidR="00D543A0" w:rsidRDefault="00D543A0" w:rsidP="00D543A0">
      <w:pPr>
        <w:pStyle w:val="ListParagraph"/>
        <w:numPr>
          <w:ilvl w:val="0"/>
          <w:numId w:val="29"/>
        </w:numPr>
      </w:pPr>
      <w:r>
        <w:t>Clothes Dryer, Residential</w:t>
      </w:r>
    </w:p>
    <w:p w14:paraId="5D5678D5" w14:textId="77777777" w:rsidR="00D543A0" w:rsidRDefault="00D543A0" w:rsidP="00D543A0">
      <w:pPr>
        <w:pStyle w:val="ListParagraph"/>
        <w:numPr>
          <w:ilvl w:val="0"/>
          <w:numId w:val="29"/>
        </w:numPr>
      </w:pPr>
      <w:r>
        <w:t>Faucet Aerator, Residential</w:t>
      </w:r>
    </w:p>
    <w:p w14:paraId="596669E1" w14:textId="77777777" w:rsidR="00D543A0" w:rsidRDefault="00D543A0" w:rsidP="00D543A0">
      <w:pPr>
        <w:pStyle w:val="ListParagraph"/>
        <w:numPr>
          <w:ilvl w:val="0"/>
          <w:numId w:val="29"/>
        </w:numPr>
      </w:pPr>
      <w:r>
        <w:t>Furnace, Residential</w:t>
      </w:r>
    </w:p>
    <w:p w14:paraId="48F8C929" w14:textId="77777777" w:rsidR="00D543A0" w:rsidRDefault="00D543A0" w:rsidP="00D543A0">
      <w:pPr>
        <w:pStyle w:val="ListParagraph"/>
        <w:numPr>
          <w:ilvl w:val="0"/>
          <w:numId w:val="29"/>
        </w:numPr>
      </w:pPr>
      <w:r>
        <w:t>Water Heater Pipe Wrap, Residential</w:t>
      </w:r>
    </w:p>
    <w:p w14:paraId="0B49FD5E" w14:textId="77777777" w:rsidR="00D543A0" w:rsidRDefault="00D543A0" w:rsidP="00D543A0">
      <w:pPr>
        <w:pStyle w:val="ListParagraph"/>
        <w:numPr>
          <w:ilvl w:val="0"/>
          <w:numId w:val="29"/>
        </w:numPr>
      </w:pPr>
      <w:r>
        <w:t>Low-Flow Showerhead, Residential</w:t>
      </w:r>
    </w:p>
    <w:p w14:paraId="3089BFF6" w14:textId="77777777" w:rsidR="00D543A0" w:rsidRDefault="00D543A0" w:rsidP="00D543A0">
      <w:pPr>
        <w:pStyle w:val="ListParagraph"/>
        <w:numPr>
          <w:ilvl w:val="0"/>
          <w:numId w:val="29"/>
        </w:numPr>
      </w:pPr>
      <w:r>
        <w:t>Heater for Pool or Spa, Commercial and Multifamily</w:t>
      </w:r>
    </w:p>
    <w:p w14:paraId="2F961EC7" w14:textId="77777777" w:rsidR="00D543A0" w:rsidRDefault="00D543A0" w:rsidP="00D543A0">
      <w:pPr>
        <w:pStyle w:val="ListParagraph"/>
        <w:numPr>
          <w:ilvl w:val="0"/>
          <w:numId w:val="29"/>
        </w:numPr>
      </w:pPr>
      <w:r>
        <w:t>Tankless Water Heater, Residential</w:t>
      </w:r>
    </w:p>
    <w:p w14:paraId="2D278D0A" w14:textId="77777777" w:rsidR="00D543A0" w:rsidRDefault="00D543A0" w:rsidP="00D543A0">
      <w:pPr>
        <w:pStyle w:val="ListParagraph"/>
        <w:numPr>
          <w:ilvl w:val="0"/>
          <w:numId w:val="29"/>
        </w:numPr>
      </w:pPr>
      <w:r>
        <w:t>Storage Water Heater, Residential</w:t>
      </w:r>
    </w:p>
    <w:p w14:paraId="615A7CD1" w14:textId="77777777" w:rsidR="00D543A0" w:rsidRDefault="00D543A0" w:rsidP="00D543A0">
      <w:pPr>
        <w:pStyle w:val="ListParagraph"/>
        <w:numPr>
          <w:ilvl w:val="0"/>
          <w:numId w:val="29"/>
        </w:numPr>
      </w:pPr>
      <w:r>
        <w:t>Heat Pump Water Heater, Residential, Fuel Substitution</w:t>
      </w:r>
    </w:p>
    <w:p w14:paraId="67734301" w14:textId="77777777" w:rsidR="00D543A0" w:rsidRDefault="00D543A0" w:rsidP="00D543A0">
      <w:pPr>
        <w:pStyle w:val="ListParagraph"/>
        <w:numPr>
          <w:ilvl w:val="0"/>
          <w:numId w:val="29"/>
        </w:numPr>
      </w:pPr>
      <w:r>
        <w:t>UL Type B LED Mogul Base Lamp HID Retrofits for Outdoor Area/Pole and Decorative Fixtures</w:t>
      </w:r>
    </w:p>
    <w:p w14:paraId="4BDE587A" w14:textId="77777777" w:rsidR="00D543A0" w:rsidRDefault="00D543A0" w:rsidP="00D543A0">
      <w:pPr>
        <w:pStyle w:val="ListParagraph"/>
        <w:numPr>
          <w:ilvl w:val="0"/>
          <w:numId w:val="29"/>
        </w:numPr>
      </w:pPr>
      <w:r>
        <w:t>Hot Water Tank Insulation, Nonresidential and Multifamily</w:t>
      </w:r>
    </w:p>
    <w:p w14:paraId="2BF5155E" w14:textId="77777777" w:rsidR="00D543A0" w:rsidRDefault="00D543A0" w:rsidP="00D543A0">
      <w:pPr>
        <w:pStyle w:val="ListParagraph"/>
        <w:numPr>
          <w:ilvl w:val="0"/>
          <w:numId w:val="29"/>
        </w:numPr>
      </w:pPr>
      <w:r>
        <w:t>Brushless Fan Motor Replacement, Residential</w:t>
      </w:r>
    </w:p>
    <w:p w14:paraId="744170D7" w14:textId="77777777" w:rsidR="00D543A0" w:rsidRDefault="00D543A0" w:rsidP="00D543A0">
      <w:pPr>
        <w:pStyle w:val="ListParagraph"/>
        <w:numPr>
          <w:ilvl w:val="0"/>
          <w:numId w:val="29"/>
        </w:numPr>
      </w:pPr>
      <w:r>
        <w:t>Duct Seal, Residential</w:t>
      </w:r>
    </w:p>
    <w:p w14:paraId="0D92E311" w14:textId="77777777" w:rsidR="00D543A0" w:rsidRDefault="00D543A0" w:rsidP="00D543A0">
      <w:pPr>
        <w:pStyle w:val="ListParagraph"/>
        <w:numPr>
          <w:ilvl w:val="0"/>
          <w:numId w:val="29"/>
        </w:numPr>
      </w:pPr>
      <w:r>
        <w:t>Hot Water Pipe Insulation, Nonresidential and Multifamily</w:t>
      </w:r>
    </w:p>
    <w:p w14:paraId="56DBC97E" w14:textId="571DB97F" w:rsidR="00D543A0" w:rsidRDefault="00D543A0" w:rsidP="00D543A0">
      <w:pPr>
        <w:pStyle w:val="ListParagraph"/>
        <w:numPr>
          <w:ilvl w:val="0"/>
          <w:numId w:val="29"/>
        </w:numPr>
      </w:pPr>
      <w:r>
        <w:t>Smart Fan Controller, Residential</w:t>
      </w:r>
    </w:p>
    <w:p w14:paraId="1C0A3E54" w14:textId="77777777" w:rsidR="00C1460A" w:rsidRDefault="00C1460A" w:rsidP="00D77BCF"/>
    <w:p w14:paraId="57C3E618" w14:textId="77777777" w:rsidR="00D666BA" w:rsidRPr="00D77BCF" w:rsidRDefault="00D666BA" w:rsidP="00D77BCF">
      <w:pPr>
        <w:pStyle w:val="ListParagraph"/>
        <w:numPr>
          <w:ilvl w:val="3"/>
          <w:numId w:val="1"/>
        </w:numPr>
        <w:ind w:left="360"/>
        <w:rPr>
          <w:b/>
          <w:bCs/>
        </w:rPr>
      </w:pPr>
      <w:r w:rsidRPr="00D77BCF">
        <w:rPr>
          <w:b/>
          <w:bCs/>
        </w:rPr>
        <w:t>Customer Eligibility Requirements</w:t>
      </w:r>
    </w:p>
    <w:p w14:paraId="142ED0C7" w14:textId="77777777" w:rsidR="00D77BCF" w:rsidRPr="00D77BCF" w:rsidRDefault="00D77BCF" w:rsidP="00D77BCF"/>
    <w:p w14:paraId="6E4A67E3" w14:textId="5F2A3B4E" w:rsidR="004C2BD1" w:rsidRDefault="004C2BD1" w:rsidP="004C2BD1">
      <w:r w:rsidRPr="004C2BD1">
        <w:t xml:space="preserve"> The requirements of the program are as follows:</w:t>
      </w:r>
    </w:p>
    <w:p w14:paraId="2353F8D4" w14:textId="77777777" w:rsidR="004C2BD1" w:rsidRPr="004C2BD1" w:rsidRDefault="004C2BD1" w:rsidP="004C2BD1"/>
    <w:p w14:paraId="3780596A" w14:textId="77777777" w:rsidR="004C2BD1" w:rsidRPr="004C2BD1" w:rsidRDefault="004C2BD1" w:rsidP="004C2BD1">
      <w:pPr>
        <w:numPr>
          <w:ilvl w:val="0"/>
          <w:numId w:val="13"/>
        </w:numPr>
        <w:ind w:left="504"/>
      </w:pPr>
      <w:r w:rsidRPr="004C2BD1">
        <w:lastRenderedPageBreak/>
        <w:t>Building must have at least five and no more than 50 attached units</w:t>
      </w:r>
    </w:p>
    <w:p w14:paraId="51F30B5A" w14:textId="2ABD9A8F" w:rsidR="004C2BD1" w:rsidRPr="004C2BD1" w:rsidRDefault="004C2BD1" w:rsidP="004C2BD1">
      <w:pPr>
        <w:numPr>
          <w:ilvl w:val="0"/>
          <w:numId w:val="13"/>
        </w:numPr>
        <w:ind w:left="504"/>
      </w:pPr>
      <w:r w:rsidRPr="004C2BD1">
        <w:t xml:space="preserve">Southern California Edison (SCE) </w:t>
      </w:r>
      <w:r w:rsidR="00864EBA">
        <w:t>and/</w:t>
      </w:r>
      <w:r w:rsidRPr="004C2BD1">
        <w:t>or Southern California Gas Company (SoCalGas)</w:t>
      </w:r>
      <w:r w:rsidR="00864EBA">
        <w:t xml:space="preserve"> customers</w:t>
      </w:r>
    </w:p>
    <w:p w14:paraId="74075F59" w14:textId="77777777" w:rsidR="004C2BD1" w:rsidRPr="004C2BD1" w:rsidRDefault="004C2BD1" w:rsidP="004C2BD1">
      <w:pPr>
        <w:numPr>
          <w:ilvl w:val="0"/>
          <w:numId w:val="13"/>
        </w:numPr>
        <w:ind w:left="504"/>
      </w:pPr>
      <w:r w:rsidRPr="004C2BD1">
        <w:t xml:space="preserve">Property must </w:t>
      </w:r>
      <w:proofErr w:type="gramStart"/>
      <w:r w:rsidRPr="004C2BD1">
        <w:t>be located in</w:t>
      </w:r>
      <w:proofErr w:type="gramEnd"/>
      <w:r w:rsidRPr="004C2BD1">
        <w:t xml:space="preserve"> a DAC or classified as HTR per CPUC criteria</w:t>
      </w:r>
      <w:r w:rsidRPr="004C2BD1">
        <w:rPr>
          <w:vertAlign w:val="superscript"/>
        </w:rPr>
        <w:footnoteReference w:id="11"/>
      </w:r>
    </w:p>
    <w:p w14:paraId="62CB19B1" w14:textId="0691C385" w:rsidR="00191F72" w:rsidRDefault="00191F72" w:rsidP="00D77BCF"/>
    <w:p w14:paraId="115F1D42" w14:textId="77777777" w:rsidR="00D666BA" w:rsidRPr="00D77BCF" w:rsidRDefault="00D666BA" w:rsidP="00D77BCF">
      <w:pPr>
        <w:pStyle w:val="ListParagraph"/>
        <w:numPr>
          <w:ilvl w:val="3"/>
          <w:numId w:val="1"/>
        </w:numPr>
        <w:ind w:left="360"/>
        <w:rPr>
          <w:b/>
          <w:bCs/>
        </w:rPr>
      </w:pPr>
      <w:r w:rsidRPr="00D77BCF">
        <w:rPr>
          <w:b/>
          <w:bCs/>
        </w:rPr>
        <w:t>Contractor Eligibility Requirements</w:t>
      </w:r>
    </w:p>
    <w:p w14:paraId="552DA728" w14:textId="77777777" w:rsidR="00D77BCF" w:rsidRPr="00D77BCF" w:rsidRDefault="00D77BCF" w:rsidP="00D77BCF"/>
    <w:p w14:paraId="1B9F06A1" w14:textId="5D9AB8ED" w:rsidR="00191F72" w:rsidRDefault="00F04409" w:rsidP="00D77BCF">
      <w:r>
        <w:t>A</w:t>
      </w:r>
      <w:r w:rsidRPr="00F04409">
        <w:t>ll contractors participating in the Program must hold a Contractors State License Board (CSLB) license and comply with all state and local codes.</w:t>
      </w:r>
    </w:p>
    <w:p w14:paraId="6D2C0DE7" w14:textId="77777777" w:rsidR="00D77BCF" w:rsidRPr="00D77BCF" w:rsidRDefault="00D77BCF" w:rsidP="00D77BCF"/>
    <w:p w14:paraId="08F22E18" w14:textId="77777777" w:rsidR="00D666BA" w:rsidRPr="00D77BCF" w:rsidRDefault="00D666BA" w:rsidP="00D77BCF">
      <w:pPr>
        <w:pStyle w:val="ListParagraph"/>
        <w:numPr>
          <w:ilvl w:val="3"/>
          <w:numId w:val="1"/>
        </w:numPr>
        <w:ind w:left="360"/>
        <w:rPr>
          <w:b/>
          <w:bCs/>
        </w:rPr>
      </w:pPr>
      <w:r w:rsidRPr="00D77BCF">
        <w:rPr>
          <w:b/>
          <w:bCs/>
        </w:rPr>
        <w:t>Participating Contractors, Manufacturers, Retailers, Distributors</w:t>
      </w:r>
    </w:p>
    <w:p w14:paraId="7B016906" w14:textId="77777777" w:rsidR="00D77BCF" w:rsidRPr="00D77BCF" w:rsidRDefault="00D77BCF" w:rsidP="00D77BCF"/>
    <w:p w14:paraId="362DA0D9" w14:textId="75DD0546" w:rsidR="00191F72" w:rsidRDefault="00E86785" w:rsidP="00D77BCF">
      <w:r>
        <w:t xml:space="preserve">The program is a direct install </w:t>
      </w:r>
      <w:r w:rsidR="007F6403">
        <w:t>model that does not offer incentives.</w:t>
      </w:r>
      <w:r w:rsidR="004C72C4">
        <w:t xml:space="preserve"> Custom measures may be used when applicable. </w:t>
      </w:r>
      <w:r w:rsidR="007F6403">
        <w:t>Upon project closeout, participating contractors</w:t>
      </w:r>
      <w:r w:rsidR="007F6403" w:rsidRPr="007F6403">
        <w:t xml:space="preserve"> will be paid the agreed upon contract rate for measure procurement and installation.</w:t>
      </w:r>
    </w:p>
    <w:p w14:paraId="3D938F30" w14:textId="77777777" w:rsidR="007F6403" w:rsidRDefault="007F6403" w:rsidP="00D77BCF"/>
    <w:p w14:paraId="53FB4D0D" w14:textId="2324CDCA" w:rsidR="007F6403" w:rsidRPr="007F6403" w:rsidRDefault="007F6403" w:rsidP="007F6403">
      <w:pPr>
        <w:pStyle w:val="BodyText"/>
        <w:keepNext/>
        <w:ind w:left="0"/>
      </w:pPr>
      <w:r w:rsidRPr="00401158">
        <w:t xml:space="preserve">Below are the </w:t>
      </w:r>
      <w:r w:rsidR="00494855">
        <w:t xml:space="preserve">estimated </w:t>
      </w:r>
      <w:r w:rsidR="00494855" w:rsidRPr="00401158">
        <w:t>DI</w:t>
      </w:r>
      <w:r w:rsidRPr="00401158">
        <w:t xml:space="preserve"> costs </w:t>
      </w:r>
      <w:r>
        <w:t>for measures anticipated to be installed. Costs are b</w:t>
      </w:r>
      <w:r w:rsidRPr="00401158">
        <w:t xml:space="preserve">ased on </w:t>
      </w:r>
      <w:proofErr w:type="gramStart"/>
      <w:r w:rsidRPr="00401158">
        <w:t>actual</w:t>
      </w:r>
      <w:proofErr w:type="gramEnd"/>
      <w:r w:rsidRPr="00401158">
        <w:t xml:space="preserve"> contractor’s quoted prices and full measure costs </w:t>
      </w:r>
      <w:r>
        <w:t xml:space="preserve">as indicated in existing measure packages </w:t>
      </w:r>
      <w:r w:rsidRPr="00401158">
        <w:t>whe</w:t>
      </w:r>
      <w:r>
        <w:t xml:space="preserve">n </w:t>
      </w:r>
      <w:r w:rsidRPr="00401158">
        <w:t xml:space="preserve">not </w:t>
      </w:r>
      <w:r w:rsidRPr="002B3482">
        <w:t>available.</w:t>
      </w:r>
    </w:p>
    <w:p w14:paraId="07615673" w14:textId="36BB0368" w:rsidR="007F6403" w:rsidRDefault="007F6403" w:rsidP="007F6403">
      <w:pPr>
        <w:pStyle w:val="Caption"/>
        <w:jc w:val="left"/>
      </w:pPr>
      <w:r>
        <w:t xml:space="preserve">Table </w:t>
      </w:r>
      <w:r>
        <w:fldChar w:fldCharType="begin"/>
      </w:r>
      <w:r>
        <w:instrText xml:space="preserve"> SEQ Table \* ARABIC </w:instrText>
      </w:r>
      <w:r>
        <w:fldChar w:fldCharType="separate"/>
      </w:r>
      <w:r w:rsidR="00180F39">
        <w:rPr>
          <w:noProof/>
        </w:rPr>
        <w:t>1</w:t>
      </w:r>
      <w:r>
        <w:fldChar w:fldCharType="end"/>
      </w:r>
      <w:r>
        <w:t>. Measure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5"/>
        <w:gridCol w:w="1890"/>
        <w:gridCol w:w="1070"/>
      </w:tblGrid>
      <w:tr w:rsidR="007F6403" w:rsidRPr="003A2546" w14:paraId="78542D0D" w14:textId="77777777" w:rsidTr="0025233A">
        <w:trPr>
          <w:trHeight w:val="144"/>
        </w:trPr>
        <w:tc>
          <w:tcPr>
            <w:tcW w:w="6385" w:type="dxa"/>
            <w:shd w:val="clear" w:color="000000" w:fill="D9D9D9"/>
            <w:noWrap/>
            <w:vAlign w:val="center"/>
            <w:hideMark/>
          </w:tcPr>
          <w:p w14:paraId="6AC7CDA7" w14:textId="77777777" w:rsidR="007F6403" w:rsidRPr="003A2546" w:rsidRDefault="007F6403" w:rsidP="0025233A">
            <w:pPr>
              <w:spacing w:before="120" w:after="120" w:line="240" w:lineRule="auto"/>
              <w:jc w:val="center"/>
              <w:rPr>
                <w:rFonts w:eastAsia="Times New Roman" w:cs="Times New Roman"/>
                <w:b/>
                <w:bCs/>
                <w:color w:val="000000"/>
              </w:rPr>
            </w:pPr>
            <w:r w:rsidRPr="003A2546">
              <w:rPr>
                <w:rFonts w:eastAsia="Arial" w:cs="Times New Roman"/>
                <w:b/>
                <w:bCs/>
                <w:color w:val="000000"/>
              </w:rPr>
              <w:t>Measures</w:t>
            </w:r>
          </w:p>
        </w:tc>
        <w:tc>
          <w:tcPr>
            <w:tcW w:w="1890" w:type="dxa"/>
            <w:shd w:val="clear" w:color="000000" w:fill="D9D9D9"/>
            <w:noWrap/>
            <w:vAlign w:val="center"/>
            <w:hideMark/>
          </w:tcPr>
          <w:p w14:paraId="0E296905" w14:textId="77777777" w:rsidR="007F6403" w:rsidRPr="003A2546" w:rsidRDefault="007F6403" w:rsidP="0025233A">
            <w:pPr>
              <w:spacing w:before="120" w:after="120" w:line="240" w:lineRule="auto"/>
              <w:jc w:val="center"/>
              <w:rPr>
                <w:rFonts w:eastAsia="Times New Roman" w:cs="Times New Roman"/>
                <w:b/>
                <w:bCs/>
                <w:color w:val="000000"/>
              </w:rPr>
            </w:pPr>
            <w:r w:rsidRPr="003A2546">
              <w:rPr>
                <w:rFonts w:eastAsia="Times New Roman" w:cs="Times New Roman"/>
                <w:b/>
                <w:bCs/>
                <w:color w:val="000000"/>
              </w:rPr>
              <w:t>Normalize</w:t>
            </w:r>
            <w:r>
              <w:rPr>
                <w:rFonts w:eastAsia="Times New Roman" w:cs="Times New Roman"/>
                <w:b/>
                <w:bCs/>
                <w:color w:val="000000"/>
              </w:rPr>
              <w:t>d</w:t>
            </w:r>
            <w:r w:rsidRPr="003A2546">
              <w:rPr>
                <w:rFonts w:eastAsia="Times New Roman" w:cs="Times New Roman"/>
                <w:b/>
                <w:bCs/>
                <w:color w:val="000000"/>
              </w:rPr>
              <w:t xml:space="preserve"> Unit</w:t>
            </w:r>
          </w:p>
        </w:tc>
        <w:tc>
          <w:tcPr>
            <w:tcW w:w="1070" w:type="dxa"/>
            <w:shd w:val="clear" w:color="000000" w:fill="D9D9D9"/>
            <w:noWrap/>
            <w:vAlign w:val="center"/>
            <w:hideMark/>
          </w:tcPr>
          <w:p w14:paraId="65AEA747" w14:textId="77777777" w:rsidR="007F6403" w:rsidRPr="003A2546" w:rsidRDefault="007F6403" w:rsidP="0025233A">
            <w:pPr>
              <w:spacing w:before="120" w:after="120" w:line="240" w:lineRule="auto"/>
              <w:jc w:val="center"/>
              <w:rPr>
                <w:rFonts w:eastAsia="Times New Roman" w:cs="Times New Roman"/>
                <w:b/>
                <w:bCs/>
                <w:color w:val="000000"/>
              </w:rPr>
            </w:pPr>
            <w:r w:rsidRPr="003A2546">
              <w:rPr>
                <w:rFonts w:eastAsia="Times New Roman" w:cs="Times New Roman"/>
                <w:b/>
                <w:bCs/>
                <w:color w:val="000000"/>
              </w:rPr>
              <w:t>DI Cost</w:t>
            </w:r>
            <w:r>
              <w:rPr>
                <w:rStyle w:val="FootnoteReference"/>
                <w:rFonts w:eastAsia="Times New Roman" w:cs="Times New Roman"/>
                <w:b/>
                <w:bCs/>
                <w:color w:val="000000"/>
              </w:rPr>
              <w:footnoteReference w:id="12"/>
            </w:r>
          </w:p>
        </w:tc>
      </w:tr>
      <w:tr w:rsidR="007F6403" w:rsidRPr="003A2546" w14:paraId="43FAB59E" w14:textId="77777777" w:rsidTr="0025233A">
        <w:trPr>
          <w:trHeight w:val="144"/>
        </w:trPr>
        <w:tc>
          <w:tcPr>
            <w:tcW w:w="6385" w:type="dxa"/>
            <w:shd w:val="clear" w:color="auto" w:fill="auto"/>
            <w:noWrap/>
            <w:vAlign w:val="center"/>
          </w:tcPr>
          <w:p w14:paraId="505138E4" w14:textId="77777777" w:rsidR="007F6403" w:rsidRPr="00D6767F" w:rsidRDefault="007F6403" w:rsidP="0025233A">
            <w:pPr>
              <w:spacing w:line="240" w:lineRule="auto"/>
              <w:rPr>
                <w:rFonts w:eastAsia="Times New Roman" w:cs="Times New Roman"/>
                <w:color w:val="000000"/>
              </w:rPr>
            </w:pPr>
            <w:r w:rsidRPr="00D6767F">
              <w:rPr>
                <w:rFonts w:cs="Times New Roman"/>
              </w:rPr>
              <w:t>Hot Water Tank Insulation, Nonresidential and Multifamily</w:t>
            </w:r>
          </w:p>
        </w:tc>
        <w:tc>
          <w:tcPr>
            <w:tcW w:w="1890" w:type="dxa"/>
            <w:shd w:val="clear" w:color="auto" w:fill="auto"/>
            <w:noWrap/>
            <w:vAlign w:val="center"/>
          </w:tcPr>
          <w:p w14:paraId="570075B1" w14:textId="77777777" w:rsidR="007F6403" w:rsidRPr="00D6767F" w:rsidRDefault="007F6403" w:rsidP="0025233A">
            <w:pPr>
              <w:spacing w:line="240" w:lineRule="auto"/>
              <w:rPr>
                <w:rFonts w:eastAsia="Times New Roman" w:cs="Times New Roman"/>
                <w:color w:val="000000"/>
              </w:rPr>
            </w:pPr>
            <w:r w:rsidRPr="00D6767F">
              <w:rPr>
                <w:rFonts w:eastAsia="Times New Roman" w:cs="Times New Roman"/>
                <w:color w:val="000000"/>
              </w:rPr>
              <w:t>Area-ft2</w:t>
            </w:r>
          </w:p>
        </w:tc>
        <w:tc>
          <w:tcPr>
            <w:tcW w:w="1070" w:type="dxa"/>
            <w:shd w:val="clear" w:color="auto" w:fill="auto"/>
            <w:noWrap/>
            <w:vAlign w:val="center"/>
          </w:tcPr>
          <w:p w14:paraId="47AFF299" w14:textId="77777777" w:rsidR="007F6403" w:rsidRPr="00D6767F" w:rsidRDefault="007F6403" w:rsidP="0025233A">
            <w:pPr>
              <w:spacing w:line="240" w:lineRule="auto"/>
              <w:rPr>
                <w:rFonts w:eastAsia="Times New Roman" w:cs="Times New Roman"/>
                <w:color w:val="000000"/>
              </w:rPr>
            </w:pPr>
            <w:r>
              <w:rPr>
                <w:rFonts w:eastAsia="Times New Roman" w:cs="Times New Roman"/>
                <w:color w:val="000000"/>
              </w:rPr>
              <w:t>$16.75</w:t>
            </w:r>
          </w:p>
        </w:tc>
      </w:tr>
      <w:tr w:rsidR="007F6403" w:rsidRPr="003A2546" w14:paraId="7410B888" w14:textId="77777777" w:rsidTr="0025233A">
        <w:trPr>
          <w:trHeight w:val="144"/>
        </w:trPr>
        <w:tc>
          <w:tcPr>
            <w:tcW w:w="6385" w:type="dxa"/>
            <w:shd w:val="clear" w:color="auto" w:fill="auto"/>
            <w:noWrap/>
            <w:vAlign w:val="center"/>
          </w:tcPr>
          <w:p w14:paraId="041646AB" w14:textId="77777777" w:rsidR="007F6403" w:rsidRPr="00D6767F" w:rsidRDefault="007F6403" w:rsidP="0025233A">
            <w:pPr>
              <w:spacing w:line="240" w:lineRule="auto"/>
              <w:rPr>
                <w:rFonts w:eastAsia="Times New Roman" w:cs="Times New Roman"/>
                <w:color w:val="000000"/>
              </w:rPr>
            </w:pPr>
            <w:r w:rsidRPr="00D6767F">
              <w:rPr>
                <w:rFonts w:cs="Times New Roman"/>
              </w:rPr>
              <w:t>Brushless Fan Motor Replacement, Residential</w:t>
            </w:r>
          </w:p>
        </w:tc>
        <w:tc>
          <w:tcPr>
            <w:tcW w:w="1890" w:type="dxa"/>
            <w:shd w:val="clear" w:color="auto" w:fill="auto"/>
            <w:noWrap/>
            <w:vAlign w:val="center"/>
          </w:tcPr>
          <w:p w14:paraId="65A1C08C" w14:textId="77777777" w:rsidR="007F6403" w:rsidRPr="00D6767F" w:rsidRDefault="007F6403" w:rsidP="0025233A">
            <w:pPr>
              <w:spacing w:line="240" w:lineRule="auto"/>
              <w:rPr>
                <w:rFonts w:eastAsia="Times New Roman" w:cs="Times New Roman"/>
                <w:color w:val="000000"/>
              </w:rPr>
            </w:pPr>
            <w:r w:rsidRPr="00D6767F">
              <w:rPr>
                <w:rFonts w:eastAsia="Times New Roman" w:cs="Times New Roman"/>
                <w:color w:val="000000"/>
              </w:rPr>
              <w:t>SurfArea-ft2</w:t>
            </w:r>
          </w:p>
        </w:tc>
        <w:tc>
          <w:tcPr>
            <w:tcW w:w="1070" w:type="dxa"/>
            <w:shd w:val="clear" w:color="auto" w:fill="auto"/>
            <w:noWrap/>
            <w:vAlign w:val="center"/>
          </w:tcPr>
          <w:p w14:paraId="09649E11" w14:textId="77777777" w:rsidR="007F6403" w:rsidRPr="00D6767F" w:rsidRDefault="007F6403" w:rsidP="0025233A">
            <w:pPr>
              <w:spacing w:line="240" w:lineRule="auto"/>
              <w:rPr>
                <w:rFonts w:eastAsia="Times New Roman" w:cs="Times New Roman"/>
                <w:color w:val="000000"/>
              </w:rPr>
            </w:pPr>
            <w:r>
              <w:rPr>
                <w:rFonts w:eastAsia="Times New Roman" w:cs="Times New Roman"/>
                <w:color w:val="000000"/>
              </w:rPr>
              <w:t>$0.40</w:t>
            </w:r>
          </w:p>
        </w:tc>
      </w:tr>
      <w:tr w:rsidR="007F6403" w:rsidRPr="003A2546" w14:paraId="27D291CF" w14:textId="77777777" w:rsidTr="0025233A">
        <w:trPr>
          <w:trHeight w:val="144"/>
        </w:trPr>
        <w:tc>
          <w:tcPr>
            <w:tcW w:w="6385" w:type="dxa"/>
            <w:shd w:val="clear" w:color="auto" w:fill="auto"/>
            <w:noWrap/>
            <w:vAlign w:val="center"/>
          </w:tcPr>
          <w:p w14:paraId="408428C0" w14:textId="77777777" w:rsidR="007F6403" w:rsidRPr="00D6767F" w:rsidRDefault="007F6403" w:rsidP="0025233A">
            <w:pPr>
              <w:spacing w:line="240" w:lineRule="auto"/>
              <w:rPr>
                <w:rFonts w:eastAsia="Times New Roman" w:cs="Times New Roman"/>
                <w:color w:val="000000"/>
              </w:rPr>
            </w:pPr>
            <w:r w:rsidRPr="00D6767F">
              <w:rPr>
                <w:rFonts w:cs="Times New Roman"/>
              </w:rPr>
              <w:t>Duct Seal, Residential</w:t>
            </w:r>
          </w:p>
        </w:tc>
        <w:tc>
          <w:tcPr>
            <w:tcW w:w="1890" w:type="dxa"/>
            <w:shd w:val="clear" w:color="auto" w:fill="auto"/>
            <w:noWrap/>
            <w:vAlign w:val="center"/>
          </w:tcPr>
          <w:p w14:paraId="291C2498" w14:textId="77777777" w:rsidR="007F6403" w:rsidRPr="00D6767F" w:rsidRDefault="007F6403" w:rsidP="0025233A">
            <w:pPr>
              <w:spacing w:line="240" w:lineRule="auto"/>
              <w:rPr>
                <w:rFonts w:eastAsia="Times New Roman" w:cs="Times New Roman"/>
                <w:color w:val="000000"/>
              </w:rPr>
            </w:pPr>
            <w:r w:rsidRPr="00D6767F">
              <w:rPr>
                <w:rFonts w:eastAsia="Times New Roman" w:cs="Times New Roman"/>
                <w:color w:val="000000"/>
              </w:rPr>
              <w:t>Area-ft2-BA</w:t>
            </w:r>
          </w:p>
        </w:tc>
        <w:tc>
          <w:tcPr>
            <w:tcW w:w="1070" w:type="dxa"/>
            <w:shd w:val="clear" w:color="auto" w:fill="auto"/>
            <w:noWrap/>
            <w:vAlign w:val="center"/>
          </w:tcPr>
          <w:p w14:paraId="37B4A2B4" w14:textId="77777777" w:rsidR="007F6403" w:rsidRPr="00D6767F" w:rsidRDefault="007F6403" w:rsidP="0025233A">
            <w:pPr>
              <w:spacing w:line="240" w:lineRule="auto"/>
              <w:rPr>
                <w:rFonts w:eastAsia="Times New Roman" w:cs="Times New Roman"/>
                <w:color w:val="000000"/>
              </w:rPr>
            </w:pPr>
            <w:r>
              <w:rPr>
                <w:rFonts w:eastAsia="Times New Roman" w:cs="Times New Roman"/>
                <w:color w:val="000000"/>
              </w:rPr>
              <w:t>$0.39</w:t>
            </w:r>
          </w:p>
        </w:tc>
      </w:tr>
      <w:tr w:rsidR="007F6403" w:rsidRPr="003A2546" w14:paraId="39F28FD0" w14:textId="77777777" w:rsidTr="0025233A">
        <w:trPr>
          <w:trHeight w:val="144"/>
        </w:trPr>
        <w:tc>
          <w:tcPr>
            <w:tcW w:w="6385" w:type="dxa"/>
            <w:shd w:val="clear" w:color="auto" w:fill="auto"/>
            <w:noWrap/>
            <w:vAlign w:val="center"/>
          </w:tcPr>
          <w:p w14:paraId="54307170" w14:textId="77777777" w:rsidR="007F6403" w:rsidRPr="00D6767F" w:rsidRDefault="007F6403" w:rsidP="0025233A">
            <w:pPr>
              <w:spacing w:line="240" w:lineRule="auto"/>
              <w:rPr>
                <w:rFonts w:eastAsia="Times New Roman" w:cs="Times New Roman"/>
                <w:color w:val="000000"/>
              </w:rPr>
            </w:pPr>
            <w:r w:rsidRPr="00D6767F">
              <w:rPr>
                <w:rFonts w:cs="Times New Roman"/>
              </w:rPr>
              <w:t>Low-Flow Showerhead, Residential</w:t>
            </w:r>
          </w:p>
        </w:tc>
        <w:tc>
          <w:tcPr>
            <w:tcW w:w="1890" w:type="dxa"/>
            <w:shd w:val="clear" w:color="auto" w:fill="auto"/>
            <w:noWrap/>
            <w:vAlign w:val="center"/>
          </w:tcPr>
          <w:p w14:paraId="617CBB37" w14:textId="77777777" w:rsidR="007F6403" w:rsidRPr="00D6767F" w:rsidRDefault="007F6403" w:rsidP="0025233A">
            <w:pPr>
              <w:spacing w:line="240" w:lineRule="auto"/>
              <w:rPr>
                <w:rFonts w:eastAsia="Times New Roman" w:cs="Times New Roman"/>
                <w:color w:val="000000"/>
              </w:rPr>
            </w:pPr>
            <w:r w:rsidRPr="00D6767F">
              <w:rPr>
                <w:rFonts w:eastAsia="Times New Roman" w:cs="Times New Roman"/>
                <w:color w:val="000000"/>
              </w:rPr>
              <w:t>Each</w:t>
            </w:r>
          </w:p>
        </w:tc>
        <w:tc>
          <w:tcPr>
            <w:tcW w:w="1070" w:type="dxa"/>
            <w:shd w:val="clear" w:color="auto" w:fill="auto"/>
            <w:noWrap/>
            <w:vAlign w:val="center"/>
          </w:tcPr>
          <w:p w14:paraId="09270B8B" w14:textId="77777777" w:rsidR="007F6403" w:rsidRPr="00D6767F" w:rsidRDefault="007F6403" w:rsidP="0025233A">
            <w:pPr>
              <w:spacing w:line="240" w:lineRule="auto"/>
              <w:rPr>
                <w:rFonts w:eastAsia="Times New Roman" w:cs="Times New Roman"/>
                <w:color w:val="000000"/>
              </w:rPr>
            </w:pPr>
            <w:r>
              <w:rPr>
                <w:rFonts w:eastAsia="Times New Roman" w:cs="Times New Roman"/>
                <w:color w:val="000000"/>
              </w:rPr>
              <w:t>$25.00</w:t>
            </w:r>
          </w:p>
        </w:tc>
      </w:tr>
      <w:tr w:rsidR="007F6403" w:rsidRPr="003A2546" w14:paraId="4565F486" w14:textId="77777777" w:rsidTr="0025233A">
        <w:trPr>
          <w:trHeight w:val="144"/>
        </w:trPr>
        <w:tc>
          <w:tcPr>
            <w:tcW w:w="6385" w:type="dxa"/>
            <w:shd w:val="clear" w:color="auto" w:fill="auto"/>
            <w:noWrap/>
            <w:vAlign w:val="center"/>
          </w:tcPr>
          <w:p w14:paraId="298400DF" w14:textId="77777777" w:rsidR="007F6403" w:rsidRPr="00D6767F" w:rsidRDefault="007F6403" w:rsidP="0025233A">
            <w:pPr>
              <w:spacing w:line="240" w:lineRule="auto"/>
              <w:rPr>
                <w:rFonts w:eastAsia="Times New Roman" w:cs="Times New Roman"/>
                <w:color w:val="000000"/>
              </w:rPr>
            </w:pPr>
            <w:r w:rsidRPr="00D6767F">
              <w:rPr>
                <w:rFonts w:cs="Times New Roman"/>
              </w:rPr>
              <w:t>Faucet Aerator, Residential</w:t>
            </w:r>
          </w:p>
        </w:tc>
        <w:tc>
          <w:tcPr>
            <w:tcW w:w="1890" w:type="dxa"/>
            <w:shd w:val="clear" w:color="auto" w:fill="auto"/>
            <w:noWrap/>
            <w:vAlign w:val="center"/>
          </w:tcPr>
          <w:p w14:paraId="48222A7A" w14:textId="77777777" w:rsidR="007F6403" w:rsidRPr="00D6767F" w:rsidRDefault="007F6403" w:rsidP="0025233A">
            <w:pPr>
              <w:spacing w:line="240" w:lineRule="auto"/>
              <w:rPr>
                <w:rFonts w:eastAsia="Times New Roman" w:cs="Times New Roman"/>
                <w:color w:val="000000"/>
              </w:rPr>
            </w:pPr>
            <w:r w:rsidRPr="00D6767F">
              <w:rPr>
                <w:rFonts w:eastAsia="Times New Roman" w:cs="Times New Roman"/>
                <w:color w:val="000000"/>
              </w:rPr>
              <w:t>Each</w:t>
            </w:r>
          </w:p>
        </w:tc>
        <w:tc>
          <w:tcPr>
            <w:tcW w:w="1070" w:type="dxa"/>
            <w:shd w:val="clear" w:color="auto" w:fill="auto"/>
            <w:noWrap/>
            <w:vAlign w:val="center"/>
          </w:tcPr>
          <w:p w14:paraId="61C45E63" w14:textId="77777777" w:rsidR="007F6403" w:rsidRPr="00D6767F" w:rsidRDefault="007F6403" w:rsidP="0025233A">
            <w:pPr>
              <w:spacing w:line="240" w:lineRule="auto"/>
              <w:rPr>
                <w:rFonts w:eastAsia="Times New Roman" w:cs="Times New Roman"/>
                <w:color w:val="000000"/>
              </w:rPr>
            </w:pPr>
            <w:r>
              <w:rPr>
                <w:rFonts w:eastAsia="Times New Roman" w:cs="Times New Roman"/>
                <w:color w:val="000000"/>
              </w:rPr>
              <w:t>$7.00</w:t>
            </w:r>
          </w:p>
        </w:tc>
      </w:tr>
      <w:tr w:rsidR="007F6403" w:rsidRPr="003A2546" w14:paraId="4FD98B09" w14:textId="77777777" w:rsidTr="0025233A">
        <w:trPr>
          <w:trHeight w:val="144"/>
        </w:trPr>
        <w:tc>
          <w:tcPr>
            <w:tcW w:w="6385" w:type="dxa"/>
            <w:shd w:val="clear" w:color="auto" w:fill="auto"/>
            <w:noWrap/>
            <w:vAlign w:val="center"/>
          </w:tcPr>
          <w:p w14:paraId="73629C7B" w14:textId="77777777" w:rsidR="007F6403" w:rsidRPr="00D6767F" w:rsidRDefault="007F6403" w:rsidP="0025233A">
            <w:pPr>
              <w:spacing w:line="240" w:lineRule="auto"/>
              <w:rPr>
                <w:rFonts w:eastAsia="Times New Roman" w:cs="Times New Roman"/>
                <w:color w:val="000000"/>
              </w:rPr>
            </w:pPr>
            <w:r w:rsidRPr="00D6767F">
              <w:rPr>
                <w:rFonts w:cs="Times New Roman"/>
              </w:rPr>
              <w:t>Hot Water Pipe Insulation, Nonresidential and Multifamily</w:t>
            </w:r>
          </w:p>
        </w:tc>
        <w:tc>
          <w:tcPr>
            <w:tcW w:w="1890" w:type="dxa"/>
            <w:shd w:val="clear" w:color="auto" w:fill="auto"/>
            <w:noWrap/>
            <w:vAlign w:val="center"/>
          </w:tcPr>
          <w:p w14:paraId="291A18CA" w14:textId="77777777" w:rsidR="007F6403" w:rsidRPr="00D6767F" w:rsidRDefault="007F6403" w:rsidP="0025233A">
            <w:pPr>
              <w:spacing w:line="240" w:lineRule="auto"/>
              <w:rPr>
                <w:rFonts w:eastAsia="Times New Roman" w:cs="Times New Roman"/>
                <w:color w:val="000000"/>
              </w:rPr>
            </w:pPr>
            <w:r w:rsidRPr="00D6767F">
              <w:rPr>
                <w:rFonts w:eastAsia="Times New Roman" w:cs="Times New Roman"/>
                <w:color w:val="000000"/>
              </w:rPr>
              <w:t>Len-ft</w:t>
            </w:r>
          </w:p>
        </w:tc>
        <w:tc>
          <w:tcPr>
            <w:tcW w:w="1070" w:type="dxa"/>
            <w:shd w:val="clear" w:color="auto" w:fill="auto"/>
            <w:noWrap/>
            <w:vAlign w:val="center"/>
          </w:tcPr>
          <w:p w14:paraId="6935CBD5" w14:textId="77777777" w:rsidR="007F6403" w:rsidRPr="00D6767F" w:rsidRDefault="007F6403" w:rsidP="0025233A">
            <w:pPr>
              <w:spacing w:line="240" w:lineRule="auto"/>
              <w:rPr>
                <w:rFonts w:eastAsia="Times New Roman" w:cs="Times New Roman"/>
                <w:color w:val="000000"/>
              </w:rPr>
            </w:pPr>
            <w:r>
              <w:rPr>
                <w:rFonts w:eastAsia="Times New Roman" w:cs="Times New Roman"/>
                <w:color w:val="000000"/>
              </w:rPr>
              <w:t>$15.00</w:t>
            </w:r>
          </w:p>
        </w:tc>
      </w:tr>
      <w:tr w:rsidR="007F6403" w:rsidRPr="003A2546" w14:paraId="13485700" w14:textId="77777777" w:rsidTr="0025233A">
        <w:trPr>
          <w:trHeight w:val="144"/>
        </w:trPr>
        <w:tc>
          <w:tcPr>
            <w:tcW w:w="6385" w:type="dxa"/>
            <w:shd w:val="clear" w:color="auto" w:fill="auto"/>
            <w:noWrap/>
            <w:vAlign w:val="center"/>
          </w:tcPr>
          <w:p w14:paraId="67B7BE3F" w14:textId="77777777" w:rsidR="007F6403" w:rsidRPr="00D6767F" w:rsidRDefault="007F6403" w:rsidP="0025233A">
            <w:pPr>
              <w:spacing w:line="240" w:lineRule="auto"/>
              <w:rPr>
                <w:rFonts w:eastAsia="Times New Roman" w:cs="Times New Roman"/>
                <w:color w:val="000000"/>
              </w:rPr>
            </w:pPr>
            <w:r w:rsidRPr="00D6767F">
              <w:rPr>
                <w:rFonts w:cs="Times New Roman"/>
              </w:rPr>
              <w:t>Smart Thermostat, Residential</w:t>
            </w:r>
          </w:p>
        </w:tc>
        <w:tc>
          <w:tcPr>
            <w:tcW w:w="1890" w:type="dxa"/>
            <w:shd w:val="clear" w:color="auto" w:fill="auto"/>
            <w:noWrap/>
            <w:vAlign w:val="center"/>
          </w:tcPr>
          <w:p w14:paraId="0F0A58E5" w14:textId="77777777" w:rsidR="007F6403" w:rsidRPr="00D6767F" w:rsidRDefault="007F6403" w:rsidP="0025233A">
            <w:pPr>
              <w:spacing w:line="240" w:lineRule="auto"/>
              <w:rPr>
                <w:rFonts w:eastAsia="Times New Roman" w:cs="Times New Roman"/>
                <w:color w:val="000000"/>
              </w:rPr>
            </w:pPr>
            <w:r w:rsidRPr="00D6767F">
              <w:rPr>
                <w:rFonts w:eastAsia="Times New Roman" w:cs="Times New Roman"/>
                <w:color w:val="000000"/>
              </w:rPr>
              <w:t>Household</w:t>
            </w:r>
          </w:p>
        </w:tc>
        <w:tc>
          <w:tcPr>
            <w:tcW w:w="1070" w:type="dxa"/>
            <w:shd w:val="clear" w:color="auto" w:fill="auto"/>
            <w:noWrap/>
            <w:vAlign w:val="center"/>
          </w:tcPr>
          <w:p w14:paraId="1B011326" w14:textId="77777777" w:rsidR="007F6403" w:rsidRPr="00D6767F" w:rsidRDefault="007F6403" w:rsidP="0025233A">
            <w:pPr>
              <w:spacing w:line="240" w:lineRule="auto"/>
              <w:rPr>
                <w:rFonts w:eastAsia="Times New Roman" w:cs="Times New Roman"/>
                <w:color w:val="000000"/>
              </w:rPr>
            </w:pPr>
            <w:r>
              <w:rPr>
                <w:rFonts w:eastAsia="Times New Roman" w:cs="Times New Roman"/>
                <w:color w:val="000000"/>
              </w:rPr>
              <w:t>$200.00</w:t>
            </w:r>
          </w:p>
        </w:tc>
      </w:tr>
      <w:tr w:rsidR="007F6403" w:rsidRPr="003A2546" w14:paraId="15E3DB40" w14:textId="77777777" w:rsidTr="0025233A">
        <w:trPr>
          <w:trHeight w:val="144"/>
        </w:trPr>
        <w:tc>
          <w:tcPr>
            <w:tcW w:w="6385" w:type="dxa"/>
            <w:shd w:val="clear" w:color="auto" w:fill="auto"/>
            <w:noWrap/>
            <w:vAlign w:val="center"/>
          </w:tcPr>
          <w:p w14:paraId="593E4555" w14:textId="77777777" w:rsidR="007F6403" w:rsidRPr="00D6767F" w:rsidRDefault="007F6403" w:rsidP="0025233A">
            <w:pPr>
              <w:spacing w:line="240" w:lineRule="auto"/>
              <w:rPr>
                <w:rFonts w:eastAsia="Times New Roman" w:cs="Times New Roman"/>
                <w:color w:val="000000"/>
              </w:rPr>
            </w:pPr>
            <w:r w:rsidRPr="00D6767F">
              <w:rPr>
                <w:rFonts w:cs="Times New Roman"/>
              </w:rPr>
              <w:t>Smart Fan Controller, Residential</w:t>
            </w:r>
          </w:p>
        </w:tc>
        <w:tc>
          <w:tcPr>
            <w:tcW w:w="1890" w:type="dxa"/>
            <w:shd w:val="clear" w:color="auto" w:fill="auto"/>
            <w:noWrap/>
            <w:vAlign w:val="center"/>
          </w:tcPr>
          <w:p w14:paraId="44F6BFC5" w14:textId="77777777" w:rsidR="007F6403" w:rsidRPr="00D6767F" w:rsidRDefault="007F6403" w:rsidP="0025233A">
            <w:pPr>
              <w:spacing w:line="240" w:lineRule="auto"/>
              <w:rPr>
                <w:rFonts w:eastAsia="Times New Roman" w:cs="Times New Roman"/>
                <w:color w:val="000000"/>
              </w:rPr>
            </w:pPr>
            <w:r w:rsidRPr="00D6767F">
              <w:rPr>
                <w:rFonts w:eastAsia="Times New Roman" w:cs="Times New Roman"/>
                <w:color w:val="000000"/>
              </w:rPr>
              <w:t>Area-ft2-BA</w:t>
            </w:r>
          </w:p>
        </w:tc>
        <w:tc>
          <w:tcPr>
            <w:tcW w:w="1070" w:type="dxa"/>
            <w:shd w:val="clear" w:color="auto" w:fill="auto"/>
            <w:noWrap/>
            <w:vAlign w:val="center"/>
          </w:tcPr>
          <w:p w14:paraId="4927C600" w14:textId="77777777" w:rsidR="007F6403" w:rsidRPr="00D6767F" w:rsidRDefault="007F6403" w:rsidP="0025233A">
            <w:pPr>
              <w:spacing w:line="240" w:lineRule="auto"/>
              <w:rPr>
                <w:rFonts w:eastAsia="Times New Roman" w:cs="Times New Roman"/>
                <w:color w:val="000000"/>
              </w:rPr>
            </w:pPr>
            <w:r>
              <w:rPr>
                <w:rFonts w:eastAsia="Times New Roman" w:cs="Times New Roman"/>
                <w:color w:val="000000"/>
              </w:rPr>
              <w:t>$0.32</w:t>
            </w:r>
          </w:p>
        </w:tc>
      </w:tr>
      <w:tr w:rsidR="007F6403" w:rsidRPr="003A2546" w14:paraId="67CBDACB" w14:textId="77777777" w:rsidTr="0025233A">
        <w:trPr>
          <w:trHeight w:val="144"/>
        </w:trPr>
        <w:tc>
          <w:tcPr>
            <w:tcW w:w="6385" w:type="dxa"/>
            <w:shd w:val="clear" w:color="auto" w:fill="auto"/>
            <w:noWrap/>
            <w:vAlign w:val="center"/>
          </w:tcPr>
          <w:p w14:paraId="615ED348" w14:textId="77777777" w:rsidR="007F6403" w:rsidRPr="00D6767F" w:rsidRDefault="007F6403" w:rsidP="0025233A">
            <w:pPr>
              <w:spacing w:line="240" w:lineRule="auto"/>
              <w:rPr>
                <w:rFonts w:eastAsia="Times New Roman" w:cs="Times New Roman"/>
                <w:color w:val="000000"/>
              </w:rPr>
            </w:pPr>
            <w:r w:rsidRPr="00D6767F">
              <w:rPr>
                <w:rFonts w:cs="Times New Roman"/>
              </w:rPr>
              <w:t>UL Type B LED Mogul Base Lamp HID Retrofits for Outdoor Area/Pole and Decorative Fixtures</w:t>
            </w:r>
          </w:p>
        </w:tc>
        <w:tc>
          <w:tcPr>
            <w:tcW w:w="1890" w:type="dxa"/>
            <w:shd w:val="clear" w:color="auto" w:fill="auto"/>
            <w:noWrap/>
            <w:vAlign w:val="center"/>
          </w:tcPr>
          <w:p w14:paraId="0DDC515E" w14:textId="77777777" w:rsidR="007F6403" w:rsidRPr="00D6767F" w:rsidRDefault="007F6403" w:rsidP="0025233A">
            <w:pPr>
              <w:spacing w:line="240" w:lineRule="auto"/>
              <w:rPr>
                <w:rFonts w:eastAsia="Times New Roman" w:cs="Times New Roman"/>
                <w:color w:val="000000"/>
              </w:rPr>
            </w:pPr>
            <w:r w:rsidRPr="00D6767F">
              <w:rPr>
                <w:rFonts w:eastAsia="Times New Roman" w:cs="Times New Roman"/>
                <w:color w:val="000000"/>
              </w:rPr>
              <w:t>Lamp</w:t>
            </w:r>
          </w:p>
        </w:tc>
        <w:tc>
          <w:tcPr>
            <w:tcW w:w="1070" w:type="dxa"/>
            <w:shd w:val="clear" w:color="auto" w:fill="auto"/>
            <w:noWrap/>
            <w:vAlign w:val="center"/>
          </w:tcPr>
          <w:p w14:paraId="582A3F51" w14:textId="77777777" w:rsidR="007F6403" w:rsidRPr="00D6767F" w:rsidRDefault="007F6403" w:rsidP="0025233A">
            <w:pPr>
              <w:spacing w:line="240" w:lineRule="auto"/>
              <w:rPr>
                <w:rFonts w:eastAsia="Times New Roman" w:cs="Times New Roman"/>
                <w:color w:val="000000"/>
              </w:rPr>
            </w:pPr>
            <w:r>
              <w:rPr>
                <w:rFonts w:eastAsia="Times New Roman" w:cs="Times New Roman"/>
                <w:color w:val="000000"/>
              </w:rPr>
              <w:t>$214.41</w:t>
            </w:r>
          </w:p>
        </w:tc>
      </w:tr>
    </w:tbl>
    <w:p w14:paraId="12958BD2" w14:textId="74F2BE59" w:rsidR="007F6403" w:rsidRDefault="007F6403" w:rsidP="007F6403">
      <w:pPr>
        <w:pStyle w:val="BodyText"/>
        <w:ind w:left="0"/>
      </w:pPr>
    </w:p>
    <w:p w14:paraId="4DDEFC46" w14:textId="77777777" w:rsidR="00D666BA" w:rsidRPr="00D77BCF" w:rsidRDefault="00D666BA" w:rsidP="00D77BCF">
      <w:pPr>
        <w:pStyle w:val="ListParagraph"/>
        <w:numPr>
          <w:ilvl w:val="3"/>
          <w:numId w:val="1"/>
        </w:numPr>
        <w:ind w:left="360"/>
        <w:rPr>
          <w:b/>
          <w:bCs/>
        </w:rPr>
      </w:pPr>
      <w:r w:rsidRPr="00D77BCF">
        <w:rPr>
          <w:b/>
          <w:bCs/>
        </w:rPr>
        <w:t>Additional Services</w:t>
      </w:r>
    </w:p>
    <w:p w14:paraId="3D05C11D" w14:textId="77777777" w:rsidR="00D77BCF" w:rsidRPr="00D77BCF" w:rsidRDefault="00D77BCF" w:rsidP="00D77BCF"/>
    <w:p w14:paraId="503393B7" w14:textId="45A7E1FD" w:rsidR="00191F72" w:rsidRDefault="00693549" w:rsidP="00D77BCF">
      <w:r w:rsidRPr="00693549">
        <w:t>The Program will deliver information, training and direct installation of energy and water saving measures. Information will be aimed at raising tenants' and owners' awareness of the importance and benefits of reducing energy and water use, with simple pointers about how to manage and reduce usage and save money on utility bills. Town Hall style gatherings will be held in collaboration with city and county agencies, coordinated through SoCalREN’s Public Agency program. For each building enrolled in the program, simple, easy-to-understand education will be delivered to tenants and owners and provided with additional supporting materials</w:t>
      </w:r>
      <w:r w:rsidR="00F56642">
        <w:t>,</w:t>
      </w:r>
      <w:r w:rsidRPr="00693549">
        <w:t xml:space="preserve"> such as tip sheets and refrigerator magnets to provide additional tenant education.</w:t>
      </w:r>
    </w:p>
    <w:p w14:paraId="24CDD2CD" w14:textId="77777777" w:rsidR="00D77BCF" w:rsidRPr="00D77BCF" w:rsidRDefault="00D77BCF" w:rsidP="00D77BCF"/>
    <w:p w14:paraId="7E80F40D" w14:textId="77777777" w:rsidR="00D666BA" w:rsidRPr="00D77BCF" w:rsidRDefault="00D666BA" w:rsidP="00D77BCF">
      <w:pPr>
        <w:pStyle w:val="ListParagraph"/>
        <w:numPr>
          <w:ilvl w:val="3"/>
          <w:numId w:val="1"/>
        </w:numPr>
        <w:ind w:left="360"/>
        <w:rPr>
          <w:b/>
          <w:bCs/>
        </w:rPr>
      </w:pPr>
      <w:r w:rsidRPr="00D77BCF">
        <w:rPr>
          <w:b/>
          <w:bCs/>
        </w:rPr>
        <w:t>Audits</w:t>
      </w:r>
    </w:p>
    <w:p w14:paraId="756886D5" w14:textId="77777777" w:rsidR="00D77BCF" w:rsidRPr="00D77BCF" w:rsidRDefault="00D77BCF" w:rsidP="00D77BCF"/>
    <w:p w14:paraId="4F9EFD5E" w14:textId="1129C831" w:rsidR="0055243A" w:rsidRPr="00F50057" w:rsidRDefault="009C32FE" w:rsidP="00D77BCF">
      <w:r>
        <w:t>Audits</w:t>
      </w:r>
      <w:r w:rsidR="004802CD">
        <w:t xml:space="preserve">/pre-assessments </w:t>
      </w:r>
      <w:r w:rsidR="00D038BB">
        <w:t xml:space="preserve">will </w:t>
      </w:r>
      <w:r w:rsidR="0055243A">
        <w:t xml:space="preserve">be </w:t>
      </w:r>
      <w:r>
        <w:t xml:space="preserve">conducted by every participating contractor at the start of the project. Pre-assessments have the primary goal of gathering detailed </w:t>
      </w:r>
      <w:r w:rsidR="0055243A">
        <w:t>information</w:t>
      </w:r>
      <w:r>
        <w:t xml:space="preserve"> about the existing infrastructure, equipment, and the number of units. </w:t>
      </w:r>
      <w:r w:rsidR="008315B0">
        <w:t>Pre-assessment</w:t>
      </w:r>
      <w:r w:rsidR="0055243A">
        <w:t xml:space="preserve">s help determine the eligibility and specifications for the direct </w:t>
      </w:r>
      <w:proofErr w:type="gramStart"/>
      <w:r w:rsidR="0055243A">
        <w:t>install</w:t>
      </w:r>
      <w:proofErr w:type="gramEnd"/>
      <w:r w:rsidR="0055243A">
        <w:t xml:space="preserve"> measures </w:t>
      </w:r>
      <w:r w:rsidR="00D038BB">
        <w:t xml:space="preserve">that </w:t>
      </w:r>
      <w:r w:rsidR="0055243A">
        <w:t xml:space="preserve">the property can receive. Each contractor must capture the following information with each pre-assessment: </w:t>
      </w:r>
    </w:p>
    <w:p w14:paraId="496CE5FD" w14:textId="0C940F16" w:rsidR="007168C6" w:rsidRPr="00F50057" w:rsidRDefault="007168C6" w:rsidP="00F17B8B">
      <w:pPr>
        <w:ind w:left="360"/>
      </w:pPr>
    </w:p>
    <w:p w14:paraId="5FD7333D" w14:textId="77777777" w:rsidR="00FB719C" w:rsidRDefault="007168C6" w:rsidP="007168C6">
      <w:pPr>
        <w:pStyle w:val="ListParagraph"/>
        <w:numPr>
          <w:ilvl w:val="0"/>
          <w:numId w:val="10"/>
        </w:numPr>
      </w:pPr>
      <w:r w:rsidRPr="00F50057">
        <w:t>Existing equipment inventory</w:t>
      </w:r>
    </w:p>
    <w:p w14:paraId="341F82C5" w14:textId="40DA099E" w:rsidR="00D666BA" w:rsidRPr="00FB719C" w:rsidRDefault="00044F07" w:rsidP="6F108675">
      <w:pPr>
        <w:pStyle w:val="ListParagraph"/>
        <w:numPr>
          <w:ilvl w:val="0"/>
          <w:numId w:val="10"/>
        </w:numPr>
        <w:rPr>
          <w:b/>
          <w:bCs/>
        </w:rPr>
      </w:pPr>
      <w:r>
        <w:t>Historic u</w:t>
      </w:r>
      <w:r w:rsidR="007168C6" w:rsidRPr="00F50057">
        <w:t xml:space="preserve">tility Bills </w:t>
      </w:r>
    </w:p>
    <w:p w14:paraId="2FF66CF9" w14:textId="77777777" w:rsidR="00D77BCF" w:rsidRPr="00D77BCF" w:rsidRDefault="00D77BCF" w:rsidP="00D77BCF"/>
    <w:p w14:paraId="3F456538" w14:textId="0FB61461" w:rsidR="00191F72" w:rsidRDefault="004D1DC4" w:rsidP="00D77BCF">
      <w:r>
        <w:t>All contractors performing direct installations must hold a current CSLB license</w:t>
      </w:r>
      <w:r w:rsidR="00F0401E">
        <w:t>.</w:t>
      </w:r>
    </w:p>
    <w:p w14:paraId="43078C1F" w14:textId="77777777" w:rsidR="00D77BCF" w:rsidRPr="00D77BCF" w:rsidRDefault="00D77BCF" w:rsidP="00D77BCF"/>
    <w:p w14:paraId="75F39385" w14:textId="77777777" w:rsidR="000E3476" w:rsidRPr="00D77BCF" w:rsidRDefault="00D666BA" w:rsidP="00D77BCF">
      <w:pPr>
        <w:pStyle w:val="ListParagraph"/>
        <w:numPr>
          <w:ilvl w:val="3"/>
          <w:numId w:val="1"/>
        </w:numPr>
        <w:ind w:left="360"/>
        <w:rPr>
          <w:b/>
          <w:bCs/>
        </w:rPr>
      </w:pPr>
      <w:r w:rsidRPr="00D77BCF">
        <w:rPr>
          <w:b/>
          <w:bCs/>
        </w:rPr>
        <w:t>Post Inspections</w:t>
      </w:r>
    </w:p>
    <w:p w14:paraId="16EFB85D" w14:textId="77777777" w:rsidR="00D77BCF" w:rsidRPr="00D77BCF" w:rsidRDefault="00D77BCF" w:rsidP="00D77BCF"/>
    <w:p w14:paraId="52A53619" w14:textId="29091AF0" w:rsidR="00191F72" w:rsidRPr="00D77BCF" w:rsidRDefault="00E33F84" w:rsidP="00D77BCF">
      <w:pPr>
        <w:sectPr w:rsidR="00191F72" w:rsidRPr="00D77BCF">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pPr>
      <w:r w:rsidRPr="00E33F84">
        <w:t>On-site inspections will be conducted for a randomized 10 percent of projects. The selection for on-site inspection is a system generated parameter that is completed after the project has moved through the Desk Review process. Site inspections include verification of equipment installation, operation, and eligibility. If no discrepancies are found during the inspection, the project is approved for payment and moves into the incentive disbursement process. If discrepancies were found during the inspection, a punch list is provided to the DI contractor listing the issues to be resolved prior to payment. Once the contractor addresses the punch list items, the project is reinspected to verify that all outstanding items have been resolved.</w:t>
      </w:r>
    </w:p>
    <w:p w14:paraId="52720B07" w14:textId="35CD678A" w:rsidR="006E51B0" w:rsidRPr="00D85DDC" w:rsidRDefault="003A4DBA" w:rsidP="00153863">
      <w:pPr>
        <w:pStyle w:val="BodyText"/>
        <w:spacing w:after="240"/>
        <w:ind w:left="0"/>
        <w:jc w:val="center"/>
        <w:rPr>
          <w:rFonts w:cs="Times New Roman"/>
          <w:b/>
          <w:bCs/>
          <w:color w:val="0070C0"/>
        </w:rPr>
      </w:pPr>
      <w:r w:rsidRPr="00D85DDC">
        <w:rPr>
          <w:rFonts w:cs="Times New Roman"/>
          <w:b/>
          <w:bCs/>
          <w:color w:val="0070C0"/>
        </w:rPr>
        <w:lastRenderedPageBreak/>
        <w:t>DOCUMENT QUALITY CONTROL TRACKER</w:t>
      </w:r>
      <w:r w:rsidR="00D7532D">
        <w:rPr>
          <w:rFonts w:cs="Times New Roman"/>
          <w:b/>
          <w:bCs/>
          <w:color w:val="0070C0"/>
        </w:rPr>
        <w:t>—</w:t>
      </w:r>
      <w:r w:rsidR="00D7532D" w:rsidRPr="00D7532D">
        <w:rPr>
          <w:rFonts w:cs="Times New Roman"/>
          <w:b/>
          <w:bCs/>
          <w:color w:val="0070C0"/>
          <w:highlight w:val="yellow"/>
        </w:rPr>
        <w:t>REMOVE BEFORE FILING</w:t>
      </w:r>
    </w:p>
    <w:tbl>
      <w:tblPr>
        <w:tblStyle w:val="TableGrid"/>
        <w:tblW w:w="0" w:type="auto"/>
        <w:tblInd w:w="-5" w:type="dxa"/>
        <w:tblLook w:val="04A0" w:firstRow="1" w:lastRow="0" w:firstColumn="1" w:lastColumn="0" w:noHBand="0" w:noVBand="1"/>
      </w:tblPr>
      <w:tblGrid>
        <w:gridCol w:w="540"/>
        <w:gridCol w:w="4278"/>
        <w:gridCol w:w="1408"/>
        <w:gridCol w:w="1564"/>
        <w:gridCol w:w="1565"/>
      </w:tblGrid>
      <w:tr w:rsidR="00BD3B3B" w:rsidRPr="006F0535" w14:paraId="6D31B73A" w14:textId="77777777" w:rsidTr="70E12508">
        <w:trPr>
          <w:trHeight w:val="863"/>
        </w:trPr>
        <w:tc>
          <w:tcPr>
            <w:tcW w:w="540" w:type="dxa"/>
            <w:shd w:val="clear" w:color="auto" w:fill="FFF2CC" w:themeFill="accent4" w:themeFillTint="33"/>
            <w:vAlign w:val="center"/>
          </w:tcPr>
          <w:p w14:paraId="156472F6" w14:textId="614D0E0E" w:rsidR="00FF1CCB" w:rsidRPr="006F0535" w:rsidRDefault="00FF1CCB" w:rsidP="002A432A">
            <w:pPr>
              <w:pStyle w:val="BodyText"/>
              <w:spacing w:before="120"/>
              <w:ind w:left="0"/>
              <w:jc w:val="center"/>
              <w:rPr>
                <w:b/>
                <w:bCs/>
                <w:sz w:val="20"/>
                <w:szCs w:val="20"/>
              </w:rPr>
            </w:pPr>
            <w:r w:rsidRPr="006F0535">
              <w:rPr>
                <w:b/>
                <w:bCs/>
                <w:sz w:val="20"/>
                <w:szCs w:val="20"/>
              </w:rPr>
              <w:t>No.</w:t>
            </w:r>
          </w:p>
        </w:tc>
        <w:tc>
          <w:tcPr>
            <w:tcW w:w="4278" w:type="dxa"/>
            <w:shd w:val="clear" w:color="auto" w:fill="FFF2CC" w:themeFill="accent4" w:themeFillTint="33"/>
            <w:vAlign w:val="center"/>
          </w:tcPr>
          <w:p w14:paraId="2DAE3CDA" w14:textId="37CED8EB" w:rsidR="00FF1CCB" w:rsidRPr="006F0535" w:rsidRDefault="00FF1CCB" w:rsidP="006F0535">
            <w:pPr>
              <w:pStyle w:val="BodyText"/>
              <w:spacing w:before="120"/>
              <w:ind w:left="0"/>
              <w:jc w:val="center"/>
              <w:rPr>
                <w:b/>
                <w:bCs/>
                <w:sz w:val="20"/>
                <w:szCs w:val="20"/>
              </w:rPr>
            </w:pPr>
            <w:r w:rsidRPr="006F0535">
              <w:rPr>
                <w:b/>
                <w:bCs/>
                <w:sz w:val="20"/>
                <w:szCs w:val="20"/>
              </w:rPr>
              <w:t>Item</w:t>
            </w:r>
          </w:p>
        </w:tc>
        <w:tc>
          <w:tcPr>
            <w:tcW w:w="1408" w:type="dxa"/>
            <w:shd w:val="clear" w:color="auto" w:fill="FFF2CC" w:themeFill="accent4" w:themeFillTint="33"/>
            <w:vAlign w:val="center"/>
          </w:tcPr>
          <w:p w14:paraId="1E6ADD44" w14:textId="7295EB2B" w:rsidR="001B298B" w:rsidRPr="006F0535" w:rsidRDefault="001B298B" w:rsidP="006F0535">
            <w:pPr>
              <w:pStyle w:val="BodyText"/>
              <w:spacing w:before="120"/>
              <w:ind w:left="0"/>
              <w:jc w:val="center"/>
              <w:rPr>
                <w:b/>
                <w:bCs/>
                <w:sz w:val="20"/>
                <w:szCs w:val="20"/>
              </w:rPr>
            </w:pPr>
            <w:r w:rsidRPr="006F0535">
              <w:rPr>
                <w:b/>
                <w:bCs/>
                <w:sz w:val="20"/>
                <w:szCs w:val="20"/>
              </w:rPr>
              <w:t>Assigned to</w:t>
            </w:r>
          </w:p>
        </w:tc>
        <w:tc>
          <w:tcPr>
            <w:tcW w:w="1564" w:type="dxa"/>
            <w:shd w:val="clear" w:color="auto" w:fill="FFF2CC" w:themeFill="accent4" w:themeFillTint="33"/>
            <w:vAlign w:val="center"/>
          </w:tcPr>
          <w:p w14:paraId="10614114" w14:textId="59DF1AEA" w:rsidR="00FF1CCB" w:rsidRPr="006F0535" w:rsidRDefault="002B7EC0" w:rsidP="002A432A">
            <w:pPr>
              <w:pStyle w:val="BodyText"/>
              <w:spacing w:before="120"/>
              <w:ind w:left="0"/>
              <w:jc w:val="center"/>
              <w:rPr>
                <w:b/>
                <w:bCs/>
                <w:sz w:val="20"/>
                <w:szCs w:val="20"/>
              </w:rPr>
            </w:pPr>
            <w:r w:rsidRPr="006F0535">
              <w:rPr>
                <w:b/>
                <w:bCs/>
                <w:sz w:val="20"/>
                <w:szCs w:val="20"/>
              </w:rPr>
              <w:t xml:space="preserve">Date Completed </w:t>
            </w:r>
            <w:r w:rsidR="00FF1CCB" w:rsidRPr="006F0535">
              <w:rPr>
                <w:b/>
                <w:bCs/>
                <w:sz w:val="20"/>
                <w:szCs w:val="20"/>
              </w:rPr>
              <w:t>QC Round 1</w:t>
            </w:r>
          </w:p>
        </w:tc>
        <w:tc>
          <w:tcPr>
            <w:tcW w:w="1565" w:type="dxa"/>
            <w:shd w:val="clear" w:color="auto" w:fill="FFF2CC" w:themeFill="accent4" w:themeFillTint="33"/>
            <w:vAlign w:val="center"/>
          </w:tcPr>
          <w:p w14:paraId="7E0A537C" w14:textId="5E67D4FD" w:rsidR="00FF1CCB" w:rsidRPr="006F0535" w:rsidRDefault="002B7EC0" w:rsidP="002A432A">
            <w:pPr>
              <w:pStyle w:val="BodyText"/>
              <w:spacing w:before="120"/>
              <w:ind w:left="0"/>
              <w:jc w:val="center"/>
              <w:rPr>
                <w:b/>
                <w:bCs/>
                <w:sz w:val="20"/>
                <w:szCs w:val="20"/>
              </w:rPr>
            </w:pPr>
            <w:r w:rsidRPr="006F0535">
              <w:rPr>
                <w:b/>
                <w:bCs/>
                <w:sz w:val="20"/>
                <w:szCs w:val="20"/>
              </w:rPr>
              <w:t xml:space="preserve">Date Completed </w:t>
            </w:r>
            <w:r w:rsidR="00FF1CCB" w:rsidRPr="006F0535">
              <w:rPr>
                <w:b/>
                <w:bCs/>
                <w:sz w:val="20"/>
                <w:szCs w:val="20"/>
              </w:rPr>
              <w:t>QC Round 2</w:t>
            </w:r>
          </w:p>
        </w:tc>
      </w:tr>
      <w:tr w:rsidR="007A31AC" w:rsidRPr="006F0535" w14:paraId="0EAF7FC5" w14:textId="77777777" w:rsidTr="70E12508">
        <w:tc>
          <w:tcPr>
            <w:tcW w:w="9355" w:type="dxa"/>
            <w:gridSpan w:val="5"/>
            <w:shd w:val="clear" w:color="auto" w:fill="FFE599" w:themeFill="accent4" w:themeFillTint="66"/>
          </w:tcPr>
          <w:p w14:paraId="5954362F" w14:textId="7A6AE824" w:rsidR="007A31AC" w:rsidRPr="006F0535" w:rsidRDefault="007A31AC">
            <w:pPr>
              <w:pStyle w:val="BodyText"/>
              <w:spacing w:before="120"/>
              <w:ind w:left="0"/>
              <w:jc w:val="center"/>
              <w:rPr>
                <w:b/>
                <w:bCs/>
                <w:sz w:val="20"/>
                <w:szCs w:val="20"/>
              </w:rPr>
            </w:pPr>
            <w:r w:rsidRPr="006F0535">
              <w:rPr>
                <w:b/>
                <w:bCs/>
                <w:sz w:val="20"/>
                <w:szCs w:val="20"/>
              </w:rPr>
              <w:t>Data Review</w:t>
            </w:r>
          </w:p>
        </w:tc>
      </w:tr>
      <w:tr w:rsidR="00FF1CCB" w:rsidRPr="006F0535" w14:paraId="22DACB1E" w14:textId="77777777" w:rsidTr="70E12508">
        <w:trPr>
          <w:trHeight w:val="506"/>
        </w:trPr>
        <w:tc>
          <w:tcPr>
            <w:tcW w:w="540" w:type="dxa"/>
            <w:vAlign w:val="center"/>
          </w:tcPr>
          <w:p w14:paraId="2BC33132" w14:textId="023BB87D" w:rsidR="00FF1CCB" w:rsidRPr="006F0535" w:rsidRDefault="00FF1CCB" w:rsidP="00576AAC">
            <w:pPr>
              <w:pStyle w:val="BodyText"/>
              <w:spacing w:after="0"/>
              <w:ind w:left="0"/>
              <w:jc w:val="center"/>
              <w:rPr>
                <w:sz w:val="20"/>
                <w:szCs w:val="20"/>
              </w:rPr>
            </w:pPr>
            <w:r w:rsidRPr="006F0535">
              <w:rPr>
                <w:sz w:val="20"/>
                <w:szCs w:val="20"/>
              </w:rPr>
              <w:t>1</w:t>
            </w:r>
          </w:p>
        </w:tc>
        <w:tc>
          <w:tcPr>
            <w:tcW w:w="4278" w:type="dxa"/>
            <w:vAlign w:val="center"/>
          </w:tcPr>
          <w:p w14:paraId="274F1D97" w14:textId="184F0D70" w:rsidR="00FF1CCB" w:rsidRPr="006F0535" w:rsidRDefault="00FF1CCB" w:rsidP="00576AAC">
            <w:pPr>
              <w:pStyle w:val="BodyText"/>
              <w:spacing w:after="0"/>
              <w:ind w:left="0"/>
              <w:rPr>
                <w:sz w:val="20"/>
                <w:szCs w:val="20"/>
              </w:rPr>
            </w:pPr>
            <w:r w:rsidRPr="006F0535">
              <w:rPr>
                <w:sz w:val="20"/>
                <w:szCs w:val="20"/>
              </w:rPr>
              <w:t>Projected Program Budget Table, Item 1G</w:t>
            </w:r>
          </w:p>
        </w:tc>
        <w:tc>
          <w:tcPr>
            <w:tcW w:w="1408" w:type="dxa"/>
            <w:vAlign w:val="center"/>
          </w:tcPr>
          <w:p w14:paraId="36323648" w14:textId="479DC635" w:rsidR="008730FE" w:rsidRPr="006F0535" w:rsidRDefault="002B7EC0" w:rsidP="00034CA6">
            <w:pPr>
              <w:pStyle w:val="BodyText"/>
              <w:ind w:left="0"/>
              <w:jc w:val="center"/>
              <w:rPr>
                <w:sz w:val="20"/>
                <w:szCs w:val="20"/>
              </w:rPr>
            </w:pPr>
            <w:r w:rsidRPr="006F0535">
              <w:rPr>
                <w:sz w:val="20"/>
                <w:szCs w:val="20"/>
              </w:rPr>
              <w:t>Scott</w:t>
            </w:r>
          </w:p>
        </w:tc>
        <w:tc>
          <w:tcPr>
            <w:tcW w:w="1564" w:type="dxa"/>
            <w:vAlign w:val="center"/>
          </w:tcPr>
          <w:p w14:paraId="212EE487" w14:textId="09667B14" w:rsidR="00FF1CCB" w:rsidRPr="006F0535" w:rsidRDefault="002B7EC0" w:rsidP="00034CA6">
            <w:pPr>
              <w:pStyle w:val="BodyText"/>
              <w:ind w:left="0"/>
              <w:jc w:val="center"/>
              <w:rPr>
                <w:sz w:val="20"/>
                <w:szCs w:val="20"/>
              </w:rPr>
            </w:pPr>
            <w:r w:rsidRPr="006F0535">
              <w:rPr>
                <w:sz w:val="20"/>
                <w:szCs w:val="20"/>
              </w:rPr>
              <w:t>7/25/24</w:t>
            </w:r>
          </w:p>
        </w:tc>
        <w:tc>
          <w:tcPr>
            <w:tcW w:w="1565" w:type="dxa"/>
            <w:vAlign w:val="center"/>
          </w:tcPr>
          <w:p w14:paraId="1F01CB23" w14:textId="1AFEF66A" w:rsidR="00FF1CCB" w:rsidRPr="006F0535" w:rsidRDefault="565460A8" w:rsidP="00034CA6">
            <w:pPr>
              <w:pStyle w:val="BodyText"/>
              <w:ind w:left="0"/>
              <w:jc w:val="center"/>
              <w:rPr>
                <w:sz w:val="20"/>
                <w:szCs w:val="20"/>
              </w:rPr>
            </w:pPr>
            <w:r w:rsidRPr="70E12508">
              <w:rPr>
                <w:sz w:val="20"/>
                <w:szCs w:val="20"/>
              </w:rPr>
              <w:t>8/1</w:t>
            </w:r>
          </w:p>
        </w:tc>
      </w:tr>
      <w:tr w:rsidR="00FF1CCB" w:rsidRPr="006F0535" w14:paraId="5E2CC45F" w14:textId="77777777" w:rsidTr="70E12508">
        <w:trPr>
          <w:trHeight w:val="506"/>
        </w:trPr>
        <w:tc>
          <w:tcPr>
            <w:tcW w:w="540" w:type="dxa"/>
            <w:vAlign w:val="center"/>
          </w:tcPr>
          <w:p w14:paraId="300A0582" w14:textId="4821386D" w:rsidR="00FF1CCB" w:rsidRPr="006F0535" w:rsidRDefault="00FF1CCB" w:rsidP="00576AAC">
            <w:pPr>
              <w:pStyle w:val="BodyText"/>
              <w:spacing w:after="0"/>
              <w:ind w:left="0"/>
              <w:jc w:val="center"/>
              <w:rPr>
                <w:sz w:val="20"/>
                <w:szCs w:val="20"/>
              </w:rPr>
            </w:pPr>
            <w:r w:rsidRPr="006F0535">
              <w:rPr>
                <w:sz w:val="20"/>
                <w:szCs w:val="20"/>
              </w:rPr>
              <w:t>2</w:t>
            </w:r>
          </w:p>
        </w:tc>
        <w:tc>
          <w:tcPr>
            <w:tcW w:w="4278" w:type="dxa"/>
            <w:vAlign w:val="center"/>
          </w:tcPr>
          <w:p w14:paraId="3EAF09BA" w14:textId="13343FC6" w:rsidR="00FF1CCB" w:rsidRPr="006F0535" w:rsidRDefault="00FF1CCB" w:rsidP="00576AAC">
            <w:pPr>
              <w:pStyle w:val="BodyText"/>
              <w:spacing w:after="0"/>
              <w:ind w:left="0"/>
              <w:rPr>
                <w:sz w:val="20"/>
                <w:szCs w:val="20"/>
              </w:rPr>
            </w:pPr>
            <w:r w:rsidRPr="006F0535">
              <w:rPr>
                <w:sz w:val="20"/>
                <w:szCs w:val="20"/>
              </w:rPr>
              <w:t>Gross Program Impacts Table, Item 1H</w:t>
            </w:r>
            <w:r w:rsidR="00D17F99" w:rsidRPr="006F0535">
              <w:rPr>
                <w:sz w:val="20"/>
                <w:szCs w:val="20"/>
              </w:rPr>
              <w:t xml:space="preserve"> (CEDARS)</w:t>
            </w:r>
          </w:p>
        </w:tc>
        <w:tc>
          <w:tcPr>
            <w:tcW w:w="1408" w:type="dxa"/>
            <w:vAlign w:val="center"/>
          </w:tcPr>
          <w:p w14:paraId="5FE449B0" w14:textId="4B79BDBE" w:rsidR="008730FE" w:rsidRPr="006F0535" w:rsidRDefault="002B7EC0" w:rsidP="00034CA6">
            <w:pPr>
              <w:pStyle w:val="BodyText"/>
              <w:ind w:left="0"/>
              <w:jc w:val="center"/>
              <w:rPr>
                <w:sz w:val="20"/>
                <w:szCs w:val="20"/>
              </w:rPr>
            </w:pPr>
            <w:r w:rsidRPr="006F0535">
              <w:rPr>
                <w:sz w:val="20"/>
                <w:szCs w:val="20"/>
              </w:rPr>
              <w:t>Alfredo</w:t>
            </w:r>
          </w:p>
        </w:tc>
        <w:tc>
          <w:tcPr>
            <w:tcW w:w="1564" w:type="dxa"/>
            <w:vAlign w:val="center"/>
          </w:tcPr>
          <w:p w14:paraId="5C14F784" w14:textId="625F630C" w:rsidR="00FF1CCB" w:rsidRPr="006F0535" w:rsidRDefault="002B7EC0" w:rsidP="00034CA6">
            <w:pPr>
              <w:pStyle w:val="BodyText"/>
              <w:ind w:left="0"/>
              <w:jc w:val="center"/>
              <w:rPr>
                <w:sz w:val="20"/>
                <w:szCs w:val="20"/>
              </w:rPr>
            </w:pPr>
            <w:r w:rsidRPr="006F0535">
              <w:rPr>
                <w:sz w:val="20"/>
                <w:szCs w:val="20"/>
              </w:rPr>
              <w:t>7/25/24</w:t>
            </w:r>
          </w:p>
        </w:tc>
        <w:tc>
          <w:tcPr>
            <w:tcW w:w="1565" w:type="dxa"/>
            <w:vAlign w:val="center"/>
          </w:tcPr>
          <w:p w14:paraId="2B685FB7" w14:textId="5234B1FC" w:rsidR="00FF1CCB" w:rsidRPr="006F0535" w:rsidRDefault="6859E06F" w:rsidP="00034CA6">
            <w:pPr>
              <w:pStyle w:val="BodyText"/>
              <w:ind w:left="0"/>
              <w:jc w:val="center"/>
              <w:rPr>
                <w:sz w:val="20"/>
                <w:szCs w:val="20"/>
              </w:rPr>
            </w:pPr>
            <w:r w:rsidRPr="70E12508">
              <w:rPr>
                <w:sz w:val="20"/>
                <w:szCs w:val="20"/>
              </w:rPr>
              <w:t>8/1</w:t>
            </w:r>
          </w:p>
        </w:tc>
      </w:tr>
      <w:tr w:rsidR="00FF1CCB" w:rsidRPr="006F0535" w14:paraId="55B00229" w14:textId="77777777" w:rsidTr="70E12508">
        <w:trPr>
          <w:trHeight w:val="506"/>
        </w:trPr>
        <w:tc>
          <w:tcPr>
            <w:tcW w:w="540" w:type="dxa"/>
            <w:vAlign w:val="center"/>
          </w:tcPr>
          <w:p w14:paraId="54E6FCAB" w14:textId="42E6CBEC" w:rsidR="00FF1CCB" w:rsidRPr="006F0535" w:rsidRDefault="002E5457" w:rsidP="00576AAC">
            <w:pPr>
              <w:pStyle w:val="BodyText"/>
              <w:spacing w:after="0"/>
              <w:ind w:left="0"/>
              <w:jc w:val="center"/>
              <w:rPr>
                <w:sz w:val="20"/>
                <w:szCs w:val="20"/>
              </w:rPr>
            </w:pPr>
            <w:r w:rsidRPr="006F0535">
              <w:rPr>
                <w:sz w:val="20"/>
                <w:szCs w:val="20"/>
              </w:rPr>
              <w:t>3</w:t>
            </w:r>
          </w:p>
        </w:tc>
        <w:tc>
          <w:tcPr>
            <w:tcW w:w="4278" w:type="dxa"/>
            <w:vAlign w:val="center"/>
          </w:tcPr>
          <w:p w14:paraId="767668FE" w14:textId="7C416662" w:rsidR="00FF1CCB" w:rsidRPr="006F0535" w:rsidRDefault="00FF1CCB" w:rsidP="00576AAC">
            <w:pPr>
              <w:pStyle w:val="BodyText"/>
              <w:spacing w:after="0"/>
              <w:ind w:left="0"/>
              <w:rPr>
                <w:sz w:val="20"/>
                <w:szCs w:val="20"/>
              </w:rPr>
            </w:pPr>
            <w:r w:rsidRPr="006F0535">
              <w:rPr>
                <w:sz w:val="20"/>
                <w:szCs w:val="20"/>
              </w:rPr>
              <w:t>Program Cost-Effectiveness (TRC) Table, Item 1I</w:t>
            </w:r>
            <w:r w:rsidR="00D17F99" w:rsidRPr="006F0535">
              <w:rPr>
                <w:sz w:val="20"/>
                <w:szCs w:val="20"/>
              </w:rPr>
              <w:t xml:space="preserve"> (CEDARS)</w:t>
            </w:r>
          </w:p>
        </w:tc>
        <w:tc>
          <w:tcPr>
            <w:tcW w:w="1408" w:type="dxa"/>
            <w:vAlign w:val="center"/>
          </w:tcPr>
          <w:p w14:paraId="0B960924" w14:textId="6A2B3E17" w:rsidR="008730FE" w:rsidRPr="006F0535" w:rsidRDefault="005060A3" w:rsidP="00034CA6">
            <w:pPr>
              <w:pStyle w:val="BodyText"/>
              <w:ind w:left="0"/>
              <w:jc w:val="center"/>
              <w:rPr>
                <w:sz w:val="20"/>
                <w:szCs w:val="20"/>
              </w:rPr>
            </w:pPr>
            <w:r w:rsidRPr="006F0535">
              <w:rPr>
                <w:sz w:val="20"/>
                <w:szCs w:val="20"/>
              </w:rPr>
              <w:t>Alfredo</w:t>
            </w:r>
          </w:p>
        </w:tc>
        <w:tc>
          <w:tcPr>
            <w:tcW w:w="1564" w:type="dxa"/>
            <w:vAlign w:val="center"/>
          </w:tcPr>
          <w:p w14:paraId="37A6DB79" w14:textId="17F9D977" w:rsidR="00FF1CCB" w:rsidRPr="006F0535" w:rsidRDefault="005060A3" w:rsidP="00034CA6">
            <w:pPr>
              <w:pStyle w:val="BodyText"/>
              <w:ind w:left="0"/>
              <w:jc w:val="center"/>
              <w:rPr>
                <w:sz w:val="20"/>
                <w:szCs w:val="20"/>
              </w:rPr>
            </w:pPr>
            <w:r w:rsidRPr="006F0535">
              <w:rPr>
                <w:sz w:val="20"/>
                <w:szCs w:val="20"/>
              </w:rPr>
              <w:t>7/25/24</w:t>
            </w:r>
          </w:p>
        </w:tc>
        <w:tc>
          <w:tcPr>
            <w:tcW w:w="1565" w:type="dxa"/>
            <w:vAlign w:val="center"/>
          </w:tcPr>
          <w:p w14:paraId="173E8CE6" w14:textId="0A7A552F" w:rsidR="00FF1CCB" w:rsidRPr="006F0535" w:rsidRDefault="4CC282EB" w:rsidP="00034CA6">
            <w:pPr>
              <w:pStyle w:val="BodyText"/>
              <w:ind w:left="0"/>
              <w:jc w:val="center"/>
              <w:rPr>
                <w:sz w:val="20"/>
                <w:szCs w:val="20"/>
              </w:rPr>
            </w:pPr>
            <w:r w:rsidRPr="70E12508">
              <w:rPr>
                <w:sz w:val="20"/>
                <w:szCs w:val="20"/>
              </w:rPr>
              <w:t>8/1</w:t>
            </w:r>
          </w:p>
        </w:tc>
      </w:tr>
      <w:tr w:rsidR="00FF1CCB" w:rsidRPr="006F0535" w14:paraId="5E079551" w14:textId="77777777" w:rsidTr="70E12508">
        <w:trPr>
          <w:trHeight w:val="506"/>
        </w:trPr>
        <w:tc>
          <w:tcPr>
            <w:tcW w:w="540" w:type="dxa"/>
            <w:vAlign w:val="center"/>
          </w:tcPr>
          <w:p w14:paraId="5D2B1B3F" w14:textId="2B2A0064" w:rsidR="00FF1CCB" w:rsidRPr="006F0535" w:rsidRDefault="002E5457" w:rsidP="00576AAC">
            <w:pPr>
              <w:pStyle w:val="BodyText"/>
              <w:spacing w:after="0"/>
              <w:ind w:left="0"/>
              <w:jc w:val="center"/>
              <w:rPr>
                <w:sz w:val="20"/>
                <w:szCs w:val="20"/>
              </w:rPr>
            </w:pPr>
            <w:r w:rsidRPr="006F0535">
              <w:rPr>
                <w:sz w:val="20"/>
                <w:szCs w:val="20"/>
              </w:rPr>
              <w:t>4</w:t>
            </w:r>
          </w:p>
        </w:tc>
        <w:tc>
          <w:tcPr>
            <w:tcW w:w="4278" w:type="dxa"/>
            <w:vAlign w:val="center"/>
          </w:tcPr>
          <w:p w14:paraId="5C4FB7FC" w14:textId="64D3F2F2" w:rsidR="00FF1CCB" w:rsidRPr="006F0535" w:rsidRDefault="00FF1CCB" w:rsidP="00576AAC">
            <w:pPr>
              <w:pStyle w:val="BodyText"/>
              <w:spacing w:after="0"/>
              <w:ind w:left="0"/>
              <w:rPr>
                <w:sz w:val="20"/>
                <w:szCs w:val="20"/>
              </w:rPr>
            </w:pPr>
            <w:r w:rsidRPr="006F0535">
              <w:rPr>
                <w:sz w:val="20"/>
                <w:szCs w:val="20"/>
              </w:rPr>
              <w:t>Program Cost-effectiveness (PAC) Table, Item 1J</w:t>
            </w:r>
            <w:r w:rsidR="00D17F99" w:rsidRPr="006F0535">
              <w:rPr>
                <w:sz w:val="20"/>
                <w:szCs w:val="20"/>
              </w:rPr>
              <w:t xml:space="preserve"> (CEDARS)</w:t>
            </w:r>
          </w:p>
        </w:tc>
        <w:tc>
          <w:tcPr>
            <w:tcW w:w="1408" w:type="dxa"/>
            <w:vAlign w:val="center"/>
          </w:tcPr>
          <w:p w14:paraId="46538DF9" w14:textId="0A0BE294" w:rsidR="008730FE" w:rsidRPr="006F0535" w:rsidRDefault="005060A3" w:rsidP="00034CA6">
            <w:pPr>
              <w:pStyle w:val="BodyText"/>
              <w:ind w:left="0"/>
              <w:jc w:val="center"/>
              <w:rPr>
                <w:sz w:val="20"/>
                <w:szCs w:val="20"/>
              </w:rPr>
            </w:pPr>
            <w:r w:rsidRPr="006F0535">
              <w:rPr>
                <w:sz w:val="20"/>
                <w:szCs w:val="20"/>
              </w:rPr>
              <w:t>Alfredo</w:t>
            </w:r>
          </w:p>
        </w:tc>
        <w:tc>
          <w:tcPr>
            <w:tcW w:w="1564" w:type="dxa"/>
            <w:vAlign w:val="center"/>
          </w:tcPr>
          <w:p w14:paraId="79521742" w14:textId="05001060" w:rsidR="00FF1CCB" w:rsidRPr="006F0535" w:rsidRDefault="005060A3" w:rsidP="00034CA6">
            <w:pPr>
              <w:pStyle w:val="BodyText"/>
              <w:ind w:left="0"/>
              <w:jc w:val="center"/>
              <w:rPr>
                <w:sz w:val="20"/>
                <w:szCs w:val="20"/>
              </w:rPr>
            </w:pPr>
            <w:r w:rsidRPr="006F0535">
              <w:rPr>
                <w:sz w:val="20"/>
                <w:szCs w:val="20"/>
              </w:rPr>
              <w:t>7/25/24</w:t>
            </w:r>
          </w:p>
        </w:tc>
        <w:tc>
          <w:tcPr>
            <w:tcW w:w="1565" w:type="dxa"/>
            <w:vAlign w:val="center"/>
          </w:tcPr>
          <w:p w14:paraId="5D534193" w14:textId="2E0678D9" w:rsidR="00FF1CCB" w:rsidRPr="006F0535" w:rsidRDefault="20DBDD0E" w:rsidP="00034CA6">
            <w:pPr>
              <w:pStyle w:val="BodyText"/>
              <w:ind w:left="0"/>
              <w:jc w:val="center"/>
              <w:rPr>
                <w:sz w:val="20"/>
                <w:szCs w:val="20"/>
              </w:rPr>
            </w:pPr>
            <w:r w:rsidRPr="70E12508">
              <w:rPr>
                <w:sz w:val="20"/>
                <w:szCs w:val="20"/>
              </w:rPr>
              <w:t>8/1</w:t>
            </w:r>
          </w:p>
        </w:tc>
      </w:tr>
      <w:tr w:rsidR="00FF1CCB" w:rsidRPr="006F0535" w14:paraId="18806EF8" w14:textId="77777777" w:rsidTr="70E12508">
        <w:trPr>
          <w:trHeight w:val="506"/>
        </w:trPr>
        <w:tc>
          <w:tcPr>
            <w:tcW w:w="540" w:type="dxa"/>
            <w:vAlign w:val="center"/>
          </w:tcPr>
          <w:p w14:paraId="080305D3" w14:textId="055DC623" w:rsidR="00FF1CCB" w:rsidRPr="006F0535" w:rsidRDefault="002E5457" w:rsidP="00576AAC">
            <w:pPr>
              <w:pStyle w:val="BodyText"/>
              <w:spacing w:after="0"/>
              <w:ind w:left="0"/>
              <w:jc w:val="center"/>
              <w:rPr>
                <w:sz w:val="20"/>
                <w:szCs w:val="20"/>
              </w:rPr>
            </w:pPr>
            <w:r w:rsidRPr="006F0535">
              <w:rPr>
                <w:sz w:val="20"/>
                <w:szCs w:val="20"/>
              </w:rPr>
              <w:t>5</w:t>
            </w:r>
          </w:p>
        </w:tc>
        <w:tc>
          <w:tcPr>
            <w:tcW w:w="4278" w:type="dxa"/>
            <w:vAlign w:val="center"/>
          </w:tcPr>
          <w:p w14:paraId="63F83A5C" w14:textId="27CE8744" w:rsidR="00FF1CCB" w:rsidRPr="006F0535" w:rsidRDefault="005060A3" w:rsidP="00576AAC">
            <w:pPr>
              <w:pStyle w:val="BodyText"/>
              <w:spacing w:after="0"/>
              <w:ind w:left="0"/>
              <w:rPr>
                <w:sz w:val="20"/>
                <w:szCs w:val="20"/>
              </w:rPr>
            </w:pPr>
            <w:r w:rsidRPr="00CD2305">
              <w:rPr>
                <w:sz w:val="20"/>
                <w:szCs w:val="20"/>
              </w:rPr>
              <w:t>Campaign Goals, Item 1K</w:t>
            </w:r>
            <w:r w:rsidR="0092180E" w:rsidRPr="00CD2305">
              <w:rPr>
                <w:sz w:val="20"/>
                <w:szCs w:val="20"/>
              </w:rPr>
              <w:t xml:space="preserve"> (confirm with </w:t>
            </w:r>
            <w:r w:rsidR="00D3069F" w:rsidRPr="00CD2305">
              <w:rPr>
                <w:sz w:val="20"/>
                <w:szCs w:val="20"/>
              </w:rPr>
              <w:t>original IP and Proposal)</w:t>
            </w:r>
          </w:p>
        </w:tc>
        <w:tc>
          <w:tcPr>
            <w:tcW w:w="1408" w:type="dxa"/>
            <w:vAlign w:val="center"/>
          </w:tcPr>
          <w:p w14:paraId="4B5C4E84" w14:textId="083F0401" w:rsidR="008730FE" w:rsidRPr="006F0535" w:rsidRDefault="0092180E" w:rsidP="00034CA6">
            <w:pPr>
              <w:pStyle w:val="BodyText"/>
              <w:ind w:left="0"/>
              <w:jc w:val="center"/>
              <w:rPr>
                <w:sz w:val="20"/>
                <w:szCs w:val="20"/>
              </w:rPr>
            </w:pPr>
            <w:r w:rsidRPr="006F0535">
              <w:rPr>
                <w:sz w:val="20"/>
                <w:szCs w:val="20"/>
              </w:rPr>
              <w:t>Savi</w:t>
            </w:r>
          </w:p>
        </w:tc>
        <w:tc>
          <w:tcPr>
            <w:tcW w:w="1564" w:type="dxa"/>
            <w:vAlign w:val="center"/>
          </w:tcPr>
          <w:p w14:paraId="44E3D7E1" w14:textId="19FE2EA2" w:rsidR="00FF1CCB" w:rsidRPr="006F0535" w:rsidRDefault="00FA024F" w:rsidP="00034CA6">
            <w:pPr>
              <w:pStyle w:val="BodyText"/>
              <w:ind w:left="0"/>
              <w:jc w:val="center"/>
              <w:rPr>
                <w:sz w:val="20"/>
                <w:szCs w:val="20"/>
              </w:rPr>
            </w:pPr>
            <w:r w:rsidRPr="006F0535">
              <w:rPr>
                <w:sz w:val="20"/>
                <w:szCs w:val="20"/>
              </w:rPr>
              <w:t>7/25/24</w:t>
            </w:r>
          </w:p>
        </w:tc>
        <w:tc>
          <w:tcPr>
            <w:tcW w:w="1565" w:type="dxa"/>
            <w:vAlign w:val="center"/>
          </w:tcPr>
          <w:p w14:paraId="73DDA143" w14:textId="58BF6513" w:rsidR="00FF1CCB" w:rsidRPr="006F0535" w:rsidRDefault="7896EA63" w:rsidP="00034CA6">
            <w:pPr>
              <w:pStyle w:val="BodyText"/>
              <w:ind w:left="0"/>
              <w:jc w:val="center"/>
              <w:rPr>
                <w:sz w:val="20"/>
                <w:szCs w:val="20"/>
              </w:rPr>
            </w:pPr>
            <w:r w:rsidRPr="70E12508">
              <w:rPr>
                <w:sz w:val="20"/>
                <w:szCs w:val="20"/>
              </w:rPr>
              <w:t>8/1</w:t>
            </w:r>
          </w:p>
        </w:tc>
      </w:tr>
      <w:tr w:rsidR="00FF1CCB" w:rsidRPr="006F0535" w14:paraId="1BE4435A" w14:textId="77777777" w:rsidTr="70E12508">
        <w:trPr>
          <w:trHeight w:val="506"/>
        </w:trPr>
        <w:tc>
          <w:tcPr>
            <w:tcW w:w="540" w:type="dxa"/>
            <w:vAlign w:val="center"/>
          </w:tcPr>
          <w:p w14:paraId="3A214591" w14:textId="7986DCF7" w:rsidR="00FF1CCB" w:rsidRPr="006F0535" w:rsidRDefault="002E5457" w:rsidP="00576AAC">
            <w:pPr>
              <w:pStyle w:val="BodyText"/>
              <w:spacing w:after="0"/>
              <w:ind w:left="0"/>
              <w:jc w:val="center"/>
              <w:rPr>
                <w:sz w:val="20"/>
                <w:szCs w:val="20"/>
              </w:rPr>
            </w:pPr>
            <w:r w:rsidRPr="006F0535">
              <w:rPr>
                <w:sz w:val="20"/>
                <w:szCs w:val="20"/>
              </w:rPr>
              <w:t>6</w:t>
            </w:r>
          </w:p>
        </w:tc>
        <w:tc>
          <w:tcPr>
            <w:tcW w:w="4278" w:type="dxa"/>
            <w:vAlign w:val="center"/>
          </w:tcPr>
          <w:p w14:paraId="122DDBAA" w14:textId="753CD76C" w:rsidR="00FF1CCB" w:rsidRPr="006F0535" w:rsidRDefault="00FF1CCB" w:rsidP="00576AAC">
            <w:pPr>
              <w:pStyle w:val="BodyText"/>
              <w:spacing w:after="0"/>
              <w:ind w:left="0"/>
              <w:rPr>
                <w:sz w:val="20"/>
                <w:szCs w:val="20"/>
              </w:rPr>
            </w:pPr>
            <w:r w:rsidRPr="006F0535">
              <w:rPr>
                <w:sz w:val="20"/>
                <w:szCs w:val="20"/>
              </w:rPr>
              <w:t>Program Delivery and Customer Service Energy Savings delivery goals Table, Item 2B</w:t>
            </w:r>
          </w:p>
        </w:tc>
        <w:tc>
          <w:tcPr>
            <w:tcW w:w="1408" w:type="dxa"/>
            <w:vAlign w:val="center"/>
          </w:tcPr>
          <w:p w14:paraId="255AE1B8" w14:textId="602CE6EF" w:rsidR="008730FE" w:rsidRPr="006F0535" w:rsidRDefault="00A70F46" w:rsidP="00034CA6">
            <w:pPr>
              <w:pStyle w:val="BodyText"/>
              <w:ind w:left="0"/>
              <w:jc w:val="center"/>
              <w:rPr>
                <w:sz w:val="20"/>
                <w:szCs w:val="20"/>
              </w:rPr>
            </w:pPr>
            <w:r w:rsidRPr="006F0535">
              <w:rPr>
                <w:sz w:val="20"/>
                <w:szCs w:val="20"/>
              </w:rPr>
              <w:t>Alfredo</w:t>
            </w:r>
          </w:p>
        </w:tc>
        <w:tc>
          <w:tcPr>
            <w:tcW w:w="1564" w:type="dxa"/>
            <w:vAlign w:val="center"/>
          </w:tcPr>
          <w:p w14:paraId="0450CBBF" w14:textId="35A45549" w:rsidR="00FF1CCB" w:rsidRPr="006F0535" w:rsidRDefault="00A70F46" w:rsidP="00034CA6">
            <w:pPr>
              <w:pStyle w:val="BodyText"/>
              <w:ind w:left="0"/>
              <w:jc w:val="center"/>
              <w:rPr>
                <w:sz w:val="20"/>
                <w:szCs w:val="20"/>
              </w:rPr>
            </w:pPr>
            <w:r w:rsidRPr="006F0535">
              <w:rPr>
                <w:sz w:val="20"/>
                <w:szCs w:val="20"/>
              </w:rPr>
              <w:t>7/25/24</w:t>
            </w:r>
          </w:p>
        </w:tc>
        <w:tc>
          <w:tcPr>
            <w:tcW w:w="1565" w:type="dxa"/>
            <w:vAlign w:val="center"/>
          </w:tcPr>
          <w:p w14:paraId="2AA520B3" w14:textId="2B04372B" w:rsidR="00FF1CCB" w:rsidRPr="006F0535" w:rsidRDefault="0F2B62A7" w:rsidP="00034CA6">
            <w:pPr>
              <w:pStyle w:val="BodyText"/>
              <w:ind w:left="0"/>
              <w:jc w:val="center"/>
              <w:rPr>
                <w:sz w:val="20"/>
                <w:szCs w:val="20"/>
              </w:rPr>
            </w:pPr>
            <w:r w:rsidRPr="70E12508">
              <w:rPr>
                <w:sz w:val="20"/>
                <w:szCs w:val="20"/>
              </w:rPr>
              <w:t>8/1</w:t>
            </w:r>
          </w:p>
        </w:tc>
      </w:tr>
      <w:tr w:rsidR="00980A18" w:rsidRPr="006F0535" w14:paraId="57A49463" w14:textId="77777777" w:rsidTr="70E12508">
        <w:trPr>
          <w:trHeight w:val="506"/>
        </w:trPr>
        <w:tc>
          <w:tcPr>
            <w:tcW w:w="540" w:type="dxa"/>
            <w:vAlign w:val="center"/>
          </w:tcPr>
          <w:p w14:paraId="709985CC" w14:textId="46125E50" w:rsidR="00980A18" w:rsidRPr="006F0535" w:rsidRDefault="006D499E" w:rsidP="00576AAC">
            <w:pPr>
              <w:pStyle w:val="BodyText"/>
              <w:spacing w:after="0"/>
              <w:ind w:left="0"/>
              <w:jc w:val="center"/>
              <w:rPr>
                <w:sz w:val="20"/>
                <w:szCs w:val="20"/>
              </w:rPr>
            </w:pPr>
            <w:r w:rsidRPr="006F0535">
              <w:rPr>
                <w:sz w:val="20"/>
                <w:szCs w:val="20"/>
              </w:rPr>
              <w:t>7</w:t>
            </w:r>
          </w:p>
        </w:tc>
        <w:tc>
          <w:tcPr>
            <w:tcW w:w="4278" w:type="dxa"/>
            <w:vAlign w:val="center"/>
          </w:tcPr>
          <w:p w14:paraId="4CAED6CC" w14:textId="3FD73B63" w:rsidR="00980A18" w:rsidRPr="006F0535" w:rsidRDefault="00980A18" w:rsidP="00576AAC">
            <w:pPr>
              <w:pStyle w:val="BodyText"/>
              <w:spacing w:after="0"/>
              <w:ind w:left="0"/>
              <w:rPr>
                <w:sz w:val="20"/>
                <w:szCs w:val="20"/>
              </w:rPr>
            </w:pPr>
            <w:r w:rsidRPr="006F0535">
              <w:rPr>
                <w:sz w:val="20"/>
                <w:szCs w:val="20"/>
              </w:rPr>
              <w:t>Exhibit 1</w:t>
            </w:r>
            <w:r w:rsidR="00522305" w:rsidRPr="006F0535">
              <w:rPr>
                <w:sz w:val="20"/>
                <w:szCs w:val="20"/>
              </w:rPr>
              <w:t>.</w:t>
            </w:r>
            <w:r w:rsidRPr="006F0535">
              <w:rPr>
                <w:sz w:val="20"/>
                <w:szCs w:val="20"/>
              </w:rPr>
              <w:t xml:space="preserve"> 2024 Energy Savings Projections</w:t>
            </w:r>
            <w:r w:rsidR="00192B50" w:rsidRPr="006F0535">
              <w:rPr>
                <w:sz w:val="20"/>
                <w:szCs w:val="20"/>
              </w:rPr>
              <w:t xml:space="preserve"> (CEDARS)</w:t>
            </w:r>
          </w:p>
        </w:tc>
        <w:tc>
          <w:tcPr>
            <w:tcW w:w="1408" w:type="dxa"/>
            <w:vAlign w:val="center"/>
          </w:tcPr>
          <w:p w14:paraId="6A733B54" w14:textId="503E9788" w:rsidR="00980A18" w:rsidRPr="006F0535" w:rsidRDefault="00192B50" w:rsidP="00034CA6">
            <w:pPr>
              <w:pStyle w:val="BodyText"/>
              <w:ind w:left="0"/>
              <w:jc w:val="center"/>
              <w:rPr>
                <w:sz w:val="20"/>
                <w:szCs w:val="20"/>
              </w:rPr>
            </w:pPr>
            <w:r w:rsidRPr="006F0535">
              <w:rPr>
                <w:sz w:val="20"/>
                <w:szCs w:val="20"/>
              </w:rPr>
              <w:t>Alfredo</w:t>
            </w:r>
          </w:p>
        </w:tc>
        <w:tc>
          <w:tcPr>
            <w:tcW w:w="1564" w:type="dxa"/>
            <w:vAlign w:val="center"/>
          </w:tcPr>
          <w:p w14:paraId="61B802F2" w14:textId="0C482A68" w:rsidR="00980A18" w:rsidRPr="006F0535" w:rsidRDefault="00192B50" w:rsidP="00034CA6">
            <w:pPr>
              <w:pStyle w:val="BodyText"/>
              <w:ind w:left="0"/>
              <w:jc w:val="center"/>
              <w:rPr>
                <w:sz w:val="20"/>
                <w:szCs w:val="20"/>
              </w:rPr>
            </w:pPr>
            <w:r w:rsidRPr="006F0535">
              <w:rPr>
                <w:sz w:val="20"/>
                <w:szCs w:val="20"/>
              </w:rPr>
              <w:t>7/25/24</w:t>
            </w:r>
          </w:p>
        </w:tc>
        <w:tc>
          <w:tcPr>
            <w:tcW w:w="1565" w:type="dxa"/>
            <w:vAlign w:val="center"/>
          </w:tcPr>
          <w:p w14:paraId="6B55DA4C" w14:textId="60896476" w:rsidR="00980A18" w:rsidRPr="006F0535" w:rsidRDefault="5978A971" w:rsidP="00034CA6">
            <w:pPr>
              <w:pStyle w:val="BodyText"/>
              <w:ind w:left="0"/>
              <w:jc w:val="center"/>
              <w:rPr>
                <w:sz w:val="20"/>
                <w:szCs w:val="20"/>
              </w:rPr>
            </w:pPr>
            <w:r w:rsidRPr="70E12508">
              <w:rPr>
                <w:sz w:val="20"/>
                <w:szCs w:val="20"/>
              </w:rPr>
              <w:t>8/1</w:t>
            </w:r>
          </w:p>
        </w:tc>
      </w:tr>
      <w:tr w:rsidR="00946886" w:rsidRPr="006F0535" w14:paraId="7E809F63" w14:textId="77777777" w:rsidTr="70E12508">
        <w:trPr>
          <w:trHeight w:val="506"/>
        </w:trPr>
        <w:tc>
          <w:tcPr>
            <w:tcW w:w="540" w:type="dxa"/>
            <w:vAlign w:val="center"/>
          </w:tcPr>
          <w:p w14:paraId="350D60AA" w14:textId="414A188B" w:rsidR="00946886" w:rsidRPr="006F0535" w:rsidRDefault="00084D17" w:rsidP="00A70F46">
            <w:pPr>
              <w:pStyle w:val="BodyText"/>
              <w:spacing w:after="0"/>
              <w:ind w:left="0"/>
              <w:jc w:val="center"/>
              <w:rPr>
                <w:sz w:val="20"/>
                <w:szCs w:val="20"/>
              </w:rPr>
            </w:pPr>
            <w:r w:rsidRPr="006F0535">
              <w:rPr>
                <w:sz w:val="20"/>
                <w:szCs w:val="20"/>
              </w:rPr>
              <w:t>8</w:t>
            </w:r>
          </w:p>
        </w:tc>
        <w:tc>
          <w:tcPr>
            <w:tcW w:w="4278" w:type="dxa"/>
            <w:vAlign w:val="center"/>
          </w:tcPr>
          <w:p w14:paraId="5D422522" w14:textId="3564E7D5" w:rsidR="00946886" w:rsidRPr="006F0535" w:rsidRDefault="00881C81" w:rsidP="00A70F46">
            <w:pPr>
              <w:pStyle w:val="BodyText"/>
              <w:spacing w:after="0"/>
              <w:ind w:left="0"/>
              <w:rPr>
                <w:sz w:val="20"/>
                <w:szCs w:val="20"/>
              </w:rPr>
            </w:pPr>
            <w:r w:rsidRPr="006F0535">
              <w:rPr>
                <w:sz w:val="20"/>
                <w:szCs w:val="20"/>
              </w:rPr>
              <w:t>Quantitative Program Targets (confirm with original IP)</w:t>
            </w:r>
          </w:p>
        </w:tc>
        <w:tc>
          <w:tcPr>
            <w:tcW w:w="1408" w:type="dxa"/>
            <w:vAlign w:val="center"/>
          </w:tcPr>
          <w:p w14:paraId="4D977F37" w14:textId="503FE9CC" w:rsidR="00946886" w:rsidRPr="006F0535" w:rsidRDefault="00881C81" w:rsidP="00034CA6">
            <w:pPr>
              <w:pStyle w:val="BodyText"/>
              <w:spacing w:after="0"/>
              <w:ind w:left="0"/>
              <w:jc w:val="center"/>
              <w:rPr>
                <w:sz w:val="20"/>
                <w:szCs w:val="20"/>
              </w:rPr>
            </w:pPr>
            <w:r w:rsidRPr="006F0535">
              <w:rPr>
                <w:sz w:val="20"/>
                <w:szCs w:val="20"/>
              </w:rPr>
              <w:t>Savi</w:t>
            </w:r>
          </w:p>
        </w:tc>
        <w:tc>
          <w:tcPr>
            <w:tcW w:w="1564" w:type="dxa"/>
            <w:vAlign w:val="center"/>
          </w:tcPr>
          <w:p w14:paraId="47F8301B" w14:textId="6AEE8D88" w:rsidR="00946886" w:rsidRPr="006F0535" w:rsidRDefault="00ED75D4" w:rsidP="00034CA6">
            <w:pPr>
              <w:pStyle w:val="BodyText"/>
              <w:ind w:left="0"/>
              <w:jc w:val="center"/>
              <w:rPr>
                <w:sz w:val="20"/>
                <w:szCs w:val="20"/>
              </w:rPr>
            </w:pPr>
            <w:r w:rsidRPr="006F0535">
              <w:rPr>
                <w:sz w:val="20"/>
                <w:szCs w:val="20"/>
              </w:rPr>
              <w:t>7/25/24</w:t>
            </w:r>
          </w:p>
        </w:tc>
        <w:tc>
          <w:tcPr>
            <w:tcW w:w="1565" w:type="dxa"/>
            <w:vAlign w:val="center"/>
          </w:tcPr>
          <w:p w14:paraId="175A4E75" w14:textId="64C23A0B" w:rsidR="00946886" w:rsidRPr="006F0535" w:rsidRDefault="3EE3D7DD" w:rsidP="00034CA6">
            <w:pPr>
              <w:pStyle w:val="BodyText"/>
              <w:ind w:left="0"/>
              <w:jc w:val="center"/>
              <w:rPr>
                <w:sz w:val="20"/>
                <w:szCs w:val="20"/>
              </w:rPr>
            </w:pPr>
            <w:r w:rsidRPr="70E12508">
              <w:rPr>
                <w:sz w:val="20"/>
                <w:szCs w:val="20"/>
              </w:rPr>
              <w:t>8/1</w:t>
            </w:r>
          </w:p>
        </w:tc>
      </w:tr>
      <w:tr w:rsidR="00FF1CCB" w:rsidRPr="006F0535" w14:paraId="51998A14" w14:textId="77777777" w:rsidTr="70E12508">
        <w:trPr>
          <w:trHeight w:val="506"/>
        </w:trPr>
        <w:tc>
          <w:tcPr>
            <w:tcW w:w="540" w:type="dxa"/>
            <w:vAlign w:val="center"/>
          </w:tcPr>
          <w:p w14:paraId="5837158E" w14:textId="209C9128" w:rsidR="00FF1CCB" w:rsidRPr="006F0535" w:rsidRDefault="00881C81" w:rsidP="00576AAC">
            <w:pPr>
              <w:pStyle w:val="BodyText"/>
              <w:spacing w:after="0"/>
              <w:ind w:left="0"/>
              <w:jc w:val="center"/>
              <w:rPr>
                <w:sz w:val="20"/>
                <w:szCs w:val="20"/>
              </w:rPr>
            </w:pPr>
            <w:r w:rsidRPr="006F0535">
              <w:rPr>
                <w:sz w:val="20"/>
                <w:szCs w:val="20"/>
              </w:rPr>
              <w:t>9</w:t>
            </w:r>
          </w:p>
        </w:tc>
        <w:tc>
          <w:tcPr>
            <w:tcW w:w="4278" w:type="dxa"/>
            <w:vAlign w:val="center"/>
          </w:tcPr>
          <w:p w14:paraId="1EF8A2BF" w14:textId="7C92126E" w:rsidR="00FF1CCB" w:rsidRPr="006F0535" w:rsidRDefault="00FF1CCB" w:rsidP="00576AAC">
            <w:pPr>
              <w:pStyle w:val="BodyText"/>
              <w:spacing w:after="0"/>
              <w:ind w:left="0"/>
              <w:rPr>
                <w:sz w:val="20"/>
                <w:szCs w:val="20"/>
              </w:rPr>
            </w:pPr>
            <w:r w:rsidRPr="006F0535">
              <w:rPr>
                <w:sz w:val="20"/>
                <w:szCs w:val="20"/>
              </w:rPr>
              <w:t xml:space="preserve">Exhibit </w:t>
            </w:r>
            <w:r w:rsidR="00980A18" w:rsidRPr="006F0535">
              <w:rPr>
                <w:sz w:val="20"/>
                <w:szCs w:val="20"/>
              </w:rPr>
              <w:t>2</w:t>
            </w:r>
            <w:r w:rsidRPr="006F0535">
              <w:rPr>
                <w:sz w:val="20"/>
                <w:szCs w:val="20"/>
              </w:rPr>
              <w:t>. Eligible Measures Table, Item 2B</w:t>
            </w:r>
          </w:p>
        </w:tc>
        <w:tc>
          <w:tcPr>
            <w:tcW w:w="1408" w:type="dxa"/>
            <w:vAlign w:val="center"/>
          </w:tcPr>
          <w:p w14:paraId="338FE125" w14:textId="25A9D0D1" w:rsidR="001B298B" w:rsidRPr="006F0535" w:rsidRDefault="005A1E65" w:rsidP="00034CA6">
            <w:pPr>
              <w:pStyle w:val="BodyText"/>
              <w:spacing w:after="0"/>
              <w:ind w:left="0"/>
              <w:jc w:val="center"/>
              <w:rPr>
                <w:sz w:val="20"/>
                <w:szCs w:val="20"/>
              </w:rPr>
            </w:pPr>
            <w:r w:rsidRPr="006F0535">
              <w:rPr>
                <w:sz w:val="20"/>
                <w:szCs w:val="20"/>
              </w:rPr>
              <w:t>Savi</w:t>
            </w:r>
          </w:p>
        </w:tc>
        <w:tc>
          <w:tcPr>
            <w:tcW w:w="1564" w:type="dxa"/>
            <w:vAlign w:val="center"/>
          </w:tcPr>
          <w:p w14:paraId="43884510" w14:textId="74B420AB" w:rsidR="00FF1CCB" w:rsidRPr="006F0535" w:rsidRDefault="005A1E65" w:rsidP="00034CA6">
            <w:pPr>
              <w:pStyle w:val="BodyText"/>
              <w:ind w:left="0"/>
              <w:jc w:val="center"/>
              <w:rPr>
                <w:sz w:val="20"/>
                <w:szCs w:val="20"/>
              </w:rPr>
            </w:pPr>
            <w:r w:rsidRPr="006F0535">
              <w:rPr>
                <w:sz w:val="20"/>
                <w:szCs w:val="20"/>
              </w:rPr>
              <w:t>7/25/24</w:t>
            </w:r>
          </w:p>
        </w:tc>
        <w:tc>
          <w:tcPr>
            <w:tcW w:w="1565" w:type="dxa"/>
            <w:vAlign w:val="center"/>
          </w:tcPr>
          <w:p w14:paraId="5DCE622F" w14:textId="79804B62" w:rsidR="00FF1CCB" w:rsidRPr="006F0535" w:rsidRDefault="661CBC91" w:rsidP="00034CA6">
            <w:pPr>
              <w:pStyle w:val="BodyText"/>
              <w:ind w:left="0"/>
              <w:jc w:val="center"/>
              <w:rPr>
                <w:sz w:val="20"/>
                <w:szCs w:val="20"/>
              </w:rPr>
            </w:pPr>
            <w:r w:rsidRPr="70E12508">
              <w:rPr>
                <w:sz w:val="20"/>
                <w:szCs w:val="20"/>
              </w:rPr>
              <w:t>8/1</w:t>
            </w:r>
          </w:p>
        </w:tc>
      </w:tr>
      <w:tr w:rsidR="002D69C2" w:rsidRPr="006F0535" w14:paraId="5B1E3BB3" w14:textId="77777777" w:rsidTr="70E12508">
        <w:trPr>
          <w:trHeight w:val="506"/>
        </w:trPr>
        <w:tc>
          <w:tcPr>
            <w:tcW w:w="540" w:type="dxa"/>
            <w:vAlign w:val="center"/>
          </w:tcPr>
          <w:p w14:paraId="25A2B807" w14:textId="155BC849" w:rsidR="002D69C2" w:rsidRPr="006F0535" w:rsidRDefault="00881C81" w:rsidP="00576AAC">
            <w:pPr>
              <w:pStyle w:val="BodyText"/>
              <w:spacing w:after="0"/>
              <w:ind w:left="0"/>
              <w:jc w:val="center"/>
              <w:rPr>
                <w:sz w:val="20"/>
                <w:szCs w:val="20"/>
              </w:rPr>
            </w:pPr>
            <w:r w:rsidRPr="006F0535">
              <w:rPr>
                <w:sz w:val="20"/>
                <w:szCs w:val="20"/>
              </w:rPr>
              <w:t>10</w:t>
            </w:r>
          </w:p>
        </w:tc>
        <w:tc>
          <w:tcPr>
            <w:tcW w:w="4278" w:type="dxa"/>
            <w:vAlign w:val="center"/>
          </w:tcPr>
          <w:p w14:paraId="6E7AA9C6" w14:textId="43A2809C" w:rsidR="002D69C2" w:rsidRPr="006F0535" w:rsidRDefault="000C5016" w:rsidP="00576AAC">
            <w:pPr>
              <w:pStyle w:val="BodyText"/>
              <w:spacing w:after="0"/>
              <w:ind w:left="0"/>
              <w:rPr>
                <w:sz w:val="20"/>
                <w:szCs w:val="20"/>
              </w:rPr>
            </w:pPr>
            <w:r w:rsidRPr="006F0535">
              <w:rPr>
                <w:sz w:val="20"/>
                <w:szCs w:val="20"/>
              </w:rPr>
              <w:t xml:space="preserve">Exhibit </w:t>
            </w:r>
            <w:r w:rsidR="00A64F75">
              <w:rPr>
                <w:sz w:val="20"/>
                <w:szCs w:val="20"/>
              </w:rPr>
              <w:t>8</w:t>
            </w:r>
            <w:r w:rsidR="00CF7806" w:rsidRPr="006F0535">
              <w:rPr>
                <w:sz w:val="20"/>
                <w:szCs w:val="20"/>
              </w:rPr>
              <w:t>.</w:t>
            </w:r>
            <w:r w:rsidR="00141974" w:rsidRPr="006F0535">
              <w:rPr>
                <w:sz w:val="20"/>
                <w:szCs w:val="20"/>
              </w:rPr>
              <w:t xml:space="preserve"> Eligible Measures, Item 3B</w:t>
            </w:r>
          </w:p>
        </w:tc>
        <w:tc>
          <w:tcPr>
            <w:tcW w:w="1408" w:type="dxa"/>
            <w:vAlign w:val="center"/>
          </w:tcPr>
          <w:p w14:paraId="62C26AFC" w14:textId="3AFDA25A" w:rsidR="001B298B" w:rsidRPr="006F0535" w:rsidRDefault="00CA188D" w:rsidP="00034CA6">
            <w:pPr>
              <w:pStyle w:val="BodyText"/>
              <w:spacing w:after="0"/>
              <w:ind w:left="0"/>
              <w:jc w:val="center"/>
              <w:rPr>
                <w:sz w:val="20"/>
                <w:szCs w:val="20"/>
              </w:rPr>
            </w:pPr>
            <w:r w:rsidRPr="006F0535">
              <w:rPr>
                <w:sz w:val="20"/>
                <w:szCs w:val="20"/>
              </w:rPr>
              <w:t>Savi/Alfredo</w:t>
            </w:r>
          </w:p>
        </w:tc>
        <w:tc>
          <w:tcPr>
            <w:tcW w:w="1564" w:type="dxa"/>
            <w:vAlign w:val="center"/>
          </w:tcPr>
          <w:p w14:paraId="72D00AD6" w14:textId="59A38638" w:rsidR="002D69C2" w:rsidRPr="006F0535" w:rsidRDefault="007559AC" w:rsidP="00034CA6">
            <w:pPr>
              <w:pStyle w:val="BodyText"/>
              <w:ind w:left="0"/>
              <w:jc w:val="center"/>
              <w:rPr>
                <w:sz w:val="20"/>
                <w:szCs w:val="20"/>
              </w:rPr>
            </w:pPr>
            <w:r>
              <w:rPr>
                <w:sz w:val="20"/>
                <w:szCs w:val="20"/>
              </w:rPr>
              <w:t>7/26</w:t>
            </w:r>
            <w:r w:rsidR="006E65EE">
              <w:rPr>
                <w:sz w:val="20"/>
                <w:szCs w:val="20"/>
              </w:rPr>
              <w:t>/24</w:t>
            </w:r>
          </w:p>
        </w:tc>
        <w:tc>
          <w:tcPr>
            <w:tcW w:w="1565" w:type="dxa"/>
            <w:vAlign w:val="center"/>
          </w:tcPr>
          <w:p w14:paraId="323CA1F6" w14:textId="180E2F93" w:rsidR="002D69C2" w:rsidRPr="006F0535" w:rsidRDefault="46810C88" w:rsidP="00034CA6">
            <w:pPr>
              <w:pStyle w:val="BodyText"/>
              <w:ind w:left="0"/>
              <w:jc w:val="center"/>
              <w:rPr>
                <w:sz w:val="20"/>
                <w:szCs w:val="20"/>
              </w:rPr>
            </w:pPr>
            <w:r w:rsidRPr="70E12508">
              <w:rPr>
                <w:sz w:val="20"/>
                <w:szCs w:val="20"/>
              </w:rPr>
              <w:t>8/1</w:t>
            </w:r>
          </w:p>
        </w:tc>
      </w:tr>
      <w:tr w:rsidR="002D69C2" w:rsidRPr="006F0535" w14:paraId="505C164C" w14:textId="77777777" w:rsidTr="70E12508">
        <w:trPr>
          <w:trHeight w:val="506"/>
        </w:trPr>
        <w:tc>
          <w:tcPr>
            <w:tcW w:w="540" w:type="dxa"/>
            <w:vAlign w:val="center"/>
          </w:tcPr>
          <w:p w14:paraId="3E30AADC" w14:textId="5FBF5286" w:rsidR="002D69C2" w:rsidRPr="006F0535" w:rsidRDefault="00A70F46" w:rsidP="00576AAC">
            <w:pPr>
              <w:pStyle w:val="BodyText"/>
              <w:spacing w:after="0"/>
              <w:ind w:left="0"/>
              <w:jc w:val="center"/>
              <w:rPr>
                <w:sz w:val="20"/>
                <w:szCs w:val="20"/>
              </w:rPr>
            </w:pPr>
            <w:r w:rsidRPr="006F0535">
              <w:rPr>
                <w:sz w:val="20"/>
                <w:szCs w:val="20"/>
              </w:rPr>
              <w:t>1</w:t>
            </w:r>
            <w:r w:rsidR="00881C81" w:rsidRPr="006F0535">
              <w:rPr>
                <w:sz w:val="20"/>
                <w:szCs w:val="20"/>
              </w:rPr>
              <w:t>1</w:t>
            </w:r>
          </w:p>
        </w:tc>
        <w:tc>
          <w:tcPr>
            <w:tcW w:w="4278" w:type="dxa"/>
            <w:vAlign w:val="center"/>
          </w:tcPr>
          <w:p w14:paraId="6C1799AE" w14:textId="6D29AC2C" w:rsidR="002D69C2" w:rsidRPr="006F0535" w:rsidRDefault="009C0F3F" w:rsidP="00576AAC">
            <w:pPr>
              <w:pStyle w:val="BodyText"/>
              <w:spacing w:after="0"/>
              <w:ind w:left="0"/>
              <w:rPr>
                <w:sz w:val="20"/>
                <w:szCs w:val="20"/>
              </w:rPr>
            </w:pPr>
            <w:r w:rsidRPr="006F0535">
              <w:rPr>
                <w:sz w:val="20"/>
                <w:szCs w:val="20"/>
              </w:rPr>
              <w:t xml:space="preserve">Exhibit </w:t>
            </w:r>
            <w:r w:rsidR="00A64F75">
              <w:rPr>
                <w:sz w:val="20"/>
                <w:szCs w:val="20"/>
              </w:rPr>
              <w:t>9</w:t>
            </w:r>
            <w:r w:rsidR="00CF7806" w:rsidRPr="006F0535">
              <w:rPr>
                <w:sz w:val="20"/>
                <w:szCs w:val="20"/>
              </w:rPr>
              <w:t>.</w:t>
            </w:r>
            <w:r w:rsidRPr="006F0535">
              <w:rPr>
                <w:sz w:val="20"/>
                <w:szCs w:val="20"/>
              </w:rPr>
              <w:t xml:space="preserve"> Measure Costs, Item 3B</w:t>
            </w:r>
          </w:p>
        </w:tc>
        <w:tc>
          <w:tcPr>
            <w:tcW w:w="1408" w:type="dxa"/>
            <w:vAlign w:val="center"/>
          </w:tcPr>
          <w:p w14:paraId="2DE84413" w14:textId="1738C31E" w:rsidR="008730FE" w:rsidRPr="006F0535" w:rsidRDefault="006F3068" w:rsidP="00D6767F">
            <w:pPr>
              <w:pStyle w:val="BodyText"/>
              <w:spacing w:after="0"/>
              <w:ind w:left="0"/>
              <w:jc w:val="center"/>
              <w:rPr>
                <w:sz w:val="20"/>
                <w:szCs w:val="20"/>
              </w:rPr>
            </w:pPr>
            <w:r w:rsidRPr="006F0535">
              <w:rPr>
                <w:sz w:val="20"/>
                <w:szCs w:val="20"/>
              </w:rPr>
              <w:t>Savi/Sco</w:t>
            </w:r>
            <w:r w:rsidR="00294877" w:rsidRPr="006F0535">
              <w:rPr>
                <w:sz w:val="20"/>
                <w:szCs w:val="20"/>
              </w:rPr>
              <w:t>tt</w:t>
            </w:r>
          </w:p>
        </w:tc>
        <w:tc>
          <w:tcPr>
            <w:tcW w:w="1564" w:type="dxa"/>
            <w:vAlign w:val="center"/>
          </w:tcPr>
          <w:p w14:paraId="606F874B" w14:textId="0BAD8267" w:rsidR="002D69C2" w:rsidRPr="006F0535" w:rsidRDefault="000B0324" w:rsidP="00034CA6">
            <w:pPr>
              <w:pStyle w:val="BodyText"/>
              <w:ind w:left="0"/>
              <w:jc w:val="center"/>
              <w:rPr>
                <w:sz w:val="20"/>
                <w:szCs w:val="20"/>
              </w:rPr>
            </w:pPr>
            <w:r>
              <w:rPr>
                <w:sz w:val="20"/>
                <w:szCs w:val="20"/>
              </w:rPr>
              <w:t>7/26/24</w:t>
            </w:r>
          </w:p>
        </w:tc>
        <w:tc>
          <w:tcPr>
            <w:tcW w:w="1565" w:type="dxa"/>
            <w:vAlign w:val="center"/>
          </w:tcPr>
          <w:p w14:paraId="31A6356B" w14:textId="033A60A6" w:rsidR="002D69C2" w:rsidRPr="006F0535" w:rsidRDefault="0D434719" w:rsidP="00034CA6">
            <w:pPr>
              <w:pStyle w:val="BodyText"/>
              <w:ind w:left="0"/>
              <w:jc w:val="center"/>
              <w:rPr>
                <w:sz w:val="20"/>
                <w:szCs w:val="20"/>
              </w:rPr>
            </w:pPr>
            <w:r w:rsidRPr="70E12508">
              <w:rPr>
                <w:sz w:val="20"/>
                <w:szCs w:val="20"/>
              </w:rPr>
              <w:t>8/1</w:t>
            </w:r>
          </w:p>
        </w:tc>
      </w:tr>
      <w:tr w:rsidR="008730FE" w:rsidRPr="006F0535" w14:paraId="2D81E960" w14:textId="77777777" w:rsidTr="70E12508">
        <w:trPr>
          <w:trHeight w:val="506"/>
        </w:trPr>
        <w:tc>
          <w:tcPr>
            <w:tcW w:w="540" w:type="dxa"/>
            <w:vAlign w:val="center"/>
          </w:tcPr>
          <w:p w14:paraId="1CBE7FEC" w14:textId="21C6A7DA" w:rsidR="008730FE" w:rsidRPr="006F0535" w:rsidRDefault="00A70F46" w:rsidP="00576AAC">
            <w:pPr>
              <w:pStyle w:val="BodyText"/>
              <w:spacing w:after="0"/>
              <w:ind w:left="0"/>
              <w:jc w:val="center"/>
              <w:rPr>
                <w:sz w:val="20"/>
                <w:szCs w:val="20"/>
              </w:rPr>
            </w:pPr>
            <w:r w:rsidRPr="006F0535">
              <w:rPr>
                <w:sz w:val="20"/>
                <w:szCs w:val="20"/>
              </w:rPr>
              <w:t>1</w:t>
            </w:r>
            <w:r w:rsidR="00881C81" w:rsidRPr="006F0535">
              <w:rPr>
                <w:sz w:val="20"/>
                <w:szCs w:val="20"/>
              </w:rPr>
              <w:t>2</w:t>
            </w:r>
          </w:p>
        </w:tc>
        <w:tc>
          <w:tcPr>
            <w:tcW w:w="4278" w:type="dxa"/>
            <w:vAlign w:val="center"/>
          </w:tcPr>
          <w:p w14:paraId="533E376E" w14:textId="052A3776" w:rsidR="008730FE" w:rsidRPr="006F0535" w:rsidRDefault="008730FE" w:rsidP="00576AAC">
            <w:pPr>
              <w:pStyle w:val="BodyText"/>
              <w:spacing w:after="0"/>
              <w:ind w:left="0"/>
              <w:rPr>
                <w:sz w:val="20"/>
                <w:szCs w:val="20"/>
              </w:rPr>
            </w:pPr>
            <w:r w:rsidRPr="006F0535">
              <w:rPr>
                <w:sz w:val="20"/>
                <w:szCs w:val="20"/>
              </w:rPr>
              <w:t>Verify internet link Section 2d CAETRM</w:t>
            </w:r>
          </w:p>
        </w:tc>
        <w:tc>
          <w:tcPr>
            <w:tcW w:w="1408" w:type="dxa"/>
            <w:vAlign w:val="center"/>
          </w:tcPr>
          <w:p w14:paraId="0D1799D9" w14:textId="675E731A" w:rsidR="008730FE" w:rsidRPr="006F0535" w:rsidRDefault="00E80C2B" w:rsidP="00034CA6">
            <w:pPr>
              <w:pStyle w:val="BodyText"/>
              <w:ind w:left="0"/>
              <w:jc w:val="center"/>
              <w:rPr>
                <w:sz w:val="20"/>
                <w:szCs w:val="20"/>
              </w:rPr>
            </w:pPr>
            <w:r w:rsidRPr="006F0535">
              <w:rPr>
                <w:sz w:val="20"/>
                <w:szCs w:val="20"/>
              </w:rPr>
              <w:t>Courtney Owen</w:t>
            </w:r>
          </w:p>
        </w:tc>
        <w:tc>
          <w:tcPr>
            <w:tcW w:w="1564" w:type="dxa"/>
            <w:vAlign w:val="center"/>
          </w:tcPr>
          <w:p w14:paraId="14E167BB" w14:textId="3535F0C3" w:rsidR="008730FE" w:rsidRPr="006F0535" w:rsidRDefault="005A21C5" w:rsidP="00034CA6">
            <w:pPr>
              <w:pStyle w:val="BodyText"/>
              <w:ind w:left="0"/>
              <w:jc w:val="center"/>
              <w:rPr>
                <w:sz w:val="20"/>
                <w:szCs w:val="20"/>
              </w:rPr>
            </w:pPr>
            <w:r w:rsidRPr="006F0535">
              <w:rPr>
                <w:sz w:val="20"/>
                <w:szCs w:val="20"/>
              </w:rPr>
              <w:t>7/25/24</w:t>
            </w:r>
          </w:p>
        </w:tc>
        <w:tc>
          <w:tcPr>
            <w:tcW w:w="1565" w:type="dxa"/>
            <w:vAlign w:val="center"/>
          </w:tcPr>
          <w:p w14:paraId="26553293" w14:textId="0C1412B6" w:rsidR="008730FE" w:rsidRPr="006F0535" w:rsidRDefault="7483792F" w:rsidP="00034CA6">
            <w:pPr>
              <w:pStyle w:val="BodyText"/>
              <w:ind w:left="0"/>
              <w:jc w:val="center"/>
              <w:rPr>
                <w:sz w:val="20"/>
                <w:szCs w:val="20"/>
              </w:rPr>
            </w:pPr>
            <w:r w:rsidRPr="70E12508">
              <w:rPr>
                <w:sz w:val="20"/>
                <w:szCs w:val="20"/>
              </w:rPr>
              <w:t>8/1</w:t>
            </w:r>
          </w:p>
        </w:tc>
      </w:tr>
      <w:tr w:rsidR="007A31AC" w:rsidRPr="006F0535" w14:paraId="0B4DFFF4" w14:textId="77777777" w:rsidTr="70E12508">
        <w:trPr>
          <w:trHeight w:val="506"/>
        </w:trPr>
        <w:tc>
          <w:tcPr>
            <w:tcW w:w="9355" w:type="dxa"/>
            <w:gridSpan w:val="5"/>
            <w:shd w:val="clear" w:color="auto" w:fill="FFE599" w:themeFill="accent4" w:themeFillTint="66"/>
            <w:vAlign w:val="center"/>
          </w:tcPr>
          <w:p w14:paraId="178959FD" w14:textId="1F8D61FA" w:rsidR="007A31AC" w:rsidRPr="006F0535" w:rsidRDefault="007A31AC" w:rsidP="00034CA6">
            <w:pPr>
              <w:pStyle w:val="BodyText"/>
              <w:spacing w:before="120"/>
              <w:ind w:left="0"/>
              <w:jc w:val="center"/>
              <w:rPr>
                <w:b/>
                <w:bCs/>
                <w:sz w:val="20"/>
                <w:szCs w:val="20"/>
              </w:rPr>
            </w:pPr>
            <w:r w:rsidRPr="006F0535">
              <w:rPr>
                <w:b/>
                <w:bCs/>
                <w:sz w:val="20"/>
                <w:szCs w:val="20"/>
              </w:rPr>
              <w:t>Narrative Content Review</w:t>
            </w:r>
          </w:p>
        </w:tc>
      </w:tr>
      <w:tr w:rsidR="00C90EBF" w:rsidRPr="006F0535" w14:paraId="392F1CF3" w14:textId="77777777" w:rsidTr="70E12508">
        <w:trPr>
          <w:trHeight w:val="506"/>
        </w:trPr>
        <w:tc>
          <w:tcPr>
            <w:tcW w:w="540" w:type="dxa"/>
            <w:vAlign w:val="center"/>
          </w:tcPr>
          <w:p w14:paraId="19716709" w14:textId="3861F8EA" w:rsidR="00C90EBF" w:rsidRPr="006F0535" w:rsidRDefault="00C90EBF" w:rsidP="00576AAC">
            <w:pPr>
              <w:pStyle w:val="BodyText"/>
              <w:spacing w:after="0"/>
              <w:ind w:left="0"/>
              <w:jc w:val="center"/>
              <w:rPr>
                <w:sz w:val="20"/>
                <w:szCs w:val="20"/>
              </w:rPr>
            </w:pPr>
            <w:r w:rsidRPr="006F0535">
              <w:rPr>
                <w:sz w:val="20"/>
                <w:szCs w:val="20"/>
              </w:rPr>
              <w:t>1</w:t>
            </w:r>
          </w:p>
        </w:tc>
        <w:tc>
          <w:tcPr>
            <w:tcW w:w="4278" w:type="dxa"/>
            <w:vAlign w:val="center"/>
          </w:tcPr>
          <w:p w14:paraId="2E8A72CD" w14:textId="2C800297" w:rsidR="00C90EBF" w:rsidRPr="006F0535" w:rsidRDefault="00C90EBF" w:rsidP="00576AAC">
            <w:pPr>
              <w:pStyle w:val="BodyText"/>
              <w:spacing w:after="0"/>
              <w:ind w:left="0"/>
              <w:rPr>
                <w:sz w:val="20"/>
                <w:szCs w:val="20"/>
              </w:rPr>
            </w:pPr>
            <w:r w:rsidRPr="006F0535">
              <w:rPr>
                <w:sz w:val="20"/>
                <w:szCs w:val="20"/>
              </w:rPr>
              <w:t xml:space="preserve">Readability and </w:t>
            </w:r>
            <w:r w:rsidR="005A21C5" w:rsidRPr="006F0535">
              <w:rPr>
                <w:sz w:val="20"/>
                <w:szCs w:val="20"/>
              </w:rPr>
              <w:t>c</w:t>
            </w:r>
            <w:r w:rsidRPr="006F0535">
              <w:rPr>
                <w:sz w:val="20"/>
                <w:szCs w:val="20"/>
              </w:rPr>
              <w:t>ontent review</w:t>
            </w:r>
          </w:p>
        </w:tc>
        <w:tc>
          <w:tcPr>
            <w:tcW w:w="1408" w:type="dxa"/>
            <w:vAlign w:val="center"/>
          </w:tcPr>
          <w:p w14:paraId="0771282D" w14:textId="61C9FCA2" w:rsidR="008730FE" w:rsidRPr="006F0535" w:rsidRDefault="00034CA6" w:rsidP="00034CA6">
            <w:pPr>
              <w:pStyle w:val="BodyText"/>
              <w:ind w:left="0"/>
              <w:jc w:val="center"/>
              <w:rPr>
                <w:sz w:val="20"/>
                <w:szCs w:val="20"/>
              </w:rPr>
            </w:pPr>
            <w:r w:rsidRPr="006F0535">
              <w:rPr>
                <w:sz w:val="20"/>
                <w:szCs w:val="20"/>
              </w:rPr>
              <w:t>Scott</w:t>
            </w:r>
          </w:p>
        </w:tc>
        <w:tc>
          <w:tcPr>
            <w:tcW w:w="1564" w:type="dxa"/>
            <w:vAlign w:val="center"/>
          </w:tcPr>
          <w:p w14:paraId="1062F499" w14:textId="2057D205" w:rsidR="00C90EBF" w:rsidRPr="006F0535" w:rsidRDefault="00034CA6" w:rsidP="00034CA6">
            <w:pPr>
              <w:pStyle w:val="BodyText"/>
              <w:ind w:left="0"/>
              <w:jc w:val="center"/>
              <w:rPr>
                <w:sz w:val="20"/>
                <w:szCs w:val="20"/>
              </w:rPr>
            </w:pPr>
            <w:r w:rsidRPr="006F0535">
              <w:rPr>
                <w:sz w:val="20"/>
                <w:szCs w:val="20"/>
              </w:rPr>
              <w:t>7/25/24</w:t>
            </w:r>
          </w:p>
        </w:tc>
        <w:tc>
          <w:tcPr>
            <w:tcW w:w="1565" w:type="dxa"/>
            <w:vAlign w:val="center"/>
          </w:tcPr>
          <w:p w14:paraId="3F4E480E" w14:textId="0A323B54" w:rsidR="00C90EBF" w:rsidRPr="006F0535" w:rsidRDefault="4FE7F2C5" w:rsidP="00034CA6">
            <w:pPr>
              <w:pStyle w:val="BodyText"/>
              <w:ind w:left="0"/>
              <w:jc w:val="center"/>
              <w:rPr>
                <w:sz w:val="20"/>
                <w:szCs w:val="20"/>
              </w:rPr>
            </w:pPr>
            <w:r w:rsidRPr="70E12508">
              <w:rPr>
                <w:sz w:val="20"/>
                <w:szCs w:val="20"/>
              </w:rPr>
              <w:t>8/1</w:t>
            </w:r>
          </w:p>
        </w:tc>
      </w:tr>
      <w:tr w:rsidR="00C90EBF" w:rsidRPr="006F0535" w14:paraId="2DFED365" w14:textId="77777777" w:rsidTr="70E12508">
        <w:trPr>
          <w:trHeight w:val="506"/>
        </w:trPr>
        <w:tc>
          <w:tcPr>
            <w:tcW w:w="540" w:type="dxa"/>
            <w:vAlign w:val="center"/>
          </w:tcPr>
          <w:p w14:paraId="3C309394" w14:textId="2400A28F" w:rsidR="00C90EBF" w:rsidRPr="006F0535" w:rsidRDefault="00C90EBF" w:rsidP="00576AAC">
            <w:pPr>
              <w:pStyle w:val="BodyText"/>
              <w:spacing w:after="0"/>
              <w:ind w:left="0"/>
              <w:jc w:val="center"/>
              <w:rPr>
                <w:sz w:val="20"/>
                <w:szCs w:val="20"/>
              </w:rPr>
            </w:pPr>
            <w:r w:rsidRPr="006F0535">
              <w:rPr>
                <w:sz w:val="20"/>
                <w:szCs w:val="20"/>
              </w:rPr>
              <w:t>2</w:t>
            </w:r>
          </w:p>
        </w:tc>
        <w:tc>
          <w:tcPr>
            <w:tcW w:w="4278" w:type="dxa"/>
            <w:vAlign w:val="center"/>
          </w:tcPr>
          <w:p w14:paraId="2E9A5967" w14:textId="357A0B3D" w:rsidR="00C90EBF" w:rsidRPr="006F0535" w:rsidRDefault="00C90EBF" w:rsidP="00576AAC">
            <w:pPr>
              <w:pStyle w:val="BodyText"/>
              <w:spacing w:after="0"/>
              <w:ind w:left="0"/>
              <w:rPr>
                <w:sz w:val="20"/>
                <w:szCs w:val="20"/>
              </w:rPr>
            </w:pPr>
            <w:r w:rsidRPr="006F0535">
              <w:rPr>
                <w:sz w:val="20"/>
                <w:szCs w:val="20"/>
              </w:rPr>
              <w:t>Proofreading</w:t>
            </w:r>
            <w:r w:rsidR="00E24BD5" w:rsidRPr="006F0535">
              <w:rPr>
                <w:sz w:val="20"/>
                <w:szCs w:val="20"/>
              </w:rPr>
              <w:t xml:space="preserve"> QC</w:t>
            </w:r>
          </w:p>
        </w:tc>
        <w:tc>
          <w:tcPr>
            <w:tcW w:w="1408" w:type="dxa"/>
            <w:vAlign w:val="center"/>
          </w:tcPr>
          <w:p w14:paraId="6A9A3649" w14:textId="10A61CF9" w:rsidR="008730FE" w:rsidRPr="006F0535" w:rsidRDefault="00034CA6" w:rsidP="00034CA6">
            <w:pPr>
              <w:pStyle w:val="BodyText"/>
              <w:ind w:left="0"/>
              <w:jc w:val="center"/>
              <w:rPr>
                <w:sz w:val="20"/>
                <w:szCs w:val="20"/>
              </w:rPr>
            </w:pPr>
            <w:r w:rsidRPr="006F0535">
              <w:rPr>
                <w:sz w:val="20"/>
                <w:szCs w:val="20"/>
              </w:rPr>
              <w:t>Courtney</w:t>
            </w:r>
          </w:p>
        </w:tc>
        <w:tc>
          <w:tcPr>
            <w:tcW w:w="1564" w:type="dxa"/>
            <w:vAlign w:val="center"/>
          </w:tcPr>
          <w:p w14:paraId="72648694" w14:textId="435983D1" w:rsidR="00C90EBF" w:rsidRPr="006F0535" w:rsidRDefault="00F006BA" w:rsidP="00034CA6">
            <w:pPr>
              <w:pStyle w:val="BodyText"/>
              <w:ind w:left="0"/>
              <w:jc w:val="center"/>
              <w:rPr>
                <w:sz w:val="20"/>
                <w:szCs w:val="20"/>
              </w:rPr>
            </w:pPr>
            <w:r>
              <w:rPr>
                <w:sz w:val="20"/>
                <w:szCs w:val="20"/>
              </w:rPr>
              <w:t>7/25/24</w:t>
            </w:r>
          </w:p>
        </w:tc>
        <w:tc>
          <w:tcPr>
            <w:tcW w:w="1565" w:type="dxa"/>
            <w:vAlign w:val="center"/>
          </w:tcPr>
          <w:p w14:paraId="158BC485" w14:textId="7032911D" w:rsidR="00C90EBF" w:rsidRPr="006F0535" w:rsidRDefault="000B0324" w:rsidP="00034CA6">
            <w:pPr>
              <w:pStyle w:val="BodyText"/>
              <w:ind w:left="0"/>
              <w:jc w:val="center"/>
              <w:rPr>
                <w:sz w:val="20"/>
                <w:szCs w:val="20"/>
              </w:rPr>
            </w:pPr>
            <w:r>
              <w:rPr>
                <w:sz w:val="20"/>
                <w:szCs w:val="20"/>
              </w:rPr>
              <w:t>Heather 7/26</w:t>
            </w:r>
          </w:p>
        </w:tc>
      </w:tr>
      <w:tr w:rsidR="00E24BD5" w:rsidRPr="006F0535" w14:paraId="4EE8D314" w14:textId="77777777" w:rsidTr="70E12508">
        <w:trPr>
          <w:trHeight w:val="506"/>
        </w:trPr>
        <w:tc>
          <w:tcPr>
            <w:tcW w:w="540" w:type="dxa"/>
            <w:vAlign w:val="center"/>
          </w:tcPr>
          <w:p w14:paraId="48B5E27F" w14:textId="54F67C22" w:rsidR="00E24BD5" w:rsidRPr="006F0535" w:rsidRDefault="00E24BD5" w:rsidP="00576AAC">
            <w:pPr>
              <w:pStyle w:val="BodyText"/>
              <w:spacing w:after="0"/>
              <w:ind w:left="0"/>
              <w:jc w:val="center"/>
              <w:rPr>
                <w:sz w:val="20"/>
                <w:szCs w:val="20"/>
              </w:rPr>
            </w:pPr>
            <w:r w:rsidRPr="006F0535">
              <w:rPr>
                <w:sz w:val="20"/>
                <w:szCs w:val="20"/>
              </w:rPr>
              <w:t>3</w:t>
            </w:r>
          </w:p>
        </w:tc>
        <w:tc>
          <w:tcPr>
            <w:tcW w:w="4278" w:type="dxa"/>
            <w:vAlign w:val="center"/>
          </w:tcPr>
          <w:p w14:paraId="04BF0C17" w14:textId="6E8520AC" w:rsidR="00E24BD5" w:rsidRPr="006F0535" w:rsidRDefault="00E24BD5" w:rsidP="00576AAC">
            <w:pPr>
              <w:pStyle w:val="BodyText"/>
              <w:spacing w:after="0"/>
              <w:ind w:left="0"/>
              <w:rPr>
                <w:sz w:val="20"/>
                <w:szCs w:val="20"/>
              </w:rPr>
            </w:pPr>
            <w:r w:rsidRPr="006F0535">
              <w:rPr>
                <w:sz w:val="20"/>
                <w:szCs w:val="20"/>
              </w:rPr>
              <w:t>Footnotes review</w:t>
            </w:r>
          </w:p>
        </w:tc>
        <w:tc>
          <w:tcPr>
            <w:tcW w:w="1408" w:type="dxa"/>
            <w:vAlign w:val="center"/>
          </w:tcPr>
          <w:p w14:paraId="320D1953" w14:textId="35486930" w:rsidR="008730FE" w:rsidRPr="006F0535" w:rsidRDefault="00CD2305" w:rsidP="00034CA6">
            <w:pPr>
              <w:pStyle w:val="BodyText"/>
              <w:ind w:left="0"/>
              <w:jc w:val="center"/>
              <w:rPr>
                <w:sz w:val="20"/>
                <w:szCs w:val="20"/>
              </w:rPr>
            </w:pPr>
            <w:r>
              <w:rPr>
                <w:sz w:val="20"/>
                <w:szCs w:val="20"/>
              </w:rPr>
              <w:t>Courtney</w:t>
            </w:r>
          </w:p>
        </w:tc>
        <w:tc>
          <w:tcPr>
            <w:tcW w:w="1564" w:type="dxa"/>
            <w:vAlign w:val="center"/>
          </w:tcPr>
          <w:p w14:paraId="303F7BB0" w14:textId="466A3B13" w:rsidR="00E24BD5" w:rsidRPr="006F0535" w:rsidRDefault="00CD2305" w:rsidP="00034CA6">
            <w:pPr>
              <w:pStyle w:val="BodyText"/>
              <w:ind w:left="0"/>
              <w:jc w:val="center"/>
              <w:rPr>
                <w:sz w:val="20"/>
                <w:szCs w:val="20"/>
              </w:rPr>
            </w:pPr>
            <w:r>
              <w:rPr>
                <w:sz w:val="20"/>
                <w:szCs w:val="20"/>
              </w:rPr>
              <w:t>7/26/24</w:t>
            </w:r>
          </w:p>
        </w:tc>
        <w:tc>
          <w:tcPr>
            <w:tcW w:w="1565" w:type="dxa"/>
            <w:vAlign w:val="center"/>
          </w:tcPr>
          <w:p w14:paraId="0E78E4A9" w14:textId="76D1E451" w:rsidR="00E24BD5" w:rsidRPr="006F0535" w:rsidRDefault="098106D5" w:rsidP="00034CA6">
            <w:pPr>
              <w:pStyle w:val="BodyText"/>
              <w:ind w:left="0"/>
              <w:jc w:val="center"/>
              <w:rPr>
                <w:sz w:val="20"/>
                <w:szCs w:val="20"/>
              </w:rPr>
            </w:pPr>
            <w:r w:rsidRPr="70E12508">
              <w:rPr>
                <w:sz w:val="20"/>
                <w:szCs w:val="20"/>
              </w:rPr>
              <w:t>8/1</w:t>
            </w:r>
          </w:p>
        </w:tc>
      </w:tr>
      <w:tr w:rsidR="007A31AC" w:rsidRPr="006F0535" w14:paraId="65E25BDD" w14:textId="77777777" w:rsidTr="70E12508">
        <w:trPr>
          <w:trHeight w:val="206"/>
        </w:trPr>
        <w:tc>
          <w:tcPr>
            <w:tcW w:w="9355" w:type="dxa"/>
            <w:gridSpan w:val="5"/>
            <w:shd w:val="clear" w:color="auto" w:fill="FFE599" w:themeFill="accent4" w:themeFillTint="66"/>
            <w:vAlign w:val="center"/>
          </w:tcPr>
          <w:p w14:paraId="0C1A3EA8" w14:textId="7CD46CF8" w:rsidR="007A31AC" w:rsidRPr="006F0535" w:rsidRDefault="007A31AC" w:rsidP="00034CA6">
            <w:pPr>
              <w:pStyle w:val="BodyText"/>
              <w:spacing w:before="120"/>
              <w:ind w:left="0"/>
              <w:jc w:val="center"/>
              <w:rPr>
                <w:b/>
                <w:bCs/>
                <w:sz w:val="20"/>
                <w:szCs w:val="20"/>
              </w:rPr>
            </w:pPr>
            <w:r w:rsidRPr="006F0535">
              <w:rPr>
                <w:b/>
                <w:bCs/>
                <w:sz w:val="20"/>
                <w:szCs w:val="20"/>
              </w:rPr>
              <w:t>Sign-Offs</w:t>
            </w:r>
          </w:p>
        </w:tc>
      </w:tr>
      <w:tr w:rsidR="00E24BD5" w:rsidRPr="006F0535" w14:paraId="29E5B81C" w14:textId="77777777" w:rsidTr="70E12508">
        <w:trPr>
          <w:trHeight w:val="506"/>
        </w:trPr>
        <w:tc>
          <w:tcPr>
            <w:tcW w:w="540" w:type="dxa"/>
            <w:vAlign w:val="center"/>
          </w:tcPr>
          <w:p w14:paraId="78DF36B7" w14:textId="6CD4C7C3" w:rsidR="00E24BD5" w:rsidRPr="006F0535" w:rsidRDefault="00E24BD5" w:rsidP="00576AAC">
            <w:pPr>
              <w:pStyle w:val="BodyText"/>
              <w:spacing w:after="0"/>
              <w:ind w:left="0"/>
              <w:jc w:val="center"/>
              <w:rPr>
                <w:sz w:val="20"/>
                <w:szCs w:val="20"/>
              </w:rPr>
            </w:pPr>
            <w:r w:rsidRPr="006F0535">
              <w:rPr>
                <w:sz w:val="20"/>
                <w:szCs w:val="20"/>
              </w:rPr>
              <w:t>1</w:t>
            </w:r>
          </w:p>
        </w:tc>
        <w:tc>
          <w:tcPr>
            <w:tcW w:w="4278" w:type="dxa"/>
            <w:vAlign w:val="center"/>
          </w:tcPr>
          <w:p w14:paraId="2642F4F5" w14:textId="459ABECE" w:rsidR="00E24BD5" w:rsidRPr="006F0535" w:rsidRDefault="00E24BD5" w:rsidP="00576AAC">
            <w:pPr>
              <w:pStyle w:val="BodyText"/>
              <w:spacing w:after="0"/>
              <w:ind w:left="0"/>
              <w:rPr>
                <w:sz w:val="20"/>
                <w:szCs w:val="20"/>
              </w:rPr>
            </w:pPr>
            <w:r w:rsidRPr="006F0535">
              <w:rPr>
                <w:sz w:val="20"/>
                <w:szCs w:val="20"/>
              </w:rPr>
              <w:t>LA County</w:t>
            </w:r>
          </w:p>
        </w:tc>
        <w:tc>
          <w:tcPr>
            <w:tcW w:w="1408" w:type="dxa"/>
            <w:vAlign w:val="center"/>
          </w:tcPr>
          <w:p w14:paraId="5503E006" w14:textId="1F07CC61" w:rsidR="008730FE" w:rsidRPr="006F0535" w:rsidRDefault="000B0324" w:rsidP="00034CA6">
            <w:pPr>
              <w:pStyle w:val="BodyText"/>
              <w:ind w:left="0"/>
              <w:jc w:val="center"/>
              <w:rPr>
                <w:sz w:val="20"/>
                <w:szCs w:val="20"/>
              </w:rPr>
            </w:pPr>
            <w:r>
              <w:rPr>
                <w:sz w:val="20"/>
                <w:szCs w:val="20"/>
              </w:rPr>
              <w:t>Lujuana</w:t>
            </w:r>
          </w:p>
        </w:tc>
        <w:tc>
          <w:tcPr>
            <w:tcW w:w="1564" w:type="dxa"/>
            <w:vAlign w:val="center"/>
          </w:tcPr>
          <w:p w14:paraId="71BC12D3" w14:textId="76812F63" w:rsidR="00E24BD5" w:rsidRPr="006F0535" w:rsidRDefault="00E24BD5" w:rsidP="00034CA6">
            <w:pPr>
              <w:pStyle w:val="BodyText"/>
              <w:ind w:left="0"/>
              <w:jc w:val="center"/>
              <w:rPr>
                <w:sz w:val="20"/>
                <w:szCs w:val="20"/>
              </w:rPr>
            </w:pPr>
          </w:p>
        </w:tc>
        <w:tc>
          <w:tcPr>
            <w:tcW w:w="1565" w:type="dxa"/>
            <w:vAlign w:val="center"/>
          </w:tcPr>
          <w:p w14:paraId="572B0EDA" w14:textId="77777777" w:rsidR="00E24BD5" w:rsidRPr="006F0535" w:rsidRDefault="00E24BD5" w:rsidP="00034CA6">
            <w:pPr>
              <w:pStyle w:val="BodyText"/>
              <w:ind w:left="0"/>
              <w:jc w:val="center"/>
              <w:rPr>
                <w:sz w:val="20"/>
                <w:szCs w:val="20"/>
              </w:rPr>
            </w:pPr>
          </w:p>
        </w:tc>
      </w:tr>
      <w:tr w:rsidR="00E24BD5" w:rsidRPr="006F0535" w14:paraId="0965259F" w14:textId="77777777" w:rsidTr="70E12508">
        <w:trPr>
          <w:trHeight w:val="506"/>
        </w:trPr>
        <w:tc>
          <w:tcPr>
            <w:tcW w:w="540" w:type="dxa"/>
            <w:vAlign w:val="center"/>
          </w:tcPr>
          <w:p w14:paraId="5270DE77" w14:textId="0860E8F5" w:rsidR="00E24BD5" w:rsidRPr="006F0535" w:rsidRDefault="00E24BD5" w:rsidP="00576AAC">
            <w:pPr>
              <w:pStyle w:val="BodyText"/>
              <w:spacing w:after="0"/>
              <w:ind w:left="0"/>
              <w:jc w:val="center"/>
              <w:rPr>
                <w:sz w:val="20"/>
                <w:szCs w:val="20"/>
              </w:rPr>
            </w:pPr>
            <w:r w:rsidRPr="006F0535">
              <w:rPr>
                <w:sz w:val="20"/>
                <w:szCs w:val="20"/>
              </w:rPr>
              <w:t>2</w:t>
            </w:r>
          </w:p>
        </w:tc>
        <w:tc>
          <w:tcPr>
            <w:tcW w:w="4278" w:type="dxa"/>
            <w:vAlign w:val="center"/>
          </w:tcPr>
          <w:p w14:paraId="4F13670D" w14:textId="1778D36E" w:rsidR="00E24BD5" w:rsidRPr="006F0535" w:rsidRDefault="00E24BD5" w:rsidP="00576AAC">
            <w:pPr>
              <w:pStyle w:val="BodyText"/>
              <w:spacing w:after="0"/>
              <w:ind w:left="0"/>
              <w:rPr>
                <w:sz w:val="20"/>
                <w:szCs w:val="20"/>
              </w:rPr>
            </w:pPr>
            <w:r w:rsidRPr="006F0535">
              <w:rPr>
                <w:sz w:val="20"/>
                <w:szCs w:val="20"/>
              </w:rPr>
              <w:t>ICF</w:t>
            </w:r>
          </w:p>
        </w:tc>
        <w:tc>
          <w:tcPr>
            <w:tcW w:w="1408" w:type="dxa"/>
            <w:vAlign w:val="center"/>
          </w:tcPr>
          <w:p w14:paraId="38DBA4FD" w14:textId="70CA5138" w:rsidR="008730FE" w:rsidRPr="006F0535" w:rsidRDefault="000B0324" w:rsidP="00034CA6">
            <w:pPr>
              <w:pStyle w:val="BodyText"/>
              <w:ind w:left="0"/>
              <w:jc w:val="center"/>
              <w:rPr>
                <w:sz w:val="20"/>
                <w:szCs w:val="20"/>
              </w:rPr>
            </w:pPr>
            <w:r>
              <w:rPr>
                <w:sz w:val="20"/>
                <w:szCs w:val="20"/>
              </w:rPr>
              <w:t>Scott</w:t>
            </w:r>
          </w:p>
        </w:tc>
        <w:tc>
          <w:tcPr>
            <w:tcW w:w="1564" w:type="dxa"/>
            <w:vAlign w:val="center"/>
          </w:tcPr>
          <w:p w14:paraId="3665462C" w14:textId="46806AA6" w:rsidR="00E24BD5" w:rsidRPr="006F0535" w:rsidRDefault="00E24BD5" w:rsidP="00034CA6">
            <w:pPr>
              <w:pStyle w:val="BodyText"/>
              <w:ind w:left="0"/>
              <w:jc w:val="center"/>
              <w:rPr>
                <w:sz w:val="20"/>
                <w:szCs w:val="20"/>
              </w:rPr>
            </w:pPr>
          </w:p>
        </w:tc>
        <w:tc>
          <w:tcPr>
            <w:tcW w:w="1565" w:type="dxa"/>
            <w:vAlign w:val="center"/>
          </w:tcPr>
          <w:p w14:paraId="6641E7C4" w14:textId="7FAD60AD" w:rsidR="00E24BD5" w:rsidRPr="006F0535" w:rsidRDefault="00BD0C0F" w:rsidP="00034CA6">
            <w:pPr>
              <w:pStyle w:val="BodyText"/>
              <w:ind w:left="0"/>
              <w:jc w:val="center"/>
              <w:rPr>
                <w:sz w:val="20"/>
                <w:szCs w:val="20"/>
              </w:rPr>
            </w:pPr>
            <w:r>
              <w:rPr>
                <w:sz w:val="20"/>
                <w:szCs w:val="20"/>
              </w:rPr>
              <w:t>8/1/24</w:t>
            </w:r>
          </w:p>
        </w:tc>
      </w:tr>
      <w:tr w:rsidR="00E24BD5" w:rsidRPr="006F0535" w14:paraId="30684BAA" w14:textId="77777777" w:rsidTr="70E12508">
        <w:trPr>
          <w:trHeight w:val="506"/>
        </w:trPr>
        <w:tc>
          <w:tcPr>
            <w:tcW w:w="540" w:type="dxa"/>
            <w:vAlign w:val="center"/>
          </w:tcPr>
          <w:p w14:paraId="4AA83C08" w14:textId="2C2B80D7" w:rsidR="00E24BD5" w:rsidRPr="006F0535" w:rsidRDefault="00E24BD5" w:rsidP="00576AAC">
            <w:pPr>
              <w:pStyle w:val="BodyText"/>
              <w:spacing w:after="0"/>
              <w:ind w:left="0"/>
              <w:jc w:val="center"/>
              <w:rPr>
                <w:sz w:val="20"/>
                <w:szCs w:val="20"/>
              </w:rPr>
            </w:pPr>
            <w:r w:rsidRPr="006F0535">
              <w:rPr>
                <w:sz w:val="20"/>
                <w:szCs w:val="20"/>
              </w:rPr>
              <w:t>3</w:t>
            </w:r>
          </w:p>
        </w:tc>
        <w:tc>
          <w:tcPr>
            <w:tcW w:w="4278" w:type="dxa"/>
            <w:vAlign w:val="center"/>
          </w:tcPr>
          <w:p w14:paraId="3313D17A" w14:textId="37AFF7B2" w:rsidR="00E24BD5" w:rsidRPr="006F0535" w:rsidRDefault="00E24BD5" w:rsidP="00576AAC">
            <w:pPr>
              <w:pStyle w:val="BodyText"/>
              <w:spacing w:after="0"/>
              <w:ind w:left="0"/>
              <w:rPr>
                <w:sz w:val="20"/>
                <w:szCs w:val="20"/>
              </w:rPr>
            </w:pPr>
            <w:r w:rsidRPr="006F0535">
              <w:rPr>
                <w:sz w:val="20"/>
                <w:szCs w:val="20"/>
              </w:rPr>
              <w:t>Other</w:t>
            </w:r>
          </w:p>
        </w:tc>
        <w:tc>
          <w:tcPr>
            <w:tcW w:w="1408" w:type="dxa"/>
            <w:vAlign w:val="center"/>
          </w:tcPr>
          <w:p w14:paraId="25F9DA0F" w14:textId="77777777" w:rsidR="008730FE" w:rsidRPr="006F0535" w:rsidRDefault="008730FE" w:rsidP="00034CA6">
            <w:pPr>
              <w:pStyle w:val="BodyText"/>
              <w:ind w:left="0"/>
              <w:jc w:val="center"/>
              <w:rPr>
                <w:sz w:val="20"/>
                <w:szCs w:val="20"/>
              </w:rPr>
            </w:pPr>
          </w:p>
        </w:tc>
        <w:tc>
          <w:tcPr>
            <w:tcW w:w="1564" w:type="dxa"/>
            <w:vAlign w:val="center"/>
          </w:tcPr>
          <w:p w14:paraId="1A58159B" w14:textId="3652EA78" w:rsidR="00E24BD5" w:rsidRPr="006F0535" w:rsidRDefault="00E24BD5" w:rsidP="00034CA6">
            <w:pPr>
              <w:pStyle w:val="BodyText"/>
              <w:ind w:left="0"/>
              <w:jc w:val="center"/>
              <w:rPr>
                <w:sz w:val="20"/>
                <w:szCs w:val="20"/>
              </w:rPr>
            </w:pPr>
          </w:p>
        </w:tc>
        <w:tc>
          <w:tcPr>
            <w:tcW w:w="1565" w:type="dxa"/>
            <w:vAlign w:val="center"/>
          </w:tcPr>
          <w:p w14:paraId="40419E72" w14:textId="77777777" w:rsidR="00E24BD5" w:rsidRPr="006F0535" w:rsidRDefault="00E24BD5" w:rsidP="00034CA6">
            <w:pPr>
              <w:pStyle w:val="BodyText"/>
              <w:ind w:left="0"/>
              <w:jc w:val="center"/>
              <w:rPr>
                <w:sz w:val="20"/>
                <w:szCs w:val="20"/>
              </w:rPr>
            </w:pPr>
          </w:p>
        </w:tc>
      </w:tr>
    </w:tbl>
    <w:p w14:paraId="5E1682DB" w14:textId="77777777" w:rsidR="002E227A" w:rsidRDefault="002E227A" w:rsidP="002E227A">
      <w:pPr>
        <w:pStyle w:val="BodyText"/>
        <w:ind w:left="0"/>
      </w:pPr>
    </w:p>
    <w:p w14:paraId="0A77023F" w14:textId="77777777" w:rsidR="002E227A" w:rsidRDefault="002E227A" w:rsidP="002E227A">
      <w:pPr>
        <w:pStyle w:val="BodyText"/>
        <w:ind w:left="0"/>
      </w:pPr>
    </w:p>
    <w:sectPr w:rsidR="002E227A">
      <w:headerReference w:type="even" r:id="rId25"/>
      <w:headerReference w:type="default" r:id="rId26"/>
      <w:footerReference w:type="default" r:id="rId27"/>
      <w:head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F9ACE" w14:textId="77777777" w:rsidR="002F7200" w:rsidRDefault="002F7200" w:rsidP="005058B3">
      <w:pPr>
        <w:spacing w:line="240" w:lineRule="auto"/>
      </w:pPr>
      <w:r>
        <w:separator/>
      </w:r>
    </w:p>
    <w:p w14:paraId="00F2BADD" w14:textId="77777777" w:rsidR="002F7200" w:rsidRDefault="002F7200"/>
  </w:endnote>
  <w:endnote w:type="continuationSeparator" w:id="0">
    <w:p w14:paraId="7FDAA016" w14:textId="77777777" w:rsidR="002F7200" w:rsidRDefault="002F7200" w:rsidP="005058B3">
      <w:pPr>
        <w:spacing w:line="240" w:lineRule="auto"/>
      </w:pPr>
      <w:r>
        <w:continuationSeparator/>
      </w:r>
    </w:p>
    <w:p w14:paraId="013C7065" w14:textId="77777777" w:rsidR="002F7200" w:rsidRDefault="002F7200"/>
  </w:endnote>
  <w:endnote w:type="continuationNotice" w:id="1">
    <w:p w14:paraId="3CDE73E2" w14:textId="77777777" w:rsidR="002F7200" w:rsidRDefault="002F72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DM Sans">
    <w:altName w:val="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5EEF" w14:textId="77777777" w:rsidR="00D7532D" w:rsidRDefault="00D75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4C5C" w14:textId="7B044005" w:rsidR="0028229C" w:rsidRDefault="0028229C" w:rsidP="001A3965">
    <w:pPr>
      <w:pStyle w:val="Footer"/>
      <w:tabs>
        <w:tab w:val="right" w:pos="9900"/>
      </w:tabs>
      <w:rPr>
        <w:sz w:val="18"/>
        <w:szCs w:val="18"/>
      </w:rPr>
    </w:pPr>
    <w:r>
      <w:rPr>
        <w:sz w:val="18"/>
        <w:szCs w:val="18"/>
      </w:rPr>
      <w:t>________________________________________________________________________________________________________</w:t>
    </w:r>
  </w:p>
  <w:p w14:paraId="310E55BE" w14:textId="2B12BB41" w:rsidR="0028229C" w:rsidRPr="001A3965" w:rsidRDefault="0028229C" w:rsidP="00CA4676">
    <w:pPr>
      <w:pStyle w:val="Footer"/>
      <w:rPr>
        <w:sz w:val="18"/>
        <w:szCs w:val="18"/>
      </w:rPr>
    </w:pPr>
    <w:r w:rsidRPr="00B807D4">
      <w:rPr>
        <w:b/>
        <w:sz w:val="18"/>
        <w:szCs w:val="18"/>
      </w:rPr>
      <w:t xml:space="preserve">Southern California </w:t>
    </w:r>
    <w:r>
      <w:rPr>
        <w:b/>
        <w:sz w:val="18"/>
        <w:szCs w:val="18"/>
      </w:rPr>
      <w:t>Regional Energy Network</w:t>
    </w:r>
    <w:r>
      <w:rPr>
        <w:sz w:val="18"/>
        <w:szCs w:val="18"/>
      </w:rPr>
      <w:tab/>
    </w:r>
    <w:r w:rsidRPr="001A3965">
      <w:rPr>
        <w:sz w:val="18"/>
        <w:szCs w:val="18"/>
      </w:rPr>
      <w:t xml:space="preserve">Page </w:t>
    </w:r>
    <w:r w:rsidRPr="001A3965">
      <w:rPr>
        <w:b/>
        <w:bCs/>
        <w:sz w:val="18"/>
        <w:szCs w:val="18"/>
      </w:rPr>
      <w:fldChar w:fldCharType="begin"/>
    </w:r>
    <w:r w:rsidRPr="001A3965">
      <w:rPr>
        <w:b/>
        <w:bCs/>
        <w:sz w:val="18"/>
        <w:szCs w:val="18"/>
      </w:rPr>
      <w:instrText xml:space="preserve"> PAGE  \* Arabic  \* MERGEFORMAT </w:instrText>
    </w:r>
    <w:r w:rsidRPr="001A3965">
      <w:rPr>
        <w:b/>
        <w:bCs/>
        <w:sz w:val="18"/>
        <w:szCs w:val="18"/>
      </w:rPr>
      <w:fldChar w:fldCharType="separate"/>
    </w:r>
    <w:r>
      <w:rPr>
        <w:b/>
        <w:bCs/>
        <w:noProof/>
        <w:sz w:val="18"/>
        <w:szCs w:val="18"/>
      </w:rPr>
      <w:t>16</w:t>
    </w:r>
    <w:r w:rsidRPr="001A3965">
      <w:rPr>
        <w:b/>
        <w:bCs/>
        <w:sz w:val="18"/>
        <w:szCs w:val="18"/>
      </w:rPr>
      <w:fldChar w:fldCharType="end"/>
    </w:r>
    <w:r w:rsidRPr="001A3965">
      <w:rPr>
        <w:sz w:val="18"/>
        <w:szCs w:val="18"/>
      </w:rPr>
      <w:t xml:space="preserve"> of </w:t>
    </w:r>
    <w:r w:rsidRPr="001A3965">
      <w:rPr>
        <w:b/>
        <w:bCs/>
        <w:sz w:val="18"/>
        <w:szCs w:val="18"/>
      </w:rPr>
      <w:fldChar w:fldCharType="begin"/>
    </w:r>
    <w:r w:rsidRPr="001A3965">
      <w:rPr>
        <w:b/>
        <w:bCs/>
        <w:sz w:val="18"/>
        <w:szCs w:val="18"/>
      </w:rPr>
      <w:instrText xml:space="preserve"> NUMPAGES  \* Arabic  \* MERGEFORMAT </w:instrText>
    </w:r>
    <w:r w:rsidRPr="001A3965">
      <w:rPr>
        <w:b/>
        <w:bCs/>
        <w:sz w:val="18"/>
        <w:szCs w:val="18"/>
      </w:rPr>
      <w:fldChar w:fldCharType="separate"/>
    </w:r>
    <w:r>
      <w:rPr>
        <w:b/>
        <w:bCs/>
        <w:noProof/>
        <w:sz w:val="18"/>
        <w:szCs w:val="18"/>
      </w:rPr>
      <w:t>20</w:t>
    </w:r>
    <w:r w:rsidRPr="001A3965">
      <w:rPr>
        <w:b/>
        <w:bCs/>
        <w:sz w:val="18"/>
        <w:szCs w:val="18"/>
      </w:rPr>
      <w:fldChar w:fldCharType="end"/>
    </w:r>
    <w:r w:rsidRPr="001A3965">
      <w:rPr>
        <w:b/>
        <w:bCs/>
        <w:sz w:val="18"/>
        <w:szCs w:val="18"/>
      </w:rPr>
      <w:tab/>
    </w:r>
    <w:r>
      <w:rPr>
        <w:b/>
        <w:bCs/>
        <w:sz w:val="18"/>
        <w:szCs w:val="18"/>
      </w:rPr>
      <w:t xml:space="preserve"> </w:t>
    </w:r>
    <w:r w:rsidRPr="00B807D4">
      <w:rPr>
        <w:i/>
        <w:sz w:val="18"/>
        <w:szCs w:val="18"/>
      </w:rPr>
      <w:t>Version Filing Date</w:t>
    </w:r>
    <w:r w:rsidRPr="001A3965">
      <w:rPr>
        <w:sz w:val="18"/>
        <w:szCs w:val="18"/>
      </w:rPr>
      <w:t xml:space="preserve">: </w:t>
    </w:r>
    <w:r w:rsidR="002634E6" w:rsidRPr="00193869">
      <w:rPr>
        <w:b/>
        <w:sz w:val="18"/>
        <w:szCs w:val="18"/>
      </w:rPr>
      <w:t>08</w:t>
    </w:r>
    <w:r w:rsidRPr="00193869">
      <w:rPr>
        <w:b/>
        <w:sz w:val="18"/>
        <w:szCs w:val="18"/>
      </w:rPr>
      <w:t>/</w:t>
    </w:r>
    <w:r w:rsidR="00C90E8B" w:rsidRPr="00193869">
      <w:rPr>
        <w:b/>
        <w:sz w:val="18"/>
        <w:szCs w:val="18"/>
      </w:rPr>
      <w:t>1</w:t>
    </w:r>
    <w:r w:rsidR="009806DB" w:rsidRPr="00193869">
      <w:rPr>
        <w:b/>
        <w:sz w:val="18"/>
        <w:szCs w:val="18"/>
      </w:rPr>
      <w:t>5</w:t>
    </w:r>
    <w:r w:rsidRPr="00193869">
      <w:rPr>
        <w:b/>
        <w:sz w:val="18"/>
        <w:szCs w:val="18"/>
      </w:rPr>
      <w:t>/</w:t>
    </w:r>
    <w:r w:rsidR="002F68E8" w:rsidRPr="00193869">
      <w:rPr>
        <w:b/>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F5057" w14:textId="77777777" w:rsidR="00D7532D" w:rsidRDefault="00D753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A68D" w14:textId="6D18ED49" w:rsidR="0028229C" w:rsidRDefault="0028229C" w:rsidP="001A3965">
    <w:pPr>
      <w:pStyle w:val="Footer"/>
      <w:tabs>
        <w:tab w:val="right" w:pos="9900"/>
      </w:tabs>
      <w:rPr>
        <w:sz w:val="18"/>
        <w:szCs w:val="18"/>
      </w:rPr>
    </w:pPr>
    <w:r>
      <w:rPr>
        <w:sz w:val="18"/>
        <w:szCs w:val="18"/>
      </w:rPr>
      <w:t>________________________________________________________________________________________________________</w:t>
    </w:r>
  </w:p>
  <w:p w14:paraId="00CE36A2" w14:textId="33183A4C" w:rsidR="0028229C" w:rsidRPr="001A3965" w:rsidRDefault="0028229C" w:rsidP="00CA4676">
    <w:pPr>
      <w:pStyle w:val="Footer"/>
      <w:rPr>
        <w:sz w:val="18"/>
        <w:szCs w:val="18"/>
      </w:rPr>
    </w:pPr>
    <w:r w:rsidRPr="00B807D4">
      <w:rPr>
        <w:b/>
        <w:sz w:val="18"/>
        <w:szCs w:val="18"/>
      </w:rPr>
      <w:t>Southern California</w:t>
    </w:r>
    <w:r>
      <w:rPr>
        <w:b/>
        <w:sz w:val="18"/>
        <w:szCs w:val="18"/>
      </w:rPr>
      <w:t xml:space="preserve"> Regional Energy Network</w:t>
    </w:r>
    <w:r>
      <w:rPr>
        <w:sz w:val="18"/>
        <w:szCs w:val="18"/>
      </w:rPr>
      <w:tab/>
      <w:t xml:space="preserve">[Appendix} </w:t>
    </w:r>
    <w:r w:rsidRPr="001A3965">
      <w:rPr>
        <w:sz w:val="18"/>
        <w:szCs w:val="18"/>
      </w:rPr>
      <w:t xml:space="preserve">Page </w:t>
    </w:r>
    <w:r w:rsidRPr="001A3965">
      <w:rPr>
        <w:b/>
        <w:bCs/>
        <w:sz w:val="18"/>
        <w:szCs w:val="18"/>
      </w:rPr>
      <w:fldChar w:fldCharType="begin"/>
    </w:r>
    <w:r w:rsidRPr="001A3965">
      <w:rPr>
        <w:b/>
        <w:bCs/>
        <w:sz w:val="18"/>
        <w:szCs w:val="18"/>
      </w:rPr>
      <w:instrText xml:space="preserve"> PAGE  \* Arabic  \* MERGEFORMAT </w:instrText>
    </w:r>
    <w:r w:rsidRPr="001A3965">
      <w:rPr>
        <w:b/>
        <w:bCs/>
        <w:sz w:val="18"/>
        <w:szCs w:val="18"/>
      </w:rPr>
      <w:fldChar w:fldCharType="separate"/>
    </w:r>
    <w:r>
      <w:rPr>
        <w:b/>
        <w:bCs/>
        <w:noProof/>
        <w:sz w:val="18"/>
        <w:szCs w:val="18"/>
      </w:rPr>
      <w:t>20</w:t>
    </w:r>
    <w:r w:rsidRPr="001A3965">
      <w:rPr>
        <w:b/>
        <w:bCs/>
        <w:sz w:val="18"/>
        <w:szCs w:val="18"/>
      </w:rPr>
      <w:fldChar w:fldCharType="end"/>
    </w:r>
    <w:r w:rsidRPr="001A3965">
      <w:rPr>
        <w:sz w:val="18"/>
        <w:szCs w:val="18"/>
      </w:rPr>
      <w:t xml:space="preserve"> of </w:t>
    </w:r>
    <w:r w:rsidRPr="001A3965">
      <w:rPr>
        <w:b/>
        <w:bCs/>
        <w:sz w:val="18"/>
        <w:szCs w:val="18"/>
      </w:rPr>
      <w:fldChar w:fldCharType="begin"/>
    </w:r>
    <w:r w:rsidRPr="001A3965">
      <w:rPr>
        <w:b/>
        <w:bCs/>
        <w:sz w:val="18"/>
        <w:szCs w:val="18"/>
      </w:rPr>
      <w:instrText xml:space="preserve"> NUMPAGES  \* Arabic  \* MERGEFORMAT </w:instrText>
    </w:r>
    <w:r w:rsidRPr="001A3965">
      <w:rPr>
        <w:b/>
        <w:bCs/>
        <w:sz w:val="18"/>
        <w:szCs w:val="18"/>
      </w:rPr>
      <w:fldChar w:fldCharType="separate"/>
    </w:r>
    <w:r>
      <w:rPr>
        <w:b/>
        <w:bCs/>
        <w:noProof/>
        <w:sz w:val="18"/>
        <w:szCs w:val="18"/>
      </w:rPr>
      <w:t>20</w:t>
    </w:r>
    <w:r w:rsidRPr="001A3965">
      <w:rPr>
        <w:b/>
        <w:bCs/>
        <w:sz w:val="18"/>
        <w:szCs w:val="18"/>
      </w:rPr>
      <w:fldChar w:fldCharType="end"/>
    </w:r>
    <w:r w:rsidRPr="001A3965">
      <w:rPr>
        <w:b/>
        <w:bCs/>
        <w:sz w:val="18"/>
        <w:szCs w:val="18"/>
      </w:rPr>
      <w:tab/>
    </w:r>
    <w:r w:rsidRPr="00B807D4">
      <w:rPr>
        <w:i/>
        <w:sz w:val="18"/>
        <w:szCs w:val="18"/>
      </w:rPr>
      <w:t>Version Filing Date</w:t>
    </w:r>
    <w:r w:rsidRPr="001A3965">
      <w:rPr>
        <w:sz w:val="18"/>
        <w:szCs w:val="18"/>
      </w:rPr>
      <w:t xml:space="preserve">: </w:t>
    </w:r>
    <w:r w:rsidR="00FF3868">
      <w:rPr>
        <w:b/>
        <w:sz w:val="18"/>
        <w:szCs w:val="18"/>
      </w:rPr>
      <w:t>08/15/2024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43BE" w14:textId="58A73062" w:rsidR="00F24749" w:rsidRPr="001A3965" w:rsidRDefault="00F24749" w:rsidP="00CA467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E1928" w14:textId="77777777" w:rsidR="002F7200" w:rsidRDefault="002F7200" w:rsidP="005058B3">
      <w:pPr>
        <w:spacing w:line="240" w:lineRule="auto"/>
      </w:pPr>
      <w:r>
        <w:separator/>
      </w:r>
    </w:p>
    <w:p w14:paraId="4257ED85" w14:textId="77777777" w:rsidR="002F7200" w:rsidRDefault="002F7200"/>
  </w:footnote>
  <w:footnote w:type="continuationSeparator" w:id="0">
    <w:p w14:paraId="288AE33F" w14:textId="77777777" w:rsidR="002F7200" w:rsidRDefault="002F7200" w:rsidP="005058B3">
      <w:pPr>
        <w:spacing w:line="240" w:lineRule="auto"/>
      </w:pPr>
      <w:r>
        <w:continuationSeparator/>
      </w:r>
    </w:p>
    <w:p w14:paraId="733CB6DC" w14:textId="77777777" w:rsidR="002F7200" w:rsidRDefault="002F7200"/>
  </w:footnote>
  <w:footnote w:type="continuationNotice" w:id="1">
    <w:p w14:paraId="6172FFD7" w14:textId="77777777" w:rsidR="002F7200" w:rsidRDefault="002F7200">
      <w:pPr>
        <w:spacing w:line="240" w:lineRule="auto"/>
      </w:pPr>
    </w:p>
  </w:footnote>
  <w:footnote w:id="2">
    <w:p w14:paraId="50242288" w14:textId="5507D888" w:rsidR="0028229C" w:rsidRPr="00F029A4" w:rsidRDefault="0028229C">
      <w:pPr>
        <w:pStyle w:val="FootnoteText"/>
      </w:pPr>
      <w:r w:rsidRPr="00F029A4">
        <w:rPr>
          <w:rStyle w:val="FootnoteReference"/>
        </w:rPr>
        <w:footnoteRef/>
      </w:r>
      <w:r>
        <w:tab/>
      </w:r>
      <w:r w:rsidRPr="00F029A4">
        <w:t xml:space="preserve">IP Guidance from D.15-10-028: </w:t>
      </w:r>
      <w:r>
        <w:t xml:space="preserve"> "</w:t>
      </w:r>
      <w:r w:rsidRPr="00B807D4">
        <w:rPr>
          <w:i/>
        </w:rPr>
        <w:t>Describe how the energy efficiency (EE) program will deliver savings (upstream, downstream, direct install, etc.), how it will reach customers, and the services and</w:t>
      </w:r>
      <w:r>
        <w:rPr>
          <w:i/>
        </w:rPr>
        <w:t xml:space="preserve"> [sic]</w:t>
      </w:r>
      <w:r w:rsidRPr="00B807D4">
        <w:rPr>
          <w:i/>
        </w:rPr>
        <w:t xml:space="preserve"> it will provide</w:t>
      </w:r>
      <w:r w:rsidRPr="00F029A4">
        <w:t>.</w:t>
      </w:r>
      <w:r>
        <w:t>"</w:t>
      </w:r>
    </w:p>
  </w:footnote>
  <w:footnote w:id="3">
    <w:p w14:paraId="288E7FA6" w14:textId="7E49EAC0" w:rsidR="0003535C" w:rsidRDefault="0003535C">
      <w:pPr>
        <w:pStyle w:val="FootnoteText"/>
      </w:pPr>
      <w:r>
        <w:rPr>
          <w:rStyle w:val="FootnoteReference"/>
        </w:rPr>
        <w:footnoteRef/>
      </w:r>
      <w:r>
        <w:t xml:space="preserve"> </w:t>
      </w:r>
      <w:r w:rsidRPr="0003535C">
        <w:t>CPUC Decision 18-05-041, page 42.</w:t>
      </w:r>
    </w:p>
  </w:footnote>
  <w:footnote w:id="4">
    <w:p w14:paraId="3662504B" w14:textId="77777777" w:rsidR="005840CB" w:rsidRDefault="005840CB" w:rsidP="005840CB">
      <w:pPr>
        <w:pStyle w:val="FootnoteText"/>
      </w:pPr>
      <w:r>
        <w:rPr>
          <w:rStyle w:val="FootnoteReference"/>
        </w:rPr>
        <w:footnoteRef/>
      </w:r>
      <w:r>
        <w:t xml:space="preserve"> Apartment Hunters: Programs Searching for Energy Savings in Multifamily Buildings, ACEEE, December 2013</w:t>
      </w:r>
    </w:p>
  </w:footnote>
  <w:footnote w:id="5">
    <w:p w14:paraId="74AF3026" w14:textId="77777777" w:rsidR="005840CB" w:rsidRDefault="005840CB" w:rsidP="005840CB">
      <w:pPr>
        <w:pStyle w:val="FootnoteText"/>
      </w:pPr>
      <w:r>
        <w:rPr>
          <w:rStyle w:val="FootnoteReference"/>
        </w:rPr>
        <w:footnoteRef/>
      </w:r>
      <w:r>
        <w:t xml:space="preserve"> An Overview of Affordable Multifamily Programs: Best Practices and Context for Utilities, ACEEE, September 2021</w:t>
      </w:r>
    </w:p>
  </w:footnote>
  <w:footnote w:id="6">
    <w:p w14:paraId="154D9523" w14:textId="67012B47" w:rsidR="0028229C" w:rsidRPr="00F029A4" w:rsidRDefault="0028229C">
      <w:pPr>
        <w:pStyle w:val="FootnoteText"/>
      </w:pPr>
      <w:r w:rsidRPr="00F029A4">
        <w:rPr>
          <w:rStyle w:val="FootnoteReference"/>
        </w:rPr>
        <w:footnoteRef/>
      </w:r>
      <w:r w:rsidRPr="00F029A4">
        <w:t xml:space="preserve"> </w:t>
      </w:r>
      <w:r>
        <w:tab/>
      </w:r>
      <w:r w:rsidRPr="00BD2693">
        <w:t>IP Guidance from D.15-10-028:  "</w:t>
      </w:r>
      <w:r w:rsidRPr="00BD2693">
        <w:rPr>
          <w:i/>
        </w:rPr>
        <w:t>It is in the implementation plans that we want to see at least one metric for each program/strategy/sub-sector/intervention strategy; more than one where appropriate</w:t>
      </w:r>
      <w:r w:rsidRPr="00BD2693">
        <w:t xml:space="preserve">…. </w:t>
      </w:r>
      <w:r w:rsidRPr="00BD2693">
        <w:rPr>
          <w:i/>
        </w:rPr>
        <w:t>Implementation plans will contain metrics, as already discussed. PAs are free to start with a clean slate in developing metrics and associated reporting requirements, but for all programs will continue to provide monthly cost reports, and for resource programs will provide monthly savings data as well</w:t>
      </w:r>
      <w:r w:rsidRPr="00BD2693">
        <w:t>."</w:t>
      </w:r>
    </w:p>
  </w:footnote>
  <w:footnote w:id="7">
    <w:p w14:paraId="2FEE76DF" w14:textId="54F79737" w:rsidR="00431C2E" w:rsidRDefault="00431C2E">
      <w:pPr>
        <w:pStyle w:val="FootnoteText"/>
      </w:pPr>
      <w:r w:rsidRPr="00BD2693">
        <w:rPr>
          <w:rStyle w:val="FootnoteReference"/>
        </w:rPr>
        <w:footnoteRef/>
      </w:r>
      <w:r w:rsidRPr="00BD2693">
        <w:t xml:space="preserve"> D.18-05-041, page 20-21 and Ordering Paragraph 7</w:t>
      </w:r>
    </w:p>
  </w:footnote>
  <w:footnote w:id="8">
    <w:p w14:paraId="2F09DC3D" w14:textId="77777777" w:rsidR="002D5D30" w:rsidRPr="00BD2693" w:rsidRDefault="002D5D30" w:rsidP="002D5D30">
      <w:pPr>
        <w:pStyle w:val="FootnoteText"/>
        <w:rPr>
          <w:szCs w:val="18"/>
        </w:rPr>
      </w:pPr>
      <w:r w:rsidRPr="00BD2693">
        <w:rPr>
          <w:rStyle w:val="FootnoteReference"/>
          <w:szCs w:val="18"/>
        </w:rPr>
        <w:footnoteRef/>
      </w:r>
      <w:r w:rsidRPr="00BD2693">
        <w:rPr>
          <w:szCs w:val="18"/>
        </w:rPr>
        <w:t xml:space="preserve"> </w:t>
      </w:r>
      <w:r w:rsidRPr="00BD2693">
        <w:rPr>
          <w:szCs w:val="18"/>
          <w:bdr w:val="none" w:sz="0" w:space="0" w:color="auto" w:frame="1"/>
          <w:shd w:val="clear" w:color="auto" w:fill="FFFFFF" w:themeFill="background1"/>
        </w:rPr>
        <w:t>D.18-10-008, Ordering Paragraph 1-2 and Attachment B, Section A-B, page B-1.</w:t>
      </w:r>
    </w:p>
  </w:footnote>
  <w:footnote w:id="9">
    <w:p w14:paraId="5356F6F7" w14:textId="3908A342" w:rsidR="00105537" w:rsidRDefault="00105537">
      <w:pPr>
        <w:pStyle w:val="FootnoteText"/>
      </w:pPr>
      <w:r w:rsidRPr="00BD2693">
        <w:rPr>
          <w:rStyle w:val="FootnoteReference"/>
        </w:rPr>
        <w:footnoteRef/>
      </w:r>
      <w:r w:rsidRPr="00BD2693">
        <w:t xml:space="preserve"> </w:t>
      </w:r>
      <w:r w:rsidRPr="00BD2693">
        <w:rPr>
          <w:lang w:val="fr-FR"/>
        </w:rPr>
        <w:t xml:space="preserve">D.18-10-008, </w:t>
      </w:r>
      <w:proofErr w:type="spellStart"/>
      <w:r w:rsidRPr="00BD2693">
        <w:rPr>
          <w:lang w:val="fr-FR"/>
        </w:rPr>
        <w:t>Attachment</w:t>
      </w:r>
      <w:proofErr w:type="spellEnd"/>
      <w:r w:rsidRPr="00BD2693">
        <w:rPr>
          <w:lang w:val="fr-FR"/>
        </w:rPr>
        <w:t xml:space="preserve"> B, Section D, page B-9.</w:t>
      </w:r>
    </w:p>
  </w:footnote>
  <w:footnote w:id="10">
    <w:p w14:paraId="2A92C006" w14:textId="2A2ACA71" w:rsidR="00FD28FC" w:rsidRDefault="00FD28FC">
      <w:pPr>
        <w:pStyle w:val="FootnoteText"/>
      </w:pPr>
      <w:r w:rsidRPr="00BD2693">
        <w:rPr>
          <w:rStyle w:val="FootnoteReference"/>
        </w:rPr>
        <w:footnoteRef/>
      </w:r>
      <w:r w:rsidRPr="00BD2693">
        <w:t xml:space="preserve"> The Program will </w:t>
      </w:r>
      <w:r w:rsidR="00325622" w:rsidRPr="00BD2693">
        <w:t xml:space="preserve">review and update measure costs to align with current market conditions. </w:t>
      </w:r>
    </w:p>
  </w:footnote>
  <w:footnote w:id="11">
    <w:p w14:paraId="59E1C980" w14:textId="77777777" w:rsidR="004C2BD1" w:rsidRDefault="004C2BD1" w:rsidP="004C2BD1">
      <w:pPr>
        <w:pStyle w:val="FootnoteText"/>
      </w:pPr>
      <w:r>
        <w:rPr>
          <w:rStyle w:val="FootnoteReference"/>
        </w:rPr>
        <w:footnoteRef/>
      </w:r>
      <w:r>
        <w:t xml:space="preserve"> </w:t>
      </w:r>
      <w:r w:rsidRPr="0003535C">
        <w:t>CPUC Decision 18-05-041, page 42.</w:t>
      </w:r>
    </w:p>
  </w:footnote>
  <w:footnote w:id="12">
    <w:p w14:paraId="0E21A440" w14:textId="77777777" w:rsidR="007F6403" w:rsidRDefault="007F6403" w:rsidP="007F6403">
      <w:pPr>
        <w:pStyle w:val="FootnoteText"/>
      </w:pPr>
      <w:r w:rsidRPr="00BD2693">
        <w:rPr>
          <w:rStyle w:val="FootnoteReference"/>
        </w:rPr>
        <w:footnoteRef/>
      </w:r>
      <w:r w:rsidRPr="00BD2693">
        <w:t xml:space="preserve"> The Program will review and update measure costs to align with current market conditions.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A1EA" w14:textId="00CC4BC7" w:rsidR="00D7532D" w:rsidRDefault="00A62208">
    <w:pPr>
      <w:pStyle w:val="Header"/>
    </w:pPr>
    <w:r>
      <w:rPr>
        <w:noProof/>
      </w:rPr>
      <w:pict w14:anchorId="024A8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945047" o:spid="_x0000_s1028"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3EC2" w14:textId="54B84241" w:rsidR="0028229C" w:rsidRPr="001A3965" w:rsidRDefault="00A62208" w:rsidP="001A3965">
    <w:pPr>
      <w:pStyle w:val="Header"/>
      <w:pBdr>
        <w:bottom w:val="single" w:sz="4" w:space="1" w:color="auto"/>
      </w:pBdr>
      <w:rPr>
        <w:b/>
        <w:i/>
        <w:sz w:val="18"/>
        <w:szCs w:val="18"/>
      </w:rPr>
    </w:pPr>
    <w:r>
      <w:rPr>
        <w:noProof/>
      </w:rPr>
      <w:pict w14:anchorId="16339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945048" o:spid="_x0000_s1029"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28229C" w:rsidRPr="001A3965">
      <w:rPr>
        <w:b/>
        <w:i/>
        <w:sz w:val="18"/>
        <w:szCs w:val="18"/>
      </w:rPr>
      <w:t xml:space="preserve">Implementation Plan – </w:t>
    </w:r>
    <w:r w:rsidR="00F609B3">
      <w:rPr>
        <w:b/>
        <w:i/>
        <w:sz w:val="18"/>
        <w:szCs w:val="18"/>
      </w:rPr>
      <w:t>Small HTR MF</w:t>
    </w:r>
    <w:r w:rsidR="00AE5903">
      <w:rPr>
        <w:b/>
        <w:i/>
        <w:sz w:val="18"/>
        <w:szCs w:val="18"/>
      </w:rPr>
      <w:t xml:space="preserve"> DI </w:t>
    </w:r>
    <w:r w:rsidR="0028229C">
      <w:rPr>
        <w:b/>
        <w:i/>
        <w:sz w:val="18"/>
        <w:szCs w:val="18"/>
      </w:rPr>
      <w:t>Program</w:t>
    </w:r>
    <w:r w:rsidR="0028229C" w:rsidRPr="001A3965">
      <w:rPr>
        <w:b/>
        <w:i/>
        <w:sz w:val="18"/>
        <w:szCs w:val="18"/>
      </w:rPr>
      <w:tab/>
    </w:r>
    <w:r w:rsidR="0028229C" w:rsidRPr="001A3965">
      <w:rPr>
        <w:b/>
        <w:i/>
        <w:sz w:val="18"/>
        <w:szCs w:val="18"/>
      </w:rPr>
      <w:tab/>
    </w:r>
    <w:r w:rsidR="0028229C" w:rsidRPr="001A3965">
      <w:rPr>
        <w:i/>
        <w:sz w:val="18"/>
        <w:szCs w:val="18"/>
      </w:rPr>
      <w:t>Program ID#:</w:t>
    </w:r>
    <w:r w:rsidR="0028229C" w:rsidRPr="001A3965">
      <w:rPr>
        <w:b/>
        <w:i/>
        <w:sz w:val="18"/>
        <w:szCs w:val="18"/>
      </w:rPr>
      <w:t xml:space="preserve"> </w:t>
    </w:r>
    <w:r w:rsidR="0028229C">
      <w:rPr>
        <w:b/>
        <w:i/>
        <w:sz w:val="18"/>
        <w:szCs w:val="18"/>
      </w:rPr>
      <w:t>SCR-RES-</w:t>
    </w:r>
    <w:r w:rsidR="002F68E8">
      <w:rPr>
        <w:b/>
        <w:i/>
        <w:sz w:val="18"/>
        <w:szCs w:val="18"/>
      </w:rPr>
      <w:t>A5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FA87" w14:textId="4AF5C503" w:rsidR="00D7532D" w:rsidRDefault="00A62208">
    <w:pPr>
      <w:pStyle w:val="Header"/>
    </w:pPr>
    <w:r>
      <w:rPr>
        <w:noProof/>
      </w:rPr>
      <w:pict w14:anchorId="4C035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945046" o:spid="_x0000_s1027"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CC78" w14:textId="75D43979" w:rsidR="00A62208" w:rsidRDefault="00A62208">
    <w:pPr>
      <w:pStyle w:val="Header"/>
    </w:pPr>
    <w:r>
      <w:rPr>
        <w:noProof/>
      </w:rPr>
      <w:pict w14:anchorId="52327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945050" o:spid="_x0000_s1031"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2413C" w14:textId="7E37CA1D" w:rsidR="00A62208" w:rsidRDefault="00A62208">
    <w:pPr>
      <w:pStyle w:val="Header"/>
    </w:pPr>
    <w:r>
      <w:rPr>
        <w:noProof/>
      </w:rPr>
      <w:pict w14:anchorId="015A3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945051" o:spid="_x0000_s1032"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69B99" w14:textId="2C77AE46" w:rsidR="00A62208" w:rsidRDefault="00A62208">
    <w:pPr>
      <w:pStyle w:val="Header"/>
    </w:pPr>
    <w:r>
      <w:rPr>
        <w:noProof/>
      </w:rPr>
      <w:pict w14:anchorId="29729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945049" o:spid="_x0000_s1030"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D368" w14:textId="18009E0A" w:rsidR="00A62208" w:rsidRDefault="00A62208">
    <w:pPr>
      <w:pStyle w:val="Header"/>
    </w:pPr>
    <w:r>
      <w:rPr>
        <w:noProof/>
      </w:rPr>
      <w:pict w14:anchorId="78B6C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945053" o:spid="_x0000_s1034"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949AF" w14:textId="0BA968FD" w:rsidR="00F24749" w:rsidRPr="00074DDA" w:rsidRDefault="00A62208" w:rsidP="00074DDA">
    <w:pPr>
      <w:pStyle w:val="Header"/>
      <w:jc w:val="center"/>
      <w:rPr>
        <w:b/>
        <w:bCs/>
      </w:rPr>
    </w:pPr>
    <w:r>
      <w:rPr>
        <w:noProof/>
      </w:rPr>
      <w:pict w14:anchorId="6EA35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945054" o:spid="_x0000_s1035"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B45E" w14:textId="590F021C" w:rsidR="00A62208" w:rsidRDefault="00A62208">
    <w:pPr>
      <w:pStyle w:val="Header"/>
    </w:pPr>
    <w:r>
      <w:rPr>
        <w:noProof/>
      </w:rPr>
      <w:pict w14:anchorId="4182F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945052" o:spid="_x0000_s1033"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6A48F84"/>
    <w:lvl w:ilvl="0">
      <w:start w:val="1"/>
      <w:numFmt w:val="decimal"/>
      <w:pStyle w:val="ListNumber"/>
      <w:lvlText w:val="%1."/>
      <w:lvlJc w:val="left"/>
      <w:pPr>
        <w:ind w:left="1440" w:hanging="360"/>
      </w:pPr>
      <w:rPr>
        <w:rFonts w:hint="default"/>
      </w:rPr>
    </w:lvl>
  </w:abstractNum>
  <w:abstractNum w:abstractNumId="1" w15:restartNumberingAfterBreak="0">
    <w:nsid w:val="10123CF3"/>
    <w:multiLevelType w:val="hybridMultilevel"/>
    <w:tmpl w:val="A6DAA520"/>
    <w:lvl w:ilvl="0" w:tplc="1E10D470">
      <w:start w:val="1"/>
      <w:numFmt w:val="decimal"/>
      <w:lvlText w:val="%1."/>
      <w:lvlJc w:val="left"/>
      <w:pPr>
        <w:ind w:left="360" w:hanging="360"/>
      </w:pPr>
      <w:rPr>
        <w:rFonts w:hint="default"/>
        <w:b w:val="0"/>
        <w:bCs w:val="0"/>
        <w:i w:val="0"/>
        <w:iCs w:val="0"/>
        <w:color w:val="424242"/>
        <w:spacing w:val="-1"/>
        <w:w w:val="100"/>
        <w:sz w:val="22"/>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0DC022E"/>
    <w:multiLevelType w:val="hybridMultilevel"/>
    <w:tmpl w:val="CE30C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BE3548"/>
    <w:multiLevelType w:val="hybridMultilevel"/>
    <w:tmpl w:val="D49040AA"/>
    <w:lvl w:ilvl="0" w:tplc="0409000F">
      <w:start w:val="1"/>
      <w:numFmt w:val="decimal"/>
      <w:lvlText w:val="%1."/>
      <w:lvlJc w:val="left"/>
      <w:pPr>
        <w:ind w:left="720" w:hanging="360"/>
      </w:pPr>
      <w:rPr>
        <w:rFonts w:hint="default"/>
      </w:rPr>
    </w:lvl>
    <w:lvl w:ilvl="1" w:tplc="3E02443A">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F4286"/>
    <w:multiLevelType w:val="hybridMultilevel"/>
    <w:tmpl w:val="EA1E0D76"/>
    <w:lvl w:ilvl="0" w:tplc="D9FAEF16">
      <w:start w:val="1"/>
      <w:numFmt w:val="lowerLetter"/>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8E3868"/>
    <w:multiLevelType w:val="multilevel"/>
    <w:tmpl w:val="7DFE13DA"/>
    <w:styleLink w:val="ICFNumbers"/>
    <w:lvl w:ilvl="0">
      <w:start w:val="1"/>
      <w:numFmt w:val="decimal"/>
      <w:pStyle w:val="ICFNumber1"/>
      <w:lvlText w:val="%1."/>
      <w:lvlJc w:val="left"/>
      <w:pPr>
        <w:ind w:left="360" w:hanging="360"/>
      </w:pPr>
      <w:rPr>
        <w:rFonts w:hint="default"/>
      </w:rPr>
    </w:lvl>
    <w:lvl w:ilvl="1">
      <w:start w:val="1"/>
      <w:numFmt w:val="lowerLetter"/>
      <w:lvlText w:val="%2."/>
      <w:lvlJc w:val="left"/>
      <w:pPr>
        <w:ind w:left="864" w:hanging="288"/>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lef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left"/>
      <w:pPr>
        <w:ind w:left="2880" w:hanging="288"/>
      </w:pPr>
      <w:rPr>
        <w:rFonts w:hint="default"/>
      </w:rPr>
    </w:lvl>
  </w:abstractNum>
  <w:abstractNum w:abstractNumId="6" w15:restartNumberingAfterBreak="0">
    <w:nsid w:val="24324F7F"/>
    <w:multiLevelType w:val="hybridMultilevel"/>
    <w:tmpl w:val="F0129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13653A"/>
    <w:multiLevelType w:val="hybridMultilevel"/>
    <w:tmpl w:val="D34CAE90"/>
    <w:lvl w:ilvl="0" w:tplc="A9C454A0">
      <w:start w:val="1"/>
      <w:numFmt w:val="bullet"/>
      <w:pStyle w:val="HText4Bullets"/>
      <w:lvlText w:val=""/>
      <w:lvlJc w:val="left"/>
      <w:pPr>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B250DD"/>
    <w:multiLevelType w:val="hybridMultilevel"/>
    <w:tmpl w:val="03F05FBC"/>
    <w:lvl w:ilvl="0" w:tplc="F14EF2C4">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B0FB5"/>
    <w:multiLevelType w:val="hybridMultilevel"/>
    <w:tmpl w:val="254A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A2D5D"/>
    <w:multiLevelType w:val="hybridMultilevel"/>
    <w:tmpl w:val="0E16B2C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15:restartNumberingAfterBreak="0">
    <w:nsid w:val="3C0A7D95"/>
    <w:multiLevelType w:val="hybridMultilevel"/>
    <w:tmpl w:val="1214C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791007"/>
    <w:multiLevelType w:val="hybridMultilevel"/>
    <w:tmpl w:val="A198E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A047B0"/>
    <w:multiLevelType w:val="hybridMultilevel"/>
    <w:tmpl w:val="BC22E266"/>
    <w:lvl w:ilvl="0" w:tplc="AA0E8D8A">
      <w:start w:val="1"/>
      <w:numFmt w:val="lowerRoman"/>
      <w:pStyle w:val="Heading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51507"/>
    <w:multiLevelType w:val="hybridMultilevel"/>
    <w:tmpl w:val="BEB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5672C"/>
    <w:multiLevelType w:val="hybridMultilevel"/>
    <w:tmpl w:val="9B42DD5A"/>
    <w:lvl w:ilvl="0" w:tplc="871006A4">
      <w:start w:val="1"/>
      <w:numFmt w:val="lowerLetter"/>
      <w:pStyle w:val="Heading2"/>
      <w:lvlText w:val="%1."/>
      <w:lvlJc w:val="left"/>
      <w:pPr>
        <w:ind w:left="720" w:hanging="360"/>
      </w:pPr>
      <w:rPr>
        <w:rFonts w:hint="default"/>
      </w:rPr>
    </w:lvl>
    <w:lvl w:ilvl="1" w:tplc="56DA64B8">
      <w:start w:val="1"/>
      <w:numFmt w:val="upperLetter"/>
      <w:lvlText w:val="%2)"/>
      <w:lvlJc w:val="left"/>
      <w:pPr>
        <w:ind w:left="1350" w:hanging="360"/>
      </w:pPr>
      <w:rPr>
        <w:rFont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D23E1572">
      <w:start w:val="1"/>
      <w:numFmt w:val="upperLetter"/>
      <w:lvlText w:val="%5)"/>
      <w:lvlJc w:val="left"/>
      <w:pPr>
        <w:ind w:left="3510" w:hanging="360"/>
      </w:pPr>
      <w:rPr>
        <w:rFonts w:hint="default"/>
        <w:u w:val="none"/>
      </w:rPr>
    </w:lvl>
    <w:lvl w:ilvl="5" w:tplc="5388D8F8">
      <w:start w:val="1"/>
      <w:numFmt w:val="decimal"/>
      <w:lvlText w:val="%6)"/>
      <w:lvlJc w:val="left"/>
      <w:pPr>
        <w:ind w:left="4410" w:hanging="360"/>
      </w:pPr>
      <w:rPr>
        <w:rFonts w:hint="default"/>
      </w:r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45A4EA1"/>
    <w:multiLevelType w:val="hybridMultilevel"/>
    <w:tmpl w:val="6AA2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860D3"/>
    <w:multiLevelType w:val="hybridMultilevel"/>
    <w:tmpl w:val="A864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F30F5"/>
    <w:multiLevelType w:val="hybridMultilevel"/>
    <w:tmpl w:val="E8B4FCA4"/>
    <w:lvl w:ilvl="0" w:tplc="91CCC868">
      <w:start w:val="1"/>
      <w:numFmt w:val="bullet"/>
      <w:pStyle w:val="HText3Bullets"/>
      <w:lvlText w:val=""/>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0304C9F"/>
    <w:multiLevelType w:val="hybridMultilevel"/>
    <w:tmpl w:val="0C881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3F0AD0"/>
    <w:multiLevelType w:val="hybridMultilevel"/>
    <w:tmpl w:val="FC1EB13A"/>
    <w:lvl w:ilvl="0" w:tplc="80CECBE6">
      <w:start w:val="1"/>
      <w:numFmt w:val="decimal"/>
      <w:lvlText w:val="%1."/>
      <w:lvlJc w:val="left"/>
      <w:pPr>
        <w:tabs>
          <w:tab w:val="num" w:pos="360"/>
        </w:tabs>
        <w:ind w:left="360" w:hanging="360"/>
      </w:pPr>
    </w:lvl>
    <w:lvl w:ilvl="1" w:tplc="D352B112">
      <w:start w:val="1"/>
      <w:numFmt w:val="decimal"/>
      <w:lvlText w:val="%2."/>
      <w:lvlJc w:val="left"/>
      <w:pPr>
        <w:tabs>
          <w:tab w:val="num" w:pos="1080"/>
        </w:tabs>
        <w:ind w:left="1080" w:hanging="360"/>
      </w:pPr>
    </w:lvl>
    <w:lvl w:ilvl="2" w:tplc="91B0B530" w:tentative="1">
      <w:start w:val="1"/>
      <w:numFmt w:val="decimal"/>
      <w:lvlText w:val="%3."/>
      <w:lvlJc w:val="left"/>
      <w:pPr>
        <w:tabs>
          <w:tab w:val="num" w:pos="1800"/>
        </w:tabs>
        <w:ind w:left="1800" w:hanging="360"/>
      </w:pPr>
    </w:lvl>
    <w:lvl w:ilvl="3" w:tplc="7E526F5C" w:tentative="1">
      <w:start w:val="1"/>
      <w:numFmt w:val="decimal"/>
      <w:lvlText w:val="%4."/>
      <w:lvlJc w:val="left"/>
      <w:pPr>
        <w:tabs>
          <w:tab w:val="num" w:pos="2520"/>
        </w:tabs>
        <w:ind w:left="2520" w:hanging="360"/>
      </w:pPr>
    </w:lvl>
    <w:lvl w:ilvl="4" w:tplc="8C2A9F2E" w:tentative="1">
      <w:start w:val="1"/>
      <w:numFmt w:val="decimal"/>
      <w:lvlText w:val="%5."/>
      <w:lvlJc w:val="left"/>
      <w:pPr>
        <w:tabs>
          <w:tab w:val="num" w:pos="3240"/>
        </w:tabs>
        <w:ind w:left="3240" w:hanging="360"/>
      </w:pPr>
    </w:lvl>
    <w:lvl w:ilvl="5" w:tplc="29AAA9A4" w:tentative="1">
      <w:start w:val="1"/>
      <w:numFmt w:val="decimal"/>
      <w:lvlText w:val="%6."/>
      <w:lvlJc w:val="left"/>
      <w:pPr>
        <w:tabs>
          <w:tab w:val="num" w:pos="3960"/>
        </w:tabs>
        <w:ind w:left="3960" w:hanging="360"/>
      </w:pPr>
    </w:lvl>
    <w:lvl w:ilvl="6" w:tplc="9E6E90FE" w:tentative="1">
      <w:start w:val="1"/>
      <w:numFmt w:val="decimal"/>
      <w:lvlText w:val="%7."/>
      <w:lvlJc w:val="left"/>
      <w:pPr>
        <w:tabs>
          <w:tab w:val="num" w:pos="4680"/>
        </w:tabs>
        <w:ind w:left="4680" w:hanging="360"/>
      </w:pPr>
    </w:lvl>
    <w:lvl w:ilvl="7" w:tplc="E3805426" w:tentative="1">
      <w:start w:val="1"/>
      <w:numFmt w:val="decimal"/>
      <w:lvlText w:val="%8."/>
      <w:lvlJc w:val="left"/>
      <w:pPr>
        <w:tabs>
          <w:tab w:val="num" w:pos="5400"/>
        </w:tabs>
        <w:ind w:left="5400" w:hanging="360"/>
      </w:pPr>
    </w:lvl>
    <w:lvl w:ilvl="8" w:tplc="88B2962E" w:tentative="1">
      <w:start w:val="1"/>
      <w:numFmt w:val="decimal"/>
      <w:lvlText w:val="%9."/>
      <w:lvlJc w:val="left"/>
      <w:pPr>
        <w:tabs>
          <w:tab w:val="num" w:pos="6120"/>
        </w:tabs>
        <w:ind w:left="6120" w:hanging="360"/>
      </w:pPr>
    </w:lvl>
  </w:abstractNum>
  <w:abstractNum w:abstractNumId="21" w15:restartNumberingAfterBreak="0">
    <w:nsid w:val="640F4DEA"/>
    <w:multiLevelType w:val="hybridMultilevel"/>
    <w:tmpl w:val="93129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A6048A"/>
    <w:multiLevelType w:val="hybridMultilevel"/>
    <w:tmpl w:val="92F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52BAE"/>
    <w:multiLevelType w:val="hybridMultilevel"/>
    <w:tmpl w:val="DEF8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4694A"/>
    <w:multiLevelType w:val="hybridMultilevel"/>
    <w:tmpl w:val="38B03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8E1365"/>
    <w:multiLevelType w:val="hybridMultilevel"/>
    <w:tmpl w:val="9F06153C"/>
    <w:lvl w:ilvl="0" w:tplc="04090001">
      <w:start w:val="1"/>
      <w:numFmt w:val="bullet"/>
      <w:lvlText w:val=""/>
      <w:lvlJc w:val="left"/>
      <w:pPr>
        <w:ind w:left="720" w:hanging="360"/>
      </w:pPr>
      <w:rPr>
        <w:rFonts w:ascii="Symbol" w:hAnsi="Symbol" w:hint="default"/>
      </w:rPr>
    </w:lvl>
    <w:lvl w:ilvl="1" w:tplc="37480F0A">
      <w:numFmt w:val="bullet"/>
      <w:lvlText w:val="•"/>
      <w:lvlJc w:val="left"/>
      <w:pPr>
        <w:ind w:left="1470" w:hanging="39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55BE8"/>
    <w:multiLevelType w:val="hybridMultilevel"/>
    <w:tmpl w:val="395C0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5159821">
    <w:abstractNumId w:val="15"/>
  </w:num>
  <w:num w:numId="2" w16cid:durableId="1491672502">
    <w:abstractNumId w:val="18"/>
  </w:num>
  <w:num w:numId="3" w16cid:durableId="479926546">
    <w:abstractNumId w:val="0"/>
  </w:num>
  <w:num w:numId="4" w16cid:durableId="1854567250">
    <w:abstractNumId w:val="7"/>
  </w:num>
  <w:num w:numId="5" w16cid:durableId="1072629495">
    <w:abstractNumId w:val="8"/>
  </w:num>
  <w:num w:numId="6" w16cid:durableId="2075273832">
    <w:abstractNumId w:val="13"/>
  </w:num>
  <w:num w:numId="7" w16cid:durableId="1436823716">
    <w:abstractNumId w:val="15"/>
    <w:lvlOverride w:ilvl="0">
      <w:startOverride w:val="1"/>
    </w:lvlOverride>
  </w:num>
  <w:num w:numId="8" w16cid:durableId="784735677">
    <w:abstractNumId w:val="15"/>
    <w:lvlOverride w:ilvl="0">
      <w:startOverride w:val="1"/>
    </w:lvlOverride>
  </w:num>
  <w:num w:numId="9" w16cid:durableId="282729402">
    <w:abstractNumId w:val="24"/>
  </w:num>
  <w:num w:numId="10" w16cid:durableId="2010408186">
    <w:abstractNumId w:val="6"/>
  </w:num>
  <w:num w:numId="11" w16cid:durableId="67775591">
    <w:abstractNumId w:val="16"/>
  </w:num>
  <w:num w:numId="12" w16cid:durableId="278608065">
    <w:abstractNumId w:val="9"/>
  </w:num>
  <w:num w:numId="13" w16cid:durableId="1274675872">
    <w:abstractNumId w:val="10"/>
  </w:num>
  <w:num w:numId="14" w16cid:durableId="1689789310">
    <w:abstractNumId w:val="20"/>
  </w:num>
  <w:num w:numId="15" w16cid:durableId="1359040159">
    <w:abstractNumId w:val="25"/>
  </w:num>
  <w:num w:numId="16" w16cid:durableId="934047994">
    <w:abstractNumId w:val="22"/>
  </w:num>
  <w:num w:numId="17" w16cid:durableId="1306857601">
    <w:abstractNumId w:val="21"/>
  </w:num>
  <w:num w:numId="18" w16cid:durableId="762184134">
    <w:abstractNumId w:val="19"/>
  </w:num>
  <w:num w:numId="19" w16cid:durableId="2127236194">
    <w:abstractNumId w:val="12"/>
  </w:num>
  <w:num w:numId="20" w16cid:durableId="442306880">
    <w:abstractNumId w:val="2"/>
  </w:num>
  <w:num w:numId="21" w16cid:durableId="2017488515">
    <w:abstractNumId w:val="3"/>
  </w:num>
  <w:num w:numId="22" w16cid:durableId="1027171704">
    <w:abstractNumId w:val="26"/>
  </w:num>
  <w:num w:numId="23" w16cid:durableId="1663192162">
    <w:abstractNumId w:val="5"/>
  </w:num>
  <w:num w:numId="24" w16cid:durableId="695426851">
    <w:abstractNumId w:val="17"/>
  </w:num>
  <w:num w:numId="25" w16cid:durableId="794180241">
    <w:abstractNumId w:val="23"/>
  </w:num>
  <w:num w:numId="26" w16cid:durableId="908006505">
    <w:abstractNumId w:val="4"/>
  </w:num>
  <w:num w:numId="27" w16cid:durableId="42802169">
    <w:abstractNumId w:val="1"/>
  </w:num>
  <w:num w:numId="28" w16cid:durableId="1701083162">
    <w:abstractNumId w:val="14"/>
  </w:num>
  <w:num w:numId="29" w16cid:durableId="71659214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B3"/>
    <w:rsid w:val="0000148D"/>
    <w:rsid w:val="000014EA"/>
    <w:rsid w:val="00001A8C"/>
    <w:rsid w:val="00001F89"/>
    <w:rsid w:val="00004AE9"/>
    <w:rsid w:val="00012163"/>
    <w:rsid w:val="0001397E"/>
    <w:rsid w:val="000159D2"/>
    <w:rsid w:val="00016DA6"/>
    <w:rsid w:val="0002069C"/>
    <w:rsid w:val="000207A2"/>
    <w:rsid w:val="00020C0C"/>
    <w:rsid w:val="00026A05"/>
    <w:rsid w:val="000278A3"/>
    <w:rsid w:val="000300D2"/>
    <w:rsid w:val="00030398"/>
    <w:rsid w:val="000303B2"/>
    <w:rsid w:val="0003173A"/>
    <w:rsid w:val="000325FC"/>
    <w:rsid w:val="00033444"/>
    <w:rsid w:val="00034CA6"/>
    <w:rsid w:val="0003535C"/>
    <w:rsid w:val="000373D2"/>
    <w:rsid w:val="00037A03"/>
    <w:rsid w:val="000400BE"/>
    <w:rsid w:val="00040191"/>
    <w:rsid w:val="000403E1"/>
    <w:rsid w:val="00041223"/>
    <w:rsid w:val="00042536"/>
    <w:rsid w:val="00043EA5"/>
    <w:rsid w:val="00044492"/>
    <w:rsid w:val="00044F07"/>
    <w:rsid w:val="000467EF"/>
    <w:rsid w:val="00047C03"/>
    <w:rsid w:val="00051B2A"/>
    <w:rsid w:val="00054242"/>
    <w:rsid w:val="0005462C"/>
    <w:rsid w:val="000578CD"/>
    <w:rsid w:val="000611F6"/>
    <w:rsid w:val="00062C17"/>
    <w:rsid w:val="0006429C"/>
    <w:rsid w:val="00064998"/>
    <w:rsid w:val="00064DBD"/>
    <w:rsid w:val="00065EF1"/>
    <w:rsid w:val="000672FC"/>
    <w:rsid w:val="000705DE"/>
    <w:rsid w:val="00070FAF"/>
    <w:rsid w:val="00071C7A"/>
    <w:rsid w:val="00072F6D"/>
    <w:rsid w:val="000733EF"/>
    <w:rsid w:val="0007352C"/>
    <w:rsid w:val="00073C2D"/>
    <w:rsid w:val="00074DDA"/>
    <w:rsid w:val="000769BA"/>
    <w:rsid w:val="0008033F"/>
    <w:rsid w:val="00080AE4"/>
    <w:rsid w:val="00081CBE"/>
    <w:rsid w:val="00082B6E"/>
    <w:rsid w:val="00083EED"/>
    <w:rsid w:val="00084005"/>
    <w:rsid w:val="00084D17"/>
    <w:rsid w:val="00087F27"/>
    <w:rsid w:val="000956D5"/>
    <w:rsid w:val="0009680D"/>
    <w:rsid w:val="000979BC"/>
    <w:rsid w:val="00097A19"/>
    <w:rsid w:val="000A20C2"/>
    <w:rsid w:val="000A3BA0"/>
    <w:rsid w:val="000A3BC1"/>
    <w:rsid w:val="000A50DC"/>
    <w:rsid w:val="000A5D4D"/>
    <w:rsid w:val="000A64BA"/>
    <w:rsid w:val="000A730D"/>
    <w:rsid w:val="000A7A07"/>
    <w:rsid w:val="000B0324"/>
    <w:rsid w:val="000B14A2"/>
    <w:rsid w:val="000B3CF9"/>
    <w:rsid w:val="000B5A37"/>
    <w:rsid w:val="000B7EDB"/>
    <w:rsid w:val="000C04DB"/>
    <w:rsid w:val="000C1284"/>
    <w:rsid w:val="000C2089"/>
    <w:rsid w:val="000C2555"/>
    <w:rsid w:val="000C5016"/>
    <w:rsid w:val="000C6665"/>
    <w:rsid w:val="000C788F"/>
    <w:rsid w:val="000C7BF7"/>
    <w:rsid w:val="000D0814"/>
    <w:rsid w:val="000D0ADB"/>
    <w:rsid w:val="000D0DD3"/>
    <w:rsid w:val="000D0EED"/>
    <w:rsid w:val="000D26D2"/>
    <w:rsid w:val="000D2CBF"/>
    <w:rsid w:val="000D489A"/>
    <w:rsid w:val="000D52D3"/>
    <w:rsid w:val="000D7E01"/>
    <w:rsid w:val="000E02B9"/>
    <w:rsid w:val="000E2024"/>
    <w:rsid w:val="000E20D1"/>
    <w:rsid w:val="000E3476"/>
    <w:rsid w:val="000E3D19"/>
    <w:rsid w:val="000E4AB3"/>
    <w:rsid w:val="000E52C2"/>
    <w:rsid w:val="000E5C5E"/>
    <w:rsid w:val="000E5DD6"/>
    <w:rsid w:val="000E75CA"/>
    <w:rsid w:val="000E76DC"/>
    <w:rsid w:val="000F328F"/>
    <w:rsid w:val="000F58F9"/>
    <w:rsid w:val="000F5B32"/>
    <w:rsid w:val="000F5C24"/>
    <w:rsid w:val="000F6537"/>
    <w:rsid w:val="000F6985"/>
    <w:rsid w:val="0010067A"/>
    <w:rsid w:val="00105537"/>
    <w:rsid w:val="001063AC"/>
    <w:rsid w:val="0010647E"/>
    <w:rsid w:val="0011091C"/>
    <w:rsid w:val="00110AB2"/>
    <w:rsid w:val="001113C3"/>
    <w:rsid w:val="00112F5B"/>
    <w:rsid w:val="001168ED"/>
    <w:rsid w:val="00116FBB"/>
    <w:rsid w:val="00117EE4"/>
    <w:rsid w:val="00120195"/>
    <w:rsid w:val="00122673"/>
    <w:rsid w:val="00122E69"/>
    <w:rsid w:val="00123D9A"/>
    <w:rsid w:val="00125105"/>
    <w:rsid w:val="00125B3F"/>
    <w:rsid w:val="001268E5"/>
    <w:rsid w:val="001308FD"/>
    <w:rsid w:val="00130F06"/>
    <w:rsid w:val="00132012"/>
    <w:rsid w:val="001320DB"/>
    <w:rsid w:val="0013246F"/>
    <w:rsid w:val="00132C5D"/>
    <w:rsid w:val="00133A11"/>
    <w:rsid w:val="00133B9B"/>
    <w:rsid w:val="001344EF"/>
    <w:rsid w:val="0013465B"/>
    <w:rsid w:val="0013510D"/>
    <w:rsid w:val="00135230"/>
    <w:rsid w:val="00136864"/>
    <w:rsid w:val="00136E04"/>
    <w:rsid w:val="001377FB"/>
    <w:rsid w:val="00137847"/>
    <w:rsid w:val="00140866"/>
    <w:rsid w:val="00141974"/>
    <w:rsid w:val="00144EDC"/>
    <w:rsid w:val="00146175"/>
    <w:rsid w:val="00147933"/>
    <w:rsid w:val="0015097F"/>
    <w:rsid w:val="0015237A"/>
    <w:rsid w:val="00153863"/>
    <w:rsid w:val="001550EC"/>
    <w:rsid w:val="0015553F"/>
    <w:rsid w:val="001567AD"/>
    <w:rsid w:val="0016007B"/>
    <w:rsid w:val="00163C03"/>
    <w:rsid w:val="00165F8A"/>
    <w:rsid w:val="00166B39"/>
    <w:rsid w:val="00166D61"/>
    <w:rsid w:val="00167FEE"/>
    <w:rsid w:val="0017134A"/>
    <w:rsid w:val="00171CC5"/>
    <w:rsid w:val="00172602"/>
    <w:rsid w:val="0017354C"/>
    <w:rsid w:val="001753F6"/>
    <w:rsid w:val="00175DAE"/>
    <w:rsid w:val="001767E3"/>
    <w:rsid w:val="00176F93"/>
    <w:rsid w:val="00180F39"/>
    <w:rsid w:val="001810C4"/>
    <w:rsid w:val="0018145D"/>
    <w:rsid w:val="00181A56"/>
    <w:rsid w:val="0018271D"/>
    <w:rsid w:val="001832BE"/>
    <w:rsid w:val="00186B8D"/>
    <w:rsid w:val="00187387"/>
    <w:rsid w:val="00190300"/>
    <w:rsid w:val="00191F72"/>
    <w:rsid w:val="00192B50"/>
    <w:rsid w:val="00192E6F"/>
    <w:rsid w:val="00193869"/>
    <w:rsid w:val="00194448"/>
    <w:rsid w:val="00195466"/>
    <w:rsid w:val="001959E8"/>
    <w:rsid w:val="00197690"/>
    <w:rsid w:val="001A0F69"/>
    <w:rsid w:val="001A239F"/>
    <w:rsid w:val="001A2864"/>
    <w:rsid w:val="001A2AF8"/>
    <w:rsid w:val="001A3252"/>
    <w:rsid w:val="001A34C4"/>
    <w:rsid w:val="001A3965"/>
    <w:rsid w:val="001A4688"/>
    <w:rsid w:val="001A6E1B"/>
    <w:rsid w:val="001A7715"/>
    <w:rsid w:val="001A7FD2"/>
    <w:rsid w:val="001B117F"/>
    <w:rsid w:val="001B1630"/>
    <w:rsid w:val="001B2829"/>
    <w:rsid w:val="001B298B"/>
    <w:rsid w:val="001B457E"/>
    <w:rsid w:val="001C0052"/>
    <w:rsid w:val="001C116F"/>
    <w:rsid w:val="001C1BA9"/>
    <w:rsid w:val="001C213E"/>
    <w:rsid w:val="001C2364"/>
    <w:rsid w:val="001C2DB1"/>
    <w:rsid w:val="001C3C9C"/>
    <w:rsid w:val="001C4AD8"/>
    <w:rsid w:val="001C6B7A"/>
    <w:rsid w:val="001D1AA0"/>
    <w:rsid w:val="001D2C48"/>
    <w:rsid w:val="001D433F"/>
    <w:rsid w:val="001D6537"/>
    <w:rsid w:val="001D6A87"/>
    <w:rsid w:val="001D6A93"/>
    <w:rsid w:val="001D7392"/>
    <w:rsid w:val="001E0CFD"/>
    <w:rsid w:val="001E1DB7"/>
    <w:rsid w:val="001E42FF"/>
    <w:rsid w:val="001E523F"/>
    <w:rsid w:val="001E638E"/>
    <w:rsid w:val="001E759A"/>
    <w:rsid w:val="001E75B9"/>
    <w:rsid w:val="001E7F99"/>
    <w:rsid w:val="002003AA"/>
    <w:rsid w:val="002009A9"/>
    <w:rsid w:val="00200DE3"/>
    <w:rsid w:val="00202092"/>
    <w:rsid w:val="00202CEB"/>
    <w:rsid w:val="00207A56"/>
    <w:rsid w:val="002105B3"/>
    <w:rsid w:val="00210EA0"/>
    <w:rsid w:val="0021349F"/>
    <w:rsid w:val="00214F09"/>
    <w:rsid w:val="00217535"/>
    <w:rsid w:val="00217728"/>
    <w:rsid w:val="00217B86"/>
    <w:rsid w:val="00217ED3"/>
    <w:rsid w:val="00220C2C"/>
    <w:rsid w:val="002220BF"/>
    <w:rsid w:val="002225F8"/>
    <w:rsid w:val="0022414C"/>
    <w:rsid w:val="0022456D"/>
    <w:rsid w:val="00224704"/>
    <w:rsid w:val="00225166"/>
    <w:rsid w:val="00232417"/>
    <w:rsid w:val="00235D0A"/>
    <w:rsid w:val="00236097"/>
    <w:rsid w:val="00237AA4"/>
    <w:rsid w:val="002404A1"/>
    <w:rsid w:val="0024225F"/>
    <w:rsid w:val="00242CA6"/>
    <w:rsid w:val="002435B2"/>
    <w:rsid w:val="002468D6"/>
    <w:rsid w:val="0024758D"/>
    <w:rsid w:val="00247A77"/>
    <w:rsid w:val="00251E5C"/>
    <w:rsid w:val="0025233A"/>
    <w:rsid w:val="002531C6"/>
    <w:rsid w:val="002533AD"/>
    <w:rsid w:val="002553D4"/>
    <w:rsid w:val="00261800"/>
    <w:rsid w:val="002634E6"/>
    <w:rsid w:val="00267E72"/>
    <w:rsid w:val="00270094"/>
    <w:rsid w:val="0027175E"/>
    <w:rsid w:val="00271C66"/>
    <w:rsid w:val="00274321"/>
    <w:rsid w:val="00274DB0"/>
    <w:rsid w:val="0027515A"/>
    <w:rsid w:val="00275387"/>
    <w:rsid w:val="00276641"/>
    <w:rsid w:val="00276836"/>
    <w:rsid w:val="00277636"/>
    <w:rsid w:val="00277A7D"/>
    <w:rsid w:val="00281681"/>
    <w:rsid w:val="0028229C"/>
    <w:rsid w:val="002833BA"/>
    <w:rsid w:val="00284CC0"/>
    <w:rsid w:val="00284E3A"/>
    <w:rsid w:val="002851D2"/>
    <w:rsid w:val="002874AD"/>
    <w:rsid w:val="00287B8F"/>
    <w:rsid w:val="00290E93"/>
    <w:rsid w:val="00291846"/>
    <w:rsid w:val="00292F22"/>
    <w:rsid w:val="0029304E"/>
    <w:rsid w:val="002936BC"/>
    <w:rsid w:val="00294877"/>
    <w:rsid w:val="002A2A7C"/>
    <w:rsid w:val="002A2A95"/>
    <w:rsid w:val="002A3898"/>
    <w:rsid w:val="002A39EA"/>
    <w:rsid w:val="002A432A"/>
    <w:rsid w:val="002A4EB0"/>
    <w:rsid w:val="002A5C09"/>
    <w:rsid w:val="002A62F2"/>
    <w:rsid w:val="002A6AE7"/>
    <w:rsid w:val="002A6CE8"/>
    <w:rsid w:val="002B1B43"/>
    <w:rsid w:val="002B275B"/>
    <w:rsid w:val="002B342C"/>
    <w:rsid w:val="002B3482"/>
    <w:rsid w:val="002B3F0F"/>
    <w:rsid w:val="002B5553"/>
    <w:rsid w:val="002B71A0"/>
    <w:rsid w:val="002B7EC0"/>
    <w:rsid w:val="002C1340"/>
    <w:rsid w:val="002C225E"/>
    <w:rsid w:val="002C2686"/>
    <w:rsid w:val="002C2AD8"/>
    <w:rsid w:val="002C3341"/>
    <w:rsid w:val="002C360D"/>
    <w:rsid w:val="002C3705"/>
    <w:rsid w:val="002C4269"/>
    <w:rsid w:val="002C6028"/>
    <w:rsid w:val="002C783F"/>
    <w:rsid w:val="002D0069"/>
    <w:rsid w:val="002D02FD"/>
    <w:rsid w:val="002D3B81"/>
    <w:rsid w:val="002D4AA1"/>
    <w:rsid w:val="002D4DA5"/>
    <w:rsid w:val="002D5D30"/>
    <w:rsid w:val="002D69C2"/>
    <w:rsid w:val="002D7E42"/>
    <w:rsid w:val="002E1379"/>
    <w:rsid w:val="002E1AAE"/>
    <w:rsid w:val="002E227A"/>
    <w:rsid w:val="002E22F5"/>
    <w:rsid w:val="002E2AB2"/>
    <w:rsid w:val="002E52EA"/>
    <w:rsid w:val="002E5457"/>
    <w:rsid w:val="002E6428"/>
    <w:rsid w:val="002E67D6"/>
    <w:rsid w:val="002E6FA0"/>
    <w:rsid w:val="002F10F6"/>
    <w:rsid w:val="002F1841"/>
    <w:rsid w:val="002F35B4"/>
    <w:rsid w:val="002F3B3E"/>
    <w:rsid w:val="002F45FF"/>
    <w:rsid w:val="002F5445"/>
    <w:rsid w:val="002F5D24"/>
    <w:rsid w:val="002F6629"/>
    <w:rsid w:val="002F68E8"/>
    <w:rsid w:val="002F7200"/>
    <w:rsid w:val="003020D1"/>
    <w:rsid w:val="00302B8C"/>
    <w:rsid w:val="00304D1D"/>
    <w:rsid w:val="0030675B"/>
    <w:rsid w:val="00306C9F"/>
    <w:rsid w:val="00306F15"/>
    <w:rsid w:val="00306F69"/>
    <w:rsid w:val="00307002"/>
    <w:rsid w:val="00311599"/>
    <w:rsid w:val="003123FB"/>
    <w:rsid w:val="00316296"/>
    <w:rsid w:val="003178D2"/>
    <w:rsid w:val="003235E5"/>
    <w:rsid w:val="00324189"/>
    <w:rsid w:val="00325622"/>
    <w:rsid w:val="00326443"/>
    <w:rsid w:val="0032794B"/>
    <w:rsid w:val="00330711"/>
    <w:rsid w:val="0033168A"/>
    <w:rsid w:val="00332BB3"/>
    <w:rsid w:val="00333751"/>
    <w:rsid w:val="00336C1F"/>
    <w:rsid w:val="0033746B"/>
    <w:rsid w:val="00340006"/>
    <w:rsid w:val="00340350"/>
    <w:rsid w:val="00340D4B"/>
    <w:rsid w:val="00341251"/>
    <w:rsid w:val="003412B8"/>
    <w:rsid w:val="00342A89"/>
    <w:rsid w:val="00342C16"/>
    <w:rsid w:val="00343283"/>
    <w:rsid w:val="00344522"/>
    <w:rsid w:val="003450D4"/>
    <w:rsid w:val="0034637E"/>
    <w:rsid w:val="0034653C"/>
    <w:rsid w:val="00347127"/>
    <w:rsid w:val="00351655"/>
    <w:rsid w:val="00355180"/>
    <w:rsid w:val="003554F6"/>
    <w:rsid w:val="00355BBF"/>
    <w:rsid w:val="00355CA7"/>
    <w:rsid w:val="00357090"/>
    <w:rsid w:val="003600F1"/>
    <w:rsid w:val="00361764"/>
    <w:rsid w:val="003629E4"/>
    <w:rsid w:val="00362A92"/>
    <w:rsid w:val="003637F2"/>
    <w:rsid w:val="00365126"/>
    <w:rsid w:val="00365DDE"/>
    <w:rsid w:val="00366370"/>
    <w:rsid w:val="00371B29"/>
    <w:rsid w:val="00372233"/>
    <w:rsid w:val="00372B63"/>
    <w:rsid w:val="00374375"/>
    <w:rsid w:val="0037453E"/>
    <w:rsid w:val="0037733A"/>
    <w:rsid w:val="00377685"/>
    <w:rsid w:val="00377E5F"/>
    <w:rsid w:val="00377F03"/>
    <w:rsid w:val="0038014D"/>
    <w:rsid w:val="00386768"/>
    <w:rsid w:val="003871EB"/>
    <w:rsid w:val="00387AF8"/>
    <w:rsid w:val="00387EAE"/>
    <w:rsid w:val="0039149E"/>
    <w:rsid w:val="003917D1"/>
    <w:rsid w:val="003927F1"/>
    <w:rsid w:val="00394ECC"/>
    <w:rsid w:val="0039667F"/>
    <w:rsid w:val="00396B7F"/>
    <w:rsid w:val="003A0E54"/>
    <w:rsid w:val="003A0F96"/>
    <w:rsid w:val="003A1E9C"/>
    <w:rsid w:val="003A21BF"/>
    <w:rsid w:val="003A223B"/>
    <w:rsid w:val="003A2546"/>
    <w:rsid w:val="003A29AD"/>
    <w:rsid w:val="003A2B82"/>
    <w:rsid w:val="003A4DBA"/>
    <w:rsid w:val="003A7F65"/>
    <w:rsid w:val="003B1786"/>
    <w:rsid w:val="003B3130"/>
    <w:rsid w:val="003B3A71"/>
    <w:rsid w:val="003B4DE5"/>
    <w:rsid w:val="003B5158"/>
    <w:rsid w:val="003C080D"/>
    <w:rsid w:val="003C3E3E"/>
    <w:rsid w:val="003C50F6"/>
    <w:rsid w:val="003C6E32"/>
    <w:rsid w:val="003C7133"/>
    <w:rsid w:val="003D0EFD"/>
    <w:rsid w:val="003D219C"/>
    <w:rsid w:val="003D25CB"/>
    <w:rsid w:val="003D3590"/>
    <w:rsid w:val="003D3E27"/>
    <w:rsid w:val="003D473B"/>
    <w:rsid w:val="003D4917"/>
    <w:rsid w:val="003D5A0A"/>
    <w:rsid w:val="003D5B2C"/>
    <w:rsid w:val="003D63AC"/>
    <w:rsid w:val="003D6983"/>
    <w:rsid w:val="003E2AB9"/>
    <w:rsid w:val="003E2C48"/>
    <w:rsid w:val="003E327E"/>
    <w:rsid w:val="003E36AE"/>
    <w:rsid w:val="003E62CA"/>
    <w:rsid w:val="003E6306"/>
    <w:rsid w:val="003F04BA"/>
    <w:rsid w:val="003F19EF"/>
    <w:rsid w:val="003F5698"/>
    <w:rsid w:val="003F7546"/>
    <w:rsid w:val="00400B08"/>
    <w:rsid w:val="00401158"/>
    <w:rsid w:val="004053FC"/>
    <w:rsid w:val="0040707B"/>
    <w:rsid w:val="00407C94"/>
    <w:rsid w:val="004101A6"/>
    <w:rsid w:val="00410BB6"/>
    <w:rsid w:val="004146D7"/>
    <w:rsid w:val="004152E6"/>
    <w:rsid w:val="00415447"/>
    <w:rsid w:val="0041576B"/>
    <w:rsid w:val="00417277"/>
    <w:rsid w:val="00417DE1"/>
    <w:rsid w:val="00420A71"/>
    <w:rsid w:val="00421B9B"/>
    <w:rsid w:val="004224BA"/>
    <w:rsid w:val="004278F2"/>
    <w:rsid w:val="004319C6"/>
    <w:rsid w:val="00431C2E"/>
    <w:rsid w:val="00434F4D"/>
    <w:rsid w:val="004361B6"/>
    <w:rsid w:val="00436A34"/>
    <w:rsid w:val="00436B8D"/>
    <w:rsid w:val="00437F71"/>
    <w:rsid w:val="00441445"/>
    <w:rsid w:val="004479F1"/>
    <w:rsid w:val="00447BAD"/>
    <w:rsid w:val="00447BB7"/>
    <w:rsid w:val="0045021C"/>
    <w:rsid w:val="004503B0"/>
    <w:rsid w:val="00452CF5"/>
    <w:rsid w:val="004547DC"/>
    <w:rsid w:val="00454D46"/>
    <w:rsid w:val="00457D49"/>
    <w:rsid w:val="00462697"/>
    <w:rsid w:val="0046355B"/>
    <w:rsid w:val="00464296"/>
    <w:rsid w:val="00464AAA"/>
    <w:rsid w:val="00465ED8"/>
    <w:rsid w:val="004661E8"/>
    <w:rsid w:val="00466B4B"/>
    <w:rsid w:val="00470216"/>
    <w:rsid w:val="00473A13"/>
    <w:rsid w:val="00473AEA"/>
    <w:rsid w:val="00473CD6"/>
    <w:rsid w:val="00474CAE"/>
    <w:rsid w:val="00480078"/>
    <w:rsid w:val="004802CD"/>
    <w:rsid w:val="00481043"/>
    <w:rsid w:val="00481611"/>
    <w:rsid w:val="00483B0F"/>
    <w:rsid w:val="00483E54"/>
    <w:rsid w:val="00484C15"/>
    <w:rsid w:val="004901C1"/>
    <w:rsid w:val="00490885"/>
    <w:rsid w:val="00491921"/>
    <w:rsid w:val="004941BA"/>
    <w:rsid w:val="004942A7"/>
    <w:rsid w:val="004943CA"/>
    <w:rsid w:val="00494855"/>
    <w:rsid w:val="00495EF8"/>
    <w:rsid w:val="00497A76"/>
    <w:rsid w:val="004A1CDE"/>
    <w:rsid w:val="004A2909"/>
    <w:rsid w:val="004A4994"/>
    <w:rsid w:val="004A5591"/>
    <w:rsid w:val="004A5A74"/>
    <w:rsid w:val="004A7C86"/>
    <w:rsid w:val="004B1EA6"/>
    <w:rsid w:val="004B335F"/>
    <w:rsid w:val="004B3932"/>
    <w:rsid w:val="004B458A"/>
    <w:rsid w:val="004B6F66"/>
    <w:rsid w:val="004B7B37"/>
    <w:rsid w:val="004B7F52"/>
    <w:rsid w:val="004C09F1"/>
    <w:rsid w:val="004C2995"/>
    <w:rsid w:val="004C2BD1"/>
    <w:rsid w:val="004C4F49"/>
    <w:rsid w:val="004C556A"/>
    <w:rsid w:val="004C7041"/>
    <w:rsid w:val="004C72C4"/>
    <w:rsid w:val="004D179E"/>
    <w:rsid w:val="004D1BE0"/>
    <w:rsid w:val="004D1DC4"/>
    <w:rsid w:val="004D3F0B"/>
    <w:rsid w:val="004D48F4"/>
    <w:rsid w:val="004D5127"/>
    <w:rsid w:val="004D5E8B"/>
    <w:rsid w:val="004D74A2"/>
    <w:rsid w:val="004D7A99"/>
    <w:rsid w:val="004E039D"/>
    <w:rsid w:val="004E174F"/>
    <w:rsid w:val="004E1EFA"/>
    <w:rsid w:val="004E23C9"/>
    <w:rsid w:val="004E36B1"/>
    <w:rsid w:val="004E5147"/>
    <w:rsid w:val="004E53C1"/>
    <w:rsid w:val="004E58EE"/>
    <w:rsid w:val="004E599D"/>
    <w:rsid w:val="004F007E"/>
    <w:rsid w:val="004F0571"/>
    <w:rsid w:val="004F234D"/>
    <w:rsid w:val="004F261D"/>
    <w:rsid w:val="004F2691"/>
    <w:rsid w:val="004F292B"/>
    <w:rsid w:val="004F4096"/>
    <w:rsid w:val="004F7013"/>
    <w:rsid w:val="00502F7A"/>
    <w:rsid w:val="0050315A"/>
    <w:rsid w:val="005045CE"/>
    <w:rsid w:val="00504655"/>
    <w:rsid w:val="00505208"/>
    <w:rsid w:val="005058B3"/>
    <w:rsid w:val="005060A3"/>
    <w:rsid w:val="00506524"/>
    <w:rsid w:val="00506B6B"/>
    <w:rsid w:val="005123FF"/>
    <w:rsid w:val="00512969"/>
    <w:rsid w:val="00514B23"/>
    <w:rsid w:val="00516B8C"/>
    <w:rsid w:val="00520822"/>
    <w:rsid w:val="00522305"/>
    <w:rsid w:val="00522603"/>
    <w:rsid w:val="00525218"/>
    <w:rsid w:val="0052591E"/>
    <w:rsid w:val="00525FDF"/>
    <w:rsid w:val="005278F0"/>
    <w:rsid w:val="00527C5B"/>
    <w:rsid w:val="00530B31"/>
    <w:rsid w:val="005310D8"/>
    <w:rsid w:val="00532293"/>
    <w:rsid w:val="005334D9"/>
    <w:rsid w:val="005343D0"/>
    <w:rsid w:val="00534751"/>
    <w:rsid w:val="00540154"/>
    <w:rsid w:val="005408E2"/>
    <w:rsid w:val="005412C6"/>
    <w:rsid w:val="00541460"/>
    <w:rsid w:val="005435DB"/>
    <w:rsid w:val="005449DA"/>
    <w:rsid w:val="00544AC2"/>
    <w:rsid w:val="00545621"/>
    <w:rsid w:val="00546956"/>
    <w:rsid w:val="00547133"/>
    <w:rsid w:val="005478B2"/>
    <w:rsid w:val="005510D8"/>
    <w:rsid w:val="00551132"/>
    <w:rsid w:val="0055243A"/>
    <w:rsid w:val="005527A1"/>
    <w:rsid w:val="00553798"/>
    <w:rsid w:val="00554FC7"/>
    <w:rsid w:val="005568C0"/>
    <w:rsid w:val="0055727F"/>
    <w:rsid w:val="0055743E"/>
    <w:rsid w:val="00560138"/>
    <w:rsid w:val="00562708"/>
    <w:rsid w:val="00563359"/>
    <w:rsid w:val="00563C28"/>
    <w:rsid w:val="00565A88"/>
    <w:rsid w:val="0056695C"/>
    <w:rsid w:val="00574BD1"/>
    <w:rsid w:val="0057506E"/>
    <w:rsid w:val="00576AAC"/>
    <w:rsid w:val="00577B91"/>
    <w:rsid w:val="00577B97"/>
    <w:rsid w:val="005826E1"/>
    <w:rsid w:val="00582DCF"/>
    <w:rsid w:val="005840CB"/>
    <w:rsid w:val="00586F24"/>
    <w:rsid w:val="0059006E"/>
    <w:rsid w:val="005926DC"/>
    <w:rsid w:val="0059515B"/>
    <w:rsid w:val="00595277"/>
    <w:rsid w:val="00595AE9"/>
    <w:rsid w:val="00595F67"/>
    <w:rsid w:val="00596333"/>
    <w:rsid w:val="0059657A"/>
    <w:rsid w:val="005A1E65"/>
    <w:rsid w:val="005A2184"/>
    <w:rsid w:val="005A21C5"/>
    <w:rsid w:val="005A33C0"/>
    <w:rsid w:val="005A5CD5"/>
    <w:rsid w:val="005A6D20"/>
    <w:rsid w:val="005B0973"/>
    <w:rsid w:val="005B1FC0"/>
    <w:rsid w:val="005B4605"/>
    <w:rsid w:val="005B4D86"/>
    <w:rsid w:val="005B683E"/>
    <w:rsid w:val="005B7BED"/>
    <w:rsid w:val="005B7FF8"/>
    <w:rsid w:val="005C04FE"/>
    <w:rsid w:val="005C0731"/>
    <w:rsid w:val="005C0910"/>
    <w:rsid w:val="005C18EF"/>
    <w:rsid w:val="005C2BA4"/>
    <w:rsid w:val="005C3A19"/>
    <w:rsid w:val="005C3B20"/>
    <w:rsid w:val="005D1337"/>
    <w:rsid w:val="005D2C5C"/>
    <w:rsid w:val="005D33A0"/>
    <w:rsid w:val="005D36E2"/>
    <w:rsid w:val="005D3FA4"/>
    <w:rsid w:val="005D42CE"/>
    <w:rsid w:val="005D4C10"/>
    <w:rsid w:val="005D5CAF"/>
    <w:rsid w:val="005E099D"/>
    <w:rsid w:val="005E0C1F"/>
    <w:rsid w:val="005E1AE3"/>
    <w:rsid w:val="005E279B"/>
    <w:rsid w:val="005E422B"/>
    <w:rsid w:val="005E4A48"/>
    <w:rsid w:val="005E4AA6"/>
    <w:rsid w:val="005E7D25"/>
    <w:rsid w:val="005E7F58"/>
    <w:rsid w:val="005F0261"/>
    <w:rsid w:val="005F3C87"/>
    <w:rsid w:val="005F51A4"/>
    <w:rsid w:val="005F5933"/>
    <w:rsid w:val="00601CBB"/>
    <w:rsid w:val="00602ED5"/>
    <w:rsid w:val="00605B34"/>
    <w:rsid w:val="00605C7C"/>
    <w:rsid w:val="00606ACB"/>
    <w:rsid w:val="00610BA1"/>
    <w:rsid w:val="00611B7E"/>
    <w:rsid w:val="00614E77"/>
    <w:rsid w:val="00617285"/>
    <w:rsid w:val="006237A7"/>
    <w:rsid w:val="00623B71"/>
    <w:rsid w:val="0062585B"/>
    <w:rsid w:val="006263F0"/>
    <w:rsid w:val="00626A3D"/>
    <w:rsid w:val="00631EBD"/>
    <w:rsid w:val="006324B5"/>
    <w:rsid w:val="006329DD"/>
    <w:rsid w:val="006336F0"/>
    <w:rsid w:val="00633BA9"/>
    <w:rsid w:val="00636708"/>
    <w:rsid w:val="00636F31"/>
    <w:rsid w:val="006371D6"/>
    <w:rsid w:val="00637F52"/>
    <w:rsid w:val="0064172D"/>
    <w:rsid w:val="00641EEF"/>
    <w:rsid w:val="00642A88"/>
    <w:rsid w:val="006445C1"/>
    <w:rsid w:val="00644A9D"/>
    <w:rsid w:val="006452A5"/>
    <w:rsid w:val="00646070"/>
    <w:rsid w:val="00646F96"/>
    <w:rsid w:val="00647810"/>
    <w:rsid w:val="006502AA"/>
    <w:rsid w:val="0065056F"/>
    <w:rsid w:val="0065088E"/>
    <w:rsid w:val="00651368"/>
    <w:rsid w:val="00653CAA"/>
    <w:rsid w:val="00654EB4"/>
    <w:rsid w:val="0065570F"/>
    <w:rsid w:val="00656554"/>
    <w:rsid w:val="006611A6"/>
    <w:rsid w:val="00661701"/>
    <w:rsid w:val="00662E23"/>
    <w:rsid w:val="00662EAA"/>
    <w:rsid w:val="00664422"/>
    <w:rsid w:val="006645AF"/>
    <w:rsid w:val="00664F95"/>
    <w:rsid w:val="00666248"/>
    <w:rsid w:val="00667BF1"/>
    <w:rsid w:val="00671A21"/>
    <w:rsid w:val="00671F2C"/>
    <w:rsid w:val="00672B91"/>
    <w:rsid w:val="006735BE"/>
    <w:rsid w:val="006761EF"/>
    <w:rsid w:val="00676E5B"/>
    <w:rsid w:val="0067738F"/>
    <w:rsid w:val="0068086A"/>
    <w:rsid w:val="00682037"/>
    <w:rsid w:val="00682846"/>
    <w:rsid w:val="00683775"/>
    <w:rsid w:val="00683BEC"/>
    <w:rsid w:val="006850F9"/>
    <w:rsid w:val="00685738"/>
    <w:rsid w:val="00692C1F"/>
    <w:rsid w:val="00693549"/>
    <w:rsid w:val="006939FC"/>
    <w:rsid w:val="00693F94"/>
    <w:rsid w:val="00693FBB"/>
    <w:rsid w:val="00694A2D"/>
    <w:rsid w:val="00696476"/>
    <w:rsid w:val="006966B8"/>
    <w:rsid w:val="006970DB"/>
    <w:rsid w:val="00697C99"/>
    <w:rsid w:val="006A0928"/>
    <w:rsid w:val="006A15CF"/>
    <w:rsid w:val="006A2DC0"/>
    <w:rsid w:val="006A5F55"/>
    <w:rsid w:val="006A6C93"/>
    <w:rsid w:val="006B1D1D"/>
    <w:rsid w:val="006B28A7"/>
    <w:rsid w:val="006B347A"/>
    <w:rsid w:val="006B4092"/>
    <w:rsid w:val="006B50B1"/>
    <w:rsid w:val="006B629D"/>
    <w:rsid w:val="006B6AA4"/>
    <w:rsid w:val="006B710E"/>
    <w:rsid w:val="006B7C02"/>
    <w:rsid w:val="006B7D72"/>
    <w:rsid w:val="006C212E"/>
    <w:rsid w:val="006C2572"/>
    <w:rsid w:val="006C294A"/>
    <w:rsid w:val="006C3A91"/>
    <w:rsid w:val="006C3B7C"/>
    <w:rsid w:val="006C5722"/>
    <w:rsid w:val="006C6FCE"/>
    <w:rsid w:val="006C76D0"/>
    <w:rsid w:val="006C7A72"/>
    <w:rsid w:val="006D124A"/>
    <w:rsid w:val="006D1EE7"/>
    <w:rsid w:val="006D2E7E"/>
    <w:rsid w:val="006D383A"/>
    <w:rsid w:val="006D390F"/>
    <w:rsid w:val="006D499E"/>
    <w:rsid w:val="006E154F"/>
    <w:rsid w:val="006E274C"/>
    <w:rsid w:val="006E2E8A"/>
    <w:rsid w:val="006E4750"/>
    <w:rsid w:val="006E4863"/>
    <w:rsid w:val="006E51B0"/>
    <w:rsid w:val="006E57B9"/>
    <w:rsid w:val="006E65EE"/>
    <w:rsid w:val="006F0535"/>
    <w:rsid w:val="006F0925"/>
    <w:rsid w:val="006F15BB"/>
    <w:rsid w:val="006F2036"/>
    <w:rsid w:val="006F27B9"/>
    <w:rsid w:val="006F2828"/>
    <w:rsid w:val="006F2AA3"/>
    <w:rsid w:val="006F3068"/>
    <w:rsid w:val="006F38F4"/>
    <w:rsid w:val="006F4BE5"/>
    <w:rsid w:val="006F4C08"/>
    <w:rsid w:val="006F4D08"/>
    <w:rsid w:val="007044C5"/>
    <w:rsid w:val="00706414"/>
    <w:rsid w:val="00706970"/>
    <w:rsid w:val="00706FDF"/>
    <w:rsid w:val="00710409"/>
    <w:rsid w:val="007108BB"/>
    <w:rsid w:val="00711C81"/>
    <w:rsid w:val="00713D24"/>
    <w:rsid w:val="0071644B"/>
    <w:rsid w:val="007168C6"/>
    <w:rsid w:val="00716C45"/>
    <w:rsid w:val="00716FA4"/>
    <w:rsid w:val="0071790F"/>
    <w:rsid w:val="0072102C"/>
    <w:rsid w:val="00721DFE"/>
    <w:rsid w:val="007220F3"/>
    <w:rsid w:val="00722CE0"/>
    <w:rsid w:val="00722DDB"/>
    <w:rsid w:val="00723ECA"/>
    <w:rsid w:val="00723FA0"/>
    <w:rsid w:val="00727EC7"/>
    <w:rsid w:val="00730F69"/>
    <w:rsid w:val="00732446"/>
    <w:rsid w:val="00732BEB"/>
    <w:rsid w:val="0073661B"/>
    <w:rsid w:val="00737E41"/>
    <w:rsid w:val="00741A06"/>
    <w:rsid w:val="00741E0B"/>
    <w:rsid w:val="0074373B"/>
    <w:rsid w:val="00743BBC"/>
    <w:rsid w:val="00745535"/>
    <w:rsid w:val="00746BA1"/>
    <w:rsid w:val="007471FE"/>
    <w:rsid w:val="00747BE9"/>
    <w:rsid w:val="00750BF5"/>
    <w:rsid w:val="0075287B"/>
    <w:rsid w:val="007529B0"/>
    <w:rsid w:val="00754AAD"/>
    <w:rsid w:val="007559AC"/>
    <w:rsid w:val="00756661"/>
    <w:rsid w:val="0075746A"/>
    <w:rsid w:val="00757A8F"/>
    <w:rsid w:val="00757CA3"/>
    <w:rsid w:val="00757D99"/>
    <w:rsid w:val="00760ED0"/>
    <w:rsid w:val="00763A53"/>
    <w:rsid w:val="00765C48"/>
    <w:rsid w:val="007666B8"/>
    <w:rsid w:val="00767866"/>
    <w:rsid w:val="00770409"/>
    <w:rsid w:val="00773485"/>
    <w:rsid w:val="00776266"/>
    <w:rsid w:val="00776290"/>
    <w:rsid w:val="00780343"/>
    <w:rsid w:val="00780DEE"/>
    <w:rsid w:val="00782899"/>
    <w:rsid w:val="00783F7A"/>
    <w:rsid w:val="00784379"/>
    <w:rsid w:val="00786D4E"/>
    <w:rsid w:val="00787432"/>
    <w:rsid w:val="007878D3"/>
    <w:rsid w:val="00791EDC"/>
    <w:rsid w:val="007934C5"/>
    <w:rsid w:val="00793BFA"/>
    <w:rsid w:val="00794D30"/>
    <w:rsid w:val="00794EE7"/>
    <w:rsid w:val="00795658"/>
    <w:rsid w:val="007960E4"/>
    <w:rsid w:val="007A0A6A"/>
    <w:rsid w:val="007A31AC"/>
    <w:rsid w:val="007A3D2A"/>
    <w:rsid w:val="007A5A1F"/>
    <w:rsid w:val="007A6677"/>
    <w:rsid w:val="007B088A"/>
    <w:rsid w:val="007B10EA"/>
    <w:rsid w:val="007B2228"/>
    <w:rsid w:val="007B2A32"/>
    <w:rsid w:val="007B5400"/>
    <w:rsid w:val="007B55B7"/>
    <w:rsid w:val="007B5BD7"/>
    <w:rsid w:val="007B5CE2"/>
    <w:rsid w:val="007B7AD5"/>
    <w:rsid w:val="007C06E2"/>
    <w:rsid w:val="007C0CEE"/>
    <w:rsid w:val="007C151A"/>
    <w:rsid w:val="007C186B"/>
    <w:rsid w:val="007C257A"/>
    <w:rsid w:val="007D0AF2"/>
    <w:rsid w:val="007D4CB9"/>
    <w:rsid w:val="007D55AD"/>
    <w:rsid w:val="007D61CF"/>
    <w:rsid w:val="007D6C6B"/>
    <w:rsid w:val="007E062C"/>
    <w:rsid w:val="007E0E8F"/>
    <w:rsid w:val="007E45C9"/>
    <w:rsid w:val="007E4968"/>
    <w:rsid w:val="007E5675"/>
    <w:rsid w:val="007E6503"/>
    <w:rsid w:val="007E77C5"/>
    <w:rsid w:val="007F065B"/>
    <w:rsid w:val="007F0E49"/>
    <w:rsid w:val="007F100F"/>
    <w:rsid w:val="007F1388"/>
    <w:rsid w:val="007F2BBA"/>
    <w:rsid w:val="007F32AB"/>
    <w:rsid w:val="007F45A9"/>
    <w:rsid w:val="007F5D50"/>
    <w:rsid w:val="007F6403"/>
    <w:rsid w:val="007F70CC"/>
    <w:rsid w:val="008032F7"/>
    <w:rsid w:val="00803950"/>
    <w:rsid w:val="00805C0E"/>
    <w:rsid w:val="008072BB"/>
    <w:rsid w:val="008115D3"/>
    <w:rsid w:val="00811CC7"/>
    <w:rsid w:val="008129B3"/>
    <w:rsid w:val="00813F89"/>
    <w:rsid w:val="00815102"/>
    <w:rsid w:val="008223A6"/>
    <w:rsid w:val="00822E0B"/>
    <w:rsid w:val="0082436C"/>
    <w:rsid w:val="00824BA1"/>
    <w:rsid w:val="0083098D"/>
    <w:rsid w:val="00830D9D"/>
    <w:rsid w:val="008310CB"/>
    <w:rsid w:val="008315B0"/>
    <w:rsid w:val="00831B6E"/>
    <w:rsid w:val="00832DCC"/>
    <w:rsid w:val="0083471F"/>
    <w:rsid w:val="00835B5A"/>
    <w:rsid w:val="008366E1"/>
    <w:rsid w:val="00837243"/>
    <w:rsid w:val="008372A6"/>
    <w:rsid w:val="008403AA"/>
    <w:rsid w:val="0084049C"/>
    <w:rsid w:val="00841D1F"/>
    <w:rsid w:val="00842A1F"/>
    <w:rsid w:val="0084500A"/>
    <w:rsid w:val="00845C94"/>
    <w:rsid w:val="0084650E"/>
    <w:rsid w:val="00847AFB"/>
    <w:rsid w:val="008537AE"/>
    <w:rsid w:val="00854DAB"/>
    <w:rsid w:val="00856F70"/>
    <w:rsid w:val="0085721B"/>
    <w:rsid w:val="00860C28"/>
    <w:rsid w:val="0086153E"/>
    <w:rsid w:val="0086186D"/>
    <w:rsid w:val="008618A4"/>
    <w:rsid w:val="00864151"/>
    <w:rsid w:val="00864353"/>
    <w:rsid w:val="00864384"/>
    <w:rsid w:val="00864EBA"/>
    <w:rsid w:val="00865209"/>
    <w:rsid w:val="008669DE"/>
    <w:rsid w:val="0087117E"/>
    <w:rsid w:val="00871E8C"/>
    <w:rsid w:val="0087235F"/>
    <w:rsid w:val="00872AC6"/>
    <w:rsid w:val="008730FE"/>
    <w:rsid w:val="00874014"/>
    <w:rsid w:val="00874DA9"/>
    <w:rsid w:val="00875C08"/>
    <w:rsid w:val="0087663E"/>
    <w:rsid w:val="00877AED"/>
    <w:rsid w:val="00881C81"/>
    <w:rsid w:val="00881DEE"/>
    <w:rsid w:val="00882133"/>
    <w:rsid w:val="00882440"/>
    <w:rsid w:val="00883068"/>
    <w:rsid w:val="008848E7"/>
    <w:rsid w:val="00884A1F"/>
    <w:rsid w:val="00885A73"/>
    <w:rsid w:val="00885EF5"/>
    <w:rsid w:val="00886B64"/>
    <w:rsid w:val="00887773"/>
    <w:rsid w:val="0089753B"/>
    <w:rsid w:val="008A047E"/>
    <w:rsid w:val="008A250A"/>
    <w:rsid w:val="008A2D79"/>
    <w:rsid w:val="008A42FB"/>
    <w:rsid w:val="008A561D"/>
    <w:rsid w:val="008A6344"/>
    <w:rsid w:val="008B27D9"/>
    <w:rsid w:val="008B30D5"/>
    <w:rsid w:val="008B3496"/>
    <w:rsid w:val="008B406A"/>
    <w:rsid w:val="008B496F"/>
    <w:rsid w:val="008B4F89"/>
    <w:rsid w:val="008B5191"/>
    <w:rsid w:val="008B5512"/>
    <w:rsid w:val="008B6EE2"/>
    <w:rsid w:val="008B73A1"/>
    <w:rsid w:val="008B7F68"/>
    <w:rsid w:val="008C01F6"/>
    <w:rsid w:val="008C0C8D"/>
    <w:rsid w:val="008C3D95"/>
    <w:rsid w:val="008C41FE"/>
    <w:rsid w:val="008C48F6"/>
    <w:rsid w:val="008C5F54"/>
    <w:rsid w:val="008C63BF"/>
    <w:rsid w:val="008C6545"/>
    <w:rsid w:val="008C6933"/>
    <w:rsid w:val="008D39EC"/>
    <w:rsid w:val="008D45B4"/>
    <w:rsid w:val="008D508F"/>
    <w:rsid w:val="008D50E9"/>
    <w:rsid w:val="008D5BFF"/>
    <w:rsid w:val="008D5D2A"/>
    <w:rsid w:val="008D6E02"/>
    <w:rsid w:val="008D73F8"/>
    <w:rsid w:val="008E247B"/>
    <w:rsid w:val="008E4C31"/>
    <w:rsid w:val="008E4FBB"/>
    <w:rsid w:val="008E5823"/>
    <w:rsid w:val="008E61D3"/>
    <w:rsid w:val="008E68BA"/>
    <w:rsid w:val="008E7F04"/>
    <w:rsid w:val="008F06CC"/>
    <w:rsid w:val="008F545C"/>
    <w:rsid w:val="008F7D8E"/>
    <w:rsid w:val="009005A6"/>
    <w:rsid w:val="00903DEA"/>
    <w:rsid w:val="009054CE"/>
    <w:rsid w:val="009068CA"/>
    <w:rsid w:val="00912477"/>
    <w:rsid w:val="00913363"/>
    <w:rsid w:val="009163DB"/>
    <w:rsid w:val="00920704"/>
    <w:rsid w:val="0092180E"/>
    <w:rsid w:val="00921A82"/>
    <w:rsid w:val="00921AED"/>
    <w:rsid w:val="0092444E"/>
    <w:rsid w:val="00924621"/>
    <w:rsid w:val="00924848"/>
    <w:rsid w:val="00925F2C"/>
    <w:rsid w:val="0092680C"/>
    <w:rsid w:val="00932546"/>
    <w:rsid w:val="00933D78"/>
    <w:rsid w:val="00934101"/>
    <w:rsid w:val="00934C7B"/>
    <w:rsid w:val="0093537B"/>
    <w:rsid w:val="009365CE"/>
    <w:rsid w:val="00936B08"/>
    <w:rsid w:val="00936F9F"/>
    <w:rsid w:val="00940472"/>
    <w:rsid w:val="00940D80"/>
    <w:rsid w:val="009445CC"/>
    <w:rsid w:val="0094548C"/>
    <w:rsid w:val="00945882"/>
    <w:rsid w:val="00946886"/>
    <w:rsid w:val="009500B2"/>
    <w:rsid w:val="009502D3"/>
    <w:rsid w:val="00953C4D"/>
    <w:rsid w:val="00953F48"/>
    <w:rsid w:val="0095500D"/>
    <w:rsid w:val="009560A4"/>
    <w:rsid w:val="00956D3A"/>
    <w:rsid w:val="0095730B"/>
    <w:rsid w:val="00957369"/>
    <w:rsid w:val="009576A4"/>
    <w:rsid w:val="00960598"/>
    <w:rsid w:val="0096456B"/>
    <w:rsid w:val="00964628"/>
    <w:rsid w:val="00964664"/>
    <w:rsid w:val="00965FD7"/>
    <w:rsid w:val="00967114"/>
    <w:rsid w:val="00975ABE"/>
    <w:rsid w:val="00975B88"/>
    <w:rsid w:val="009764CE"/>
    <w:rsid w:val="00977078"/>
    <w:rsid w:val="00977D45"/>
    <w:rsid w:val="009806DB"/>
    <w:rsid w:val="00980A18"/>
    <w:rsid w:val="009813B7"/>
    <w:rsid w:val="00983698"/>
    <w:rsid w:val="00984D26"/>
    <w:rsid w:val="0098660C"/>
    <w:rsid w:val="00986621"/>
    <w:rsid w:val="009870CC"/>
    <w:rsid w:val="009905A6"/>
    <w:rsid w:val="0099123E"/>
    <w:rsid w:val="00992970"/>
    <w:rsid w:val="00994123"/>
    <w:rsid w:val="0099473D"/>
    <w:rsid w:val="0099560C"/>
    <w:rsid w:val="00996C60"/>
    <w:rsid w:val="00997B18"/>
    <w:rsid w:val="009A42DC"/>
    <w:rsid w:val="009A6522"/>
    <w:rsid w:val="009B1120"/>
    <w:rsid w:val="009B1CFF"/>
    <w:rsid w:val="009B1E0F"/>
    <w:rsid w:val="009B2FF7"/>
    <w:rsid w:val="009B30A3"/>
    <w:rsid w:val="009B4A7C"/>
    <w:rsid w:val="009B5746"/>
    <w:rsid w:val="009C0F3F"/>
    <w:rsid w:val="009C20BB"/>
    <w:rsid w:val="009C2EC6"/>
    <w:rsid w:val="009C32FE"/>
    <w:rsid w:val="009C4943"/>
    <w:rsid w:val="009C6ECF"/>
    <w:rsid w:val="009C725E"/>
    <w:rsid w:val="009C7856"/>
    <w:rsid w:val="009D0342"/>
    <w:rsid w:val="009D06EB"/>
    <w:rsid w:val="009D0DE2"/>
    <w:rsid w:val="009D112B"/>
    <w:rsid w:val="009D19F7"/>
    <w:rsid w:val="009D231A"/>
    <w:rsid w:val="009D75FA"/>
    <w:rsid w:val="009E0A46"/>
    <w:rsid w:val="009E4B13"/>
    <w:rsid w:val="009E4EA6"/>
    <w:rsid w:val="009E738C"/>
    <w:rsid w:val="009E75D7"/>
    <w:rsid w:val="009E7B52"/>
    <w:rsid w:val="009E7F05"/>
    <w:rsid w:val="009F083D"/>
    <w:rsid w:val="009F21FB"/>
    <w:rsid w:val="009F2705"/>
    <w:rsid w:val="009F540B"/>
    <w:rsid w:val="009F59FB"/>
    <w:rsid w:val="009F6151"/>
    <w:rsid w:val="009F6BF5"/>
    <w:rsid w:val="009F7234"/>
    <w:rsid w:val="009F7498"/>
    <w:rsid w:val="009F7AAA"/>
    <w:rsid w:val="00A002BC"/>
    <w:rsid w:val="00A00862"/>
    <w:rsid w:val="00A008F6"/>
    <w:rsid w:val="00A040BA"/>
    <w:rsid w:val="00A06617"/>
    <w:rsid w:val="00A06805"/>
    <w:rsid w:val="00A07790"/>
    <w:rsid w:val="00A11FE9"/>
    <w:rsid w:val="00A148D1"/>
    <w:rsid w:val="00A1548A"/>
    <w:rsid w:val="00A1554F"/>
    <w:rsid w:val="00A157D8"/>
    <w:rsid w:val="00A1629D"/>
    <w:rsid w:val="00A23DBC"/>
    <w:rsid w:val="00A247BF"/>
    <w:rsid w:val="00A24DB7"/>
    <w:rsid w:val="00A24F53"/>
    <w:rsid w:val="00A25D66"/>
    <w:rsid w:val="00A273E3"/>
    <w:rsid w:val="00A33DFB"/>
    <w:rsid w:val="00A3766D"/>
    <w:rsid w:val="00A415D9"/>
    <w:rsid w:val="00A42EE1"/>
    <w:rsid w:val="00A43726"/>
    <w:rsid w:val="00A44200"/>
    <w:rsid w:val="00A44EA2"/>
    <w:rsid w:val="00A47076"/>
    <w:rsid w:val="00A477DE"/>
    <w:rsid w:val="00A47936"/>
    <w:rsid w:val="00A5134D"/>
    <w:rsid w:val="00A514B1"/>
    <w:rsid w:val="00A51A6A"/>
    <w:rsid w:val="00A52A95"/>
    <w:rsid w:val="00A52CD7"/>
    <w:rsid w:val="00A540C8"/>
    <w:rsid w:val="00A54D1E"/>
    <w:rsid w:val="00A5518C"/>
    <w:rsid w:val="00A55AAF"/>
    <w:rsid w:val="00A56D32"/>
    <w:rsid w:val="00A56F2B"/>
    <w:rsid w:val="00A57DE2"/>
    <w:rsid w:val="00A600D7"/>
    <w:rsid w:val="00A621D2"/>
    <w:rsid w:val="00A62208"/>
    <w:rsid w:val="00A62911"/>
    <w:rsid w:val="00A63EB3"/>
    <w:rsid w:val="00A6435A"/>
    <w:rsid w:val="00A64F75"/>
    <w:rsid w:val="00A66A78"/>
    <w:rsid w:val="00A702BF"/>
    <w:rsid w:val="00A70B0C"/>
    <w:rsid w:val="00A70C97"/>
    <w:rsid w:val="00A70F46"/>
    <w:rsid w:val="00A7118A"/>
    <w:rsid w:val="00A712E9"/>
    <w:rsid w:val="00A722F8"/>
    <w:rsid w:val="00A74D9E"/>
    <w:rsid w:val="00A74FF2"/>
    <w:rsid w:val="00A836AA"/>
    <w:rsid w:val="00A84702"/>
    <w:rsid w:val="00A864DC"/>
    <w:rsid w:val="00A87276"/>
    <w:rsid w:val="00A90734"/>
    <w:rsid w:val="00A90835"/>
    <w:rsid w:val="00A94125"/>
    <w:rsid w:val="00A9418E"/>
    <w:rsid w:val="00A966C5"/>
    <w:rsid w:val="00AA07D3"/>
    <w:rsid w:val="00AA0C93"/>
    <w:rsid w:val="00AA0FA4"/>
    <w:rsid w:val="00AA1740"/>
    <w:rsid w:val="00AA24DF"/>
    <w:rsid w:val="00AA35BA"/>
    <w:rsid w:val="00AA3AEA"/>
    <w:rsid w:val="00AA4769"/>
    <w:rsid w:val="00AA7E95"/>
    <w:rsid w:val="00AB380C"/>
    <w:rsid w:val="00AB491A"/>
    <w:rsid w:val="00AB4F8B"/>
    <w:rsid w:val="00AB5A90"/>
    <w:rsid w:val="00AB63C1"/>
    <w:rsid w:val="00AB71BD"/>
    <w:rsid w:val="00AB7A71"/>
    <w:rsid w:val="00AC0E2E"/>
    <w:rsid w:val="00AC3A05"/>
    <w:rsid w:val="00AC4C1E"/>
    <w:rsid w:val="00AC69F4"/>
    <w:rsid w:val="00AC6B09"/>
    <w:rsid w:val="00AD0DD3"/>
    <w:rsid w:val="00AD146F"/>
    <w:rsid w:val="00AD17FC"/>
    <w:rsid w:val="00AD1BF2"/>
    <w:rsid w:val="00AD36E6"/>
    <w:rsid w:val="00AD4136"/>
    <w:rsid w:val="00AD44E2"/>
    <w:rsid w:val="00AE085F"/>
    <w:rsid w:val="00AE0D75"/>
    <w:rsid w:val="00AE28F6"/>
    <w:rsid w:val="00AE2DAD"/>
    <w:rsid w:val="00AE3571"/>
    <w:rsid w:val="00AE3819"/>
    <w:rsid w:val="00AE4ADC"/>
    <w:rsid w:val="00AE5903"/>
    <w:rsid w:val="00AE5F02"/>
    <w:rsid w:val="00AE7F55"/>
    <w:rsid w:val="00AF176A"/>
    <w:rsid w:val="00AF17EB"/>
    <w:rsid w:val="00AF223F"/>
    <w:rsid w:val="00AF2317"/>
    <w:rsid w:val="00AF51B9"/>
    <w:rsid w:val="00AF5BB2"/>
    <w:rsid w:val="00AF6C68"/>
    <w:rsid w:val="00B00BE8"/>
    <w:rsid w:val="00B00DE4"/>
    <w:rsid w:val="00B013DC"/>
    <w:rsid w:val="00B053FC"/>
    <w:rsid w:val="00B05628"/>
    <w:rsid w:val="00B05B00"/>
    <w:rsid w:val="00B05C2C"/>
    <w:rsid w:val="00B12600"/>
    <w:rsid w:val="00B129A5"/>
    <w:rsid w:val="00B13322"/>
    <w:rsid w:val="00B13CE5"/>
    <w:rsid w:val="00B1438F"/>
    <w:rsid w:val="00B167B2"/>
    <w:rsid w:val="00B17F64"/>
    <w:rsid w:val="00B22B65"/>
    <w:rsid w:val="00B235C3"/>
    <w:rsid w:val="00B24057"/>
    <w:rsid w:val="00B25D8F"/>
    <w:rsid w:val="00B2665E"/>
    <w:rsid w:val="00B27991"/>
    <w:rsid w:val="00B31334"/>
    <w:rsid w:val="00B31CA3"/>
    <w:rsid w:val="00B31EF9"/>
    <w:rsid w:val="00B31FD1"/>
    <w:rsid w:val="00B32528"/>
    <w:rsid w:val="00B3543A"/>
    <w:rsid w:val="00B3550D"/>
    <w:rsid w:val="00B42867"/>
    <w:rsid w:val="00B42D40"/>
    <w:rsid w:val="00B42F1B"/>
    <w:rsid w:val="00B46465"/>
    <w:rsid w:val="00B4717B"/>
    <w:rsid w:val="00B501C9"/>
    <w:rsid w:val="00B503EC"/>
    <w:rsid w:val="00B51E81"/>
    <w:rsid w:val="00B52BB1"/>
    <w:rsid w:val="00B52D60"/>
    <w:rsid w:val="00B53D60"/>
    <w:rsid w:val="00B54A3E"/>
    <w:rsid w:val="00B57CDA"/>
    <w:rsid w:val="00B57D6D"/>
    <w:rsid w:val="00B60241"/>
    <w:rsid w:val="00B605A8"/>
    <w:rsid w:val="00B608D2"/>
    <w:rsid w:val="00B61295"/>
    <w:rsid w:val="00B618B3"/>
    <w:rsid w:val="00B62223"/>
    <w:rsid w:val="00B63C4C"/>
    <w:rsid w:val="00B643FE"/>
    <w:rsid w:val="00B64836"/>
    <w:rsid w:val="00B64BD3"/>
    <w:rsid w:val="00B64CDF"/>
    <w:rsid w:val="00B66626"/>
    <w:rsid w:val="00B675CF"/>
    <w:rsid w:val="00B67E82"/>
    <w:rsid w:val="00B7028F"/>
    <w:rsid w:val="00B7176C"/>
    <w:rsid w:val="00B71D93"/>
    <w:rsid w:val="00B7305A"/>
    <w:rsid w:val="00B7319F"/>
    <w:rsid w:val="00B76F4E"/>
    <w:rsid w:val="00B773B8"/>
    <w:rsid w:val="00B8068E"/>
    <w:rsid w:val="00B807D4"/>
    <w:rsid w:val="00B82EFB"/>
    <w:rsid w:val="00B83C61"/>
    <w:rsid w:val="00B86AD0"/>
    <w:rsid w:val="00B870D0"/>
    <w:rsid w:val="00B910E2"/>
    <w:rsid w:val="00B91B0B"/>
    <w:rsid w:val="00B93117"/>
    <w:rsid w:val="00B94748"/>
    <w:rsid w:val="00B96621"/>
    <w:rsid w:val="00B972C1"/>
    <w:rsid w:val="00BA1817"/>
    <w:rsid w:val="00BA2339"/>
    <w:rsid w:val="00BA2DDA"/>
    <w:rsid w:val="00BA3B9B"/>
    <w:rsid w:val="00BA4746"/>
    <w:rsid w:val="00BA4906"/>
    <w:rsid w:val="00BA5C87"/>
    <w:rsid w:val="00BA6F73"/>
    <w:rsid w:val="00BB027D"/>
    <w:rsid w:val="00BB06E1"/>
    <w:rsid w:val="00BB1608"/>
    <w:rsid w:val="00BB16B7"/>
    <w:rsid w:val="00BB598F"/>
    <w:rsid w:val="00BB7DD4"/>
    <w:rsid w:val="00BC0923"/>
    <w:rsid w:val="00BC143D"/>
    <w:rsid w:val="00BC2350"/>
    <w:rsid w:val="00BC2C64"/>
    <w:rsid w:val="00BC4A46"/>
    <w:rsid w:val="00BC60E6"/>
    <w:rsid w:val="00BC6951"/>
    <w:rsid w:val="00BC795E"/>
    <w:rsid w:val="00BD09B6"/>
    <w:rsid w:val="00BD0C0F"/>
    <w:rsid w:val="00BD2693"/>
    <w:rsid w:val="00BD3B3B"/>
    <w:rsid w:val="00BD44F6"/>
    <w:rsid w:val="00BD49F1"/>
    <w:rsid w:val="00BD5122"/>
    <w:rsid w:val="00BD7B46"/>
    <w:rsid w:val="00BE0499"/>
    <w:rsid w:val="00BE3E5C"/>
    <w:rsid w:val="00BE48FE"/>
    <w:rsid w:val="00BE66CA"/>
    <w:rsid w:val="00BE7366"/>
    <w:rsid w:val="00BE759C"/>
    <w:rsid w:val="00BE7EA0"/>
    <w:rsid w:val="00BF38EC"/>
    <w:rsid w:val="00BF4A07"/>
    <w:rsid w:val="00BF4CB9"/>
    <w:rsid w:val="00BF58CD"/>
    <w:rsid w:val="00BF6139"/>
    <w:rsid w:val="00BF7F78"/>
    <w:rsid w:val="00C00066"/>
    <w:rsid w:val="00C009D7"/>
    <w:rsid w:val="00C0153D"/>
    <w:rsid w:val="00C01AE3"/>
    <w:rsid w:val="00C0296A"/>
    <w:rsid w:val="00C03247"/>
    <w:rsid w:val="00C0370B"/>
    <w:rsid w:val="00C03B58"/>
    <w:rsid w:val="00C04E8F"/>
    <w:rsid w:val="00C0567E"/>
    <w:rsid w:val="00C1017D"/>
    <w:rsid w:val="00C10E8E"/>
    <w:rsid w:val="00C1460A"/>
    <w:rsid w:val="00C1609A"/>
    <w:rsid w:val="00C20717"/>
    <w:rsid w:val="00C21034"/>
    <w:rsid w:val="00C219F0"/>
    <w:rsid w:val="00C24804"/>
    <w:rsid w:val="00C24FA9"/>
    <w:rsid w:val="00C256D9"/>
    <w:rsid w:val="00C25AA1"/>
    <w:rsid w:val="00C262AE"/>
    <w:rsid w:val="00C2664B"/>
    <w:rsid w:val="00C32683"/>
    <w:rsid w:val="00C33720"/>
    <w:rsid w:val="00C33A1F"/>
    <w:rsid w:val="00C33E74"/>
    <w:rsid w:val="00C34B0F"/>
    <w:rsid w:val="00C358A7"/>
    <w:rsid w:val="00C36C7F"/>
    <w:rsid w:val="00C4052B"/>
    <w:rsid w:val="00C40CEF"/>
    <w:rsid w:val="00C411B3"/>
    <w:rsid w:val="00C436AE"/>
    <w:rsid w:val="00C43BD5"/>
    <w:rsid w:val="00C43CF9"/>
    <w:rsid w:val="00C47BDB"/>
    <w:rsid w:val="00C501DD"/>
    <w:rsid w:val="00C509F2"/>
    <w:rsid w:val="00C512F2"/>
    <w:rsid w:val="00C51FB8"/>
    <w:rsid w:val="00C524A3"/>
    <w:rsid w:val="00C53D60"/>
    <w:rsid w:val="00C60B4F"/>
    <w:rsid w:val="00C62012"/>
    <w:rsid w:val="00C65100"/>
    <w:rsid w:val="00C6652B"/>
    <w:rsid w:val="00C66A95"/>
    <w:rsid w:val="00C66DB9"/>
    <w:rsid w:val="00C67902"/>
    <w:rsid w:val="00C67E91"/>
    <w:rsid w:val="00C70021"/>
    <w:rsid w:val="00C709BD"/>
    <w:rsid w:val="00C715D4"/>
    <w:rsid w:val="00C74B6E"/>
    <w:rsid w:val="00C768CF"/>
    <w:rsid w:val="00C77021"/>
    <w:rsid w:val="00C775FC"/>
    <w:rsid w:val="00C77897"/>
    <w:rsid w:val="00C80E5C"/>
    <w:rsid w:val="00C82004"/>
    <w:rsid w:val="00C82B8A"/>
    <w:rsid w:val="00C82EAA"/>
    <w:rsid w:val="00C84C51"/>
    <w:rsid w:val="00C85C9E"/>
    <w:rsid w:val="00C86EE6"/>
    <w:rsid w:val="00C8780D"/>
    <w:rsid w:val="00C90BE7"/>
    <w:rsid w:val="00C90E8B"/>
    <w:rsid w:val="00C90EBF"/>
    <w:rsid w:val="00C9224D"/>
    <w:rsid w:val="00C9288A"/>
    <w:rsid w:val="00C94378"/>
    <w:rsid w:val="00C94703"/>
    <w:rsid w:val="00C94DB0"/>
    <w:rsid w:val="00C9784F"/>
    <w:rsid w:val="00CA188D"/>
    <w:rsid w:val="00CA4676"/>
    <w:rsid w:val="00CA5598"/>
    <w:rsid w:val="00CA5E24"/>
    <w:rsid w:val="00CA6DB8"/>
    <w:rsid w:val="00CB026A"/>
    <w:rsid w:val="00CB29F0"/>
    <w:rsid w:val="00CB2EA7"/>
    <w:rsid w:val="00CB39F3"/>
    <w:rsid w:val="00CB4317"/>
    <w:rsid w:val="00CB4A23"/>
    <w:rsid w:val="00CB69C0"/>
    <w:rsid w:val="00CB6DE4"/>
    <w:rsid w:val="00CC0FC9"/>
    <w:rsid w:val="00CC1633"/>
    <w:rsid w:val="00CC1ED8"/>
    <w:rsid w:val="00CC231B"/>
    <w:rsid w:val="00CC23B7"/>
    <w:rsid w:val="00CC4D83"/>
    <w:rsid w:val="00CD22B1"/>
    <w:rsid w:val="00CD2305"/>
    <w:rsid w:val="00CD43A3"/>
    <w:rsid w:val="00CD5E1B"/>
    <w:rsid w:val="00CE17D6"/>
    <w:rsid w:val="00CE5134"/>
    <w:rsid w:val="00CE5565"/>
    <w:rsid w:val="00CE6166"/>
    <w:rsid w:val="00CE6238"/>
    <w:rsid w:val="00CE71A8"/>
    <w:rsid w:val="00CE770D"/>
    <w:rsid w:val="00CF0E07"/>
    <w:rsid w:val="00CF2B15"/>
    <w:rsid w:val="00CF7428"/>
    <w:rsid w:val="00CF7806"/>
    <w:rsid w:val="00CF78D2"/>
    <w:rsid w:val="00D00255"/>
    <w:rsid w:val="00D01549"/>
    <w:rsid w:val="00D01B96"/>
    <w:rsid w:val="00D038BB"/>
    <w:rsid w:val="00D03CCE"/>
    <w:rsid w:val="00D05A0F"/>
    <w:rsid w:val="00D06882"/>
    <w:rsid w:val="00D10BBD"/>
    <w:rsid w:val="00D12F37"/>
    <w:rsid w:val="00D13D66"/>
    <w:rsid w:val="00D13E7E"/>
    <w:rsid w:val="00D143C9"/>
    <w:rsid w:val="00D14E2F"/>
    <w:rsid w:val="00D16495"/>
    <w:rsid w:val="00D16BED"/>
    <w:rsid w:val="00D16D35"/>
    <w:rsid w:val="00D17F99"/>
    <w:rsid w:val="00D2182C"/>
    <w:rsid w:val="00D219DF"/>
    <w:rsid w:val="00D219FD"/>
    <w:rsid w:val="00D2251C"/>
    <w:rsid w:val="00D23551"/>
    <w:rsid w:val="00D23A53"/>
    <w:rsid w:val="00D25067"/>
    <w:rsid w:val="00D27680"/>
    <w:rsid w:val="00D3069F"/>
    <w:rsid w:val="00D30B57"/>
    <w:rsid w:val="00D322CC"/>
    <w:rsid w:val="00D35F9C"/>
    <w:rsid w:val="00D377EC"/>
    <w:rsid w:val="00D37D21"/>
    <w:rsid w:val="00D41A1F"/>
    <w:rsid w:val="00D41EC1"/>
    <w:rsid w:val="00D45267"/>
    <w:rsid w:val="00D4593F"/>
    <w:rsid w:val="00D46A43"/>
    <w:rsid w:val="00D51013"/>
    <w:rsid w:val="00D5162B"/>
    <w:rsid w:val="00D52401"/>
    <w:rsid w:val="00D543A0"/>
    <w:rsid w:val="00D560C7"/>
    <w:rsid w:val="00D577A4"/>
    <w:rsid w:val="00D62041"/>
    <w:rsid w:val="00D622D8"/>
    <w:rsid w:val="00D624F3"/>
    <w:rsid w:val="00D645BC"/>
    <w:rsid w:val="00D65285"/>
    <w:rsid w:val="00D65EC5"/>
    <w:rsid w:val="00D6667D"/>
    <w:rsid w:val="00D666BA"/>
    <w:rsid w:val="00D66E6F"/>
    <w:rsid w:val="00D6721C"/>
    <w:rsid w:val="00D675A9"/>
    <w:rsid w:val="00D6767F"/>
    <w:rsid w:val="00D7221A"/>
    <w:rsid w:val="00D734C7"/>
    <w:rsid w:val="00D74CF2"/>
    <w:rsid w:val="00D74E13"/>
    <w:rsid w:val="00D74E4C"/>
    <w:rsid w:val="00D7532D"/>
    <w:rsid w:val="00D75838"/>
    <w:rsid w:val="00D75EFC"/>
    <w:rsid w:val="00D76376"/>
    <w:rsid w:val="00D76B10"/>
    <w:rsid w:val="00D76DDA"/>
    <w:rsid w:val="00D77129"/>
    <w:rsid w:val="00D77BCF"/>
    <w:rsid w:val="00D801B9"/>
    <w:rsid w:val="00D806F5"/>
    <w:rsid w:val="00D808FA"/>
    <w:rsid w:val="00D80D3D"/>
    <w:rsid w:val="00D80FBB"/>
    <w:rsid w:val="00D81D24"/>
    <w:rsid w:val="00D830A3"/>
    <w:rsid w:val="00D83E20"/>
    <w:rsid w:val="00D83F57"/>
    <w:rsid w:val="00D84C9B"/>
    <w:rsid w:val="00D85801"/>
    <w:rsid w:val="00D85CC2"/>
    <w:rsid w:val="00D85DDC"/>
    <w:rsid w:val="00D8603A"/>
    <w:rsid w:val="00D871EB"/>
    <w:rsid w:val="00D87864"/>
    <w:rsid w:val="00D9201B"/>
    <w:rsid w:val="00D93B18"/>
    <w:rsid w:val="00D95EA2"/>
    <w:rsid w:val="00D95F04"/>
    <w:rsid w:val="00DA1163"/>
    <w:rsid w:val="00DA1BAF"/>
    <w:rsid w:val="00DA40BF"/>
    <w:rsid w:val="00DA4388"/>
    <w:rsid w:val="00DA4C85"/>
    <w:rsid w:val="00DA4FCE"/>
    <w:rsid w:val="00DA606F"/>
    <w:rsid w:val="00DA66DA"/>
    <w:rsid w:val="00DA7060"/>
    <w:rsid w:val="00DB0E07"/>
    <w:rsid w:val="00DB1071"/>
    <w:rsid w:val="00DB2F4E"/>
    <w:rsid w:val="00DB474C"/>
    <w:rsid w:val="00DB615C"/>
    <w:rsid w:val="00DB706B"/>
    <w:rsid w:val="00DB78B0"/>
    <w:rsid w:val="00DC1E8B"/>
    <w:rsid w:val="00DC2F91"/>
    <w:rsid w:val="00DC367C"/>
    <w:rsid w:val="00DC39D1"/>
    <w:rsid w:val="00DC5395"/>
    <w:rsid w:val="00DC60BA"/>
    <w:rsid w:val="00DC79D2"/>
    <w:rsid w:val="00DC7B61"/>
    <w:rsid w:val="00DD01A7"/>
    <w:rsid w:val="00DD01EF"/>
    <w:rsid w:val="00DD25C2"/>
    <w:rsid w:val="00DD2BA0"/>
    <w:rsid w:val="00DD6640"/>
    <w:rsid w:val="00DD6902"/>
    <w:rsid w:val="00DD6E5D"/>
    <w:rsid w:val="00DD7911"/>
    <w:rsid w:val="00DE0419"/>
    <w:rsid w:val="00DE43D0"/>
    <w:rsid w:val="00DE5409"/>
    <w:rsid w:val="00DE6428"/>
    <w:rsid w:val="00DF0DB5"/>
    <w:rsid w:val="00DF104D"/>
    <w:rsid w:val="00DF286F"/>
    <w:rsid w:val="00DF3E44"/>
    <w:rsid w:val="00DF4763"/>
    <w:rsid w:val="00DF497B"/>
    <w:rsid w:val="00DF4C6D"/>
    <w:rsid w:val="00DF59F9"/>
    <w:rsid w:val="00E00E12"/>
    <w:rsid w:val="00E00E6D"/>
    <w:rsid w:val="00E020BF"/>
    <w:rsid w:val="00E033FE"/>
    <w:rsid w:val="00E037B9"/>
    <w:rsid w:val="00E03D94"/>
    <w:rsid w:val="00E132AB"/>
    <w:rsid w:val="00E1669F"/>
    <w:rsid w:val="00E16F73"/>
    <w:rsid w:val="00E174A9"/>
    <w:rsid w:val="00E17561"/>
    <w:rsid w:val="00E20345"/>
    <w:rsid w:val="00E24BD5"/>
    <w:rsid w:val="00E26822"/>
    <w:rsid w:val="00E276BE"/>
    <w:rsid w:val="00E2786B"/>
    <w:rsid w:val="00E30C6E"/>
    <w:rsid w:val="00E30E95"/>
    <w:rsid w:val="00E31962"/>
    <w:rsid w:val="00E33F84"/>
    <w:rsid w:val="00E343D0"/>
    <w:rsid w:val="00E37E6E"/>
    <w:rsid w:val="00E41255"/>
    <w:rsid w:val="00E4193D"/>
    <w:rsid w:val="00E43D60"/>
    <w:rsid w:val="00E44F50"/>
    <w:rsid w:val="00E50DE3"/>
    <w:rsid w:val="00E51182"/>
    <w:rsid w:val="00E516E3"/>
    <w:rsid w:val="00E51F72"/>
    <w:rsid w:val="00E5283B"/>
    <w:rsid w:val="00E52CF9"/>
    <w:rsid w:val="00E53451"/>
    <w:rsid w:val="00E5374C"/>
    <w:rsid w:val="00E54340"/>
    <w:rsid w:val="00E55752"/>
    <w:rsid w:val="00E568CE"/>
    <w:rsid w:val="00E57238"/>
    <w:rsid w:val="00E6011E"/>
    <w:rsid w:val="00E62371"/>
    <w:rsid w:val="00E63186"/>
    <w:rsid w:val="00E6645E"/>
    <w:rsid w:val="00E66902"/>
    <w:rsid w:val="00E67BF7"/>
    <w:rsid w:val="00E67C30"/>
    <w:rsid w:val="00E67D92"/>
    <w:rsid w:val="00E7286D"/>
    <w:rsid w:val="00E737EA"/>
    <w:rsid w:val="00E744D1"/>
    <w:rsid w:val="00E75396"/>
    <w:rsid w:val="00E75DE8"/>
    <w:rsid w:val="00E77C5E"/>
    <w:rsid w:val="00E803BE"/>
    <w:rsid w:val="00E80C2B"/>
    <w:rsid w:val="00E81273"/>
    <w:rsid w:val="00E81E37"/>
    <w:rsid w:val="00E82DAD"/>
    <w:rsid w:val="00E83C67"/>
    <w:rsid w:val="00E854D1"/>
    <w:rsid w:val="00E85585"/>
    <w:rsid w:val="00E85D42"/>
    <w:rsid w:val="00E86785"/>
    <w:rsid w:val="00E86906"/>
    <w:rsid w:val="00E90BFF"/>
    <w:rsid w:val="00E93F83"/>
    <w:rsid w:val="00E942BD"/>
    <w:rsid w:val="00E95803"/>
    <w:rsid w:val="00EA02EF"/>
    <w:rsid w:val="00EA0F02"/>
    <w:rsid w:val="00EA12D3"/>
    <w:rsid w:val="00EA179E"/>
    <w:rsid w:val="00EA38C6"/>
    <w:rsid w:val="00EA3943"/>
    <w:rsid w:val="00EA3F5C"/>
    <w:rsid w:val="00EA41D8"/>
    <w:rsid w:val="00EA59ED"/>
    <w:rsid w:val="00EA6B8B"/>
    <w:rsid w:val="00EA6DA2"/>
    <w:rsid w:val="00EA6E71"/>
    <w:rsid w:val="00EA7749"/>
    <w:rsid w:val="00EB156C"/>
    <w:rsid w:val="00EB18CB"/>
    <w:rsid w:val="00EB1B42"/>
    <w:rsid w:val="00EB270A"/>
    <w:rsid w:val="00EB3210"/>
    <w:rsid w:val="00EB34EA"/>
    <w:rsid w:val="00EB499A"/>
    <w:rsid w:val="00EB6419"/>
    <w:rsid w:val="00EB69E0"/>
    <w:rsid w:val="00EB6C27"/>
    <w:rsid w:val="00EC55FB"/>
    <w:rsid w:val="00EC6260"/>
    <w:rsid w:val="00EC68DA"/>
    <w:rsid w:val="00ED000D"/>
    <w:rsid w:val="00ED00B1"/>
    <w:rsid w:val="00ED0585"/>
    <w:rsid w:val="00ED174B"/>
    <w:rsid w:val="00ED1F07"/>
    <w:rsid w:val="00ED486E"/>
    <w:rsid w:val="00ED5142"/>
    <w:rsid w:val="00ED75D4"/>
    <w:rsid w:val="00EE0CDE"/>
    <w:rsid w:val="00EE1691"/>
    <w:rsid w:val="00EE1835"/>
    <w:rsid w:val="00EE2ADE"/>
    <w:rsid w:val="00EE326A"/>
    <w:rsid w:val="00EE3AE4"/>
    <w:rsid w:val="00EE7590"/>
    <w:rsid w:val="00EF0123"/>
    <w:rsid w:val="00EF031B"/>
    <w:rsid w:val="00EF1DF4"/>
    <w:rsid w:val="00EF3C77"/>
    <w:rsid w:val="00EF48A6"/>
    <w:rsid w:val="00EF5CD5"/>
    <w:rsid w:val="00F006BA"/>
    <w:rsid w:val="00F01303"/>
    <w:rsid w:val="00F0135B"/>
    <w:rsid w:val="00F01368"/>
    <w:rsid w:val="00F029A4"/>
    <w:rsid w:val="00F0401E"/>
    <w:rsid w:val="00F04409"/>
    <w:rsid w:val="00F059F9"/>
    <w:rsid w:val="00F07039"/>
    <w:rsid w:val="00F07410"/>
    <w:rsid w:val="00F10029"/>
    <w:rsid w:val="00F10FB4"/>
    <w:rsid w:val="00F1436C"/>
    <w:rsid w:val="00F147C1"/>
    <w:rsid w:val="00F17515"/>
    <w:rsid w:val="00F17B8B"/>
    <w:rsid w:val="00F22289"/>
    <w:rsid w:val="00F22752"/>
    <w:rsid w:val="00F242EA"/>
    <w:rsid w:val="00F24749"/>
    <w:rsid w:val="00F24FD3"/>
    <w:rsid w:val="00F2546D"/>
    <w:rsid w:val="00F2608C"/>
    <w:rsid w:val="00F26871"/>
    <w:rsid w:val="00F2690B"/>
    <w:rsid w:val="00F26DCA"/>
    <w:rsid w:val="00F26EE7"/>
    <w:rsid w:val="00F30A72"/>
    <w:rsid w:val="00F31965"/>
    <w:rsid w:val="00F31CD2"/>
    <w:rsid w:val="00F331ED"/>
    <w:rsid w:val="00F35627"/>
    <w:rsid w:val="00F36430"/>
    <w:rsid w:val="00F37301"/>
    <w:rsid w:val="00F376F7"/>
    <w:rsid w:val="00F37F69"/>
    <w:rsid w:val="00F40150"/>
    <w:rsid w:val="00F4059C"/>
    <w:rsid w:val="00F41F16"/>
    <w:rsid w:val="00F42375"/>
    <w:rsid w:val="00F42D1F"/>
    <w:rsid w:val="00F42FEA"/>
    <w:rsid w:val="00F43418"/>
    <w:rsid w:val="00F43DE8"/>
    <w:rsid w:val="00F446A0"/>
    <w:rsid w:val="00F50057"/>
    <w:rsid w:val="00F51B44"/>
    <w:rsid w:val="00F51D71"/>
    <w:rsid w:val="00F52091"/>
    <w:rsid w:val="00F552B3"/>
    <w:rsid w:val="00F56642"/>
    <w:rsid w:val="00F57B62"/>
    <w:rsid w:val="00F609B3"/>
    <w:rsid w:val="00F61186"/>
    <w:rsid w:val="00F61DCF"/>
    <w:rsid w:val="00F62010"/>
    <w:rsid w:val="00F636C8"/>
    <w:rsid w:val="00F63C57"/>
    <w:rsid w:val="00F643E8"/>
    <w:rsid w:val="00F673E3"/>
    <w:rsid w:val="00F7146B"/>
    <w:rsid w:val="00F74A30"/>
    <w:rsid w:val="00F815CA"/>
    <w:rsid w:val="00F83585"/>
    <w:rsid w:val="00F83F97"/>
    <w:rsid w:val="00F8455E"/>
    <w:rsid w:val="00F90E17"/>
    <w:rsid w:val="00F91E22"/>
    <w:rsid w:val="00F94D9E"/>
    <w:rsid w:val="00F96CB8"/>
    <w:rsid w:val="00F96D00"/>
    <w:rsid w:val="00FA024F"/>
    <w:rsid w:val="00FA0BE4"/>
    <w:rsid w:val="00FA2EEC"/>
    <w:rsid w:val="00FA3492"/>
    <w:rsid w:val="00FA352B"/>
    <w:rsid w:val="00FA35A9"/>
    <w:rsid w:val="00FA39FF"/>
    <w:rsid w:val="00FA3F2D"/>
    <w:rsid w:val="00FA43AE"/>
    <w:rsid w:val="00FA48AC"/>
    <w:rsid w:val="00FA7762"/>
    <w:rsid w:val="00FB0026"/>
    <w:rsid w:val="00FB0119"/>
    <w:rsid w:val="00FB0C83"/>
    <w:rsid w:val="00FB2C3A"/>
    <w:rsid w:val="00FB32CD"/>
    <w:rsid w:val="00FB3465"/>
    <w:rsid w:val="00FB3A18"/>
    <w:rsid w:val="00FB6817"/>
    <w:rsid w:val="00FB719C"/>
    <w:rsid w:val="00FC3DA5"/>
    <w:rsid w:val="00FC4830"/>
    <w:rsid w:val="00FC5CE9"/>
    <w:rsid w:val="00FC60BB"/>
    <w:rsid w:val="00FD14F4"/>
    <w:rsid w:val="00FD22B9"/>
    <w:rsid w:val="00FD28FC"/>
    <w:rsid w:val="00FD4E3B"/>
    <w:rsid w:val="00FD537D"/>
    <w:rsid w:val="00FD6230"/>
    <w:rsid w:val="00FD72A9"/>
    <w:rsid w:val="00FD7512"/>
    <w:rsid w:val="00FE04B6"/>
    <w:rsid w:val="00FE23F8"/>
    <w:rsid w:val="00FE277E"/>
    <w:rsid w:val="00FE2DD2"/>
    <w:rsid w:val="00FE34D3"/>
    <w:rsid w:val="00FE5D16"/>
    <w:rsid w:val="00FE5F90"/>
    <w:rsid w:val="00FE6A6D"/>
    <w:rsid w:val="00FF07FB"/>
    <w:rsid w:val="00FF1CCB"/>
    <w:rsid w:val="00FF2187"/>
    <w:rsid w:val="00FF27AB"/>
    <w:rsid w:val="00FF3868"/>
    <w:rsid w:val="00FF552D"/>
    <w:rsid w:val="00FF5C2E"/>
    <w:rsid w:val="00FF5FF5"/>
    <w:rsid w:val="00FF7BE8"/>
    <w:rsid w:val="098106D5"/>
    <w:rsid w:val="0D434719"/>
    <w:rsid w:val="0F2B62A7"/>
    <w:rsid w:val="20DBDD0E"/>
    <w:rsid w:val="367391CB"/>
    <w:rsid w:val="3EE3D7DD"/>
    <w:rsid w:val="46810C88"/>
    <w:rsid w:val="4A319E8C"/>
    <w:rsid w:val="4CC282EB"/>
    <w:rsid w:val="4FE7F2C5"/>
    <w:rsid w:val="50BF1C22"/>
    <w:rsid w:val="563CCEBA"/>
    <w:rsid w:val="565460A8"/>
    <w:rsid w:val="5978A971"/>
    <w:rsid w:val="661CBC91"/>
    <w:rsid w:val="67C763DF"/>
    <w:rsid w:val="6859E06F"/>
    <w:rsid w:val="6D5C9F18"/>
    <w:rsid w:val="6F108675"/>
    <w:rsid w:val="70E12508"/>
    <w:rsid w:val="7483792F"/>
    <w:rsid w:val="7896EA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275D3"/>
  <w15:chartTrackingRefBased/>
  <w15:docId w15:val="{E4696BC2-B36B-4A7C-B2AF-619F9B74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8C6"/>
    <w:pPr>
      <w:spacing w:after="0"/>
    </w:pPr>
    <w:rPr>
      <w:rFonts w:ascii="Times New Roman" w:hAnsi="Times New Roman"/>
    </w:rPr>
  </w:style>
  <w:style w:type="paragraph" w:styleId="Heading1">
    <w:name w:val="heading 1"/>
    <w:basedOn w:val="Normal"/>
    <w:next w:val="Normal"/>
    <w:link w:val="Heading1Char"/>
    <w:qFormat/>
    <w:rsid w:val="009B5746"/>
    <w:pPr>
      <w:keepNext/>
      <w:keepLines/>
      <w:numPr>
        <w:numId w:val="5"/>
      </w:numPr>
      <w:spacing w:before="240" w:after="120" w:line="360" w:lineRule="auto"/>
      <w:outlineLvl w:val="0"/>
    </w:pPr>
    <w:rPr>
      <w:rFonts w:eastAsiaTheme="majorEastAsia" w:cstheme="majorBidi"/>
      <w:b/>
      <w:bCs/>
      <w:sz w:val="28"/>
      <w:szCs w:val="28"/>
    </w:rPr>
  </w:style>
  <w:style w:type="paragraph" w:styleId="Heading2">
    <w:name w:val="heading 2"/>
    <w:basedOn w:val="Heading1"/>
    <w:next w:val="Normal"/>
    <w:link w:val="Heading2Char"/>
    <w:qFormat/>
    <w:rsid w:val="00284CC0"/>
    <w:pPr>
      <w:keepLines w:val="0"/>
      <w:numPr>
        <w:numId w:val="1"/>
      </w:numPr>
      <w:spacing w:before="120" w:after="240" w:line="240" w:lineRule="auto"/>
      <w:outlineLvl w:val="1"/>
    </w:pPr>
    <w:rPr>
      <w:rFonts w:eastAsia="Times New Roman" w:cs="Times New Roman"/>
      <w:bCs w:val="0"/>
      <w:sz w:val="24"/>
      <w:szCs w:val="20"/>
      <w:u w:val="single"/>
    </w:rPr>
  </w:style>
  <w:style w:type="paragraph" w:styleId="Heading3">
    <w:name w:val="heading 3"/>
    <w:basedOn w:val="Heading2"/>
    <w:next w:val="HText3"/>
    <w:link w:val="Heading3Char"/>
    <w:qFormat/>
    <w:rsid w:val="00B1438F"/>
    <w:pPr>
      <w:numPr>
        <w:numId w:val="6"/>
      </w:numPr>
      <w:tabs>
        <w:tab w:val="num" w:pos="360"/>
      </w:tabs>
      <w:ind w:left="1080"/>
      <w:outlineLvl w:val="2"/>
    </w:pPr>
  </w:style>
  <w:style w:type="paragraph" w:styleId="Heading4">
    <w:name w:val="heading 4"/>
    <w:basedOn w:val="Normal"/>
    <w:next w:val="Normal"/>
    <w:link w:val="Heading4Char"/>
    <w:uiPriority w:val="99"/>
    <w:semiHidden/>
    <w:rsid w:val="0013465B"/>
    <w:pPr>
      <w:keepNext/>
      <w:keepLines/>
      <w:spacing w:before="40" w:after="120"/>
      <w:outlineLvl w:val="3"/>
    </w:pPr>
    <w:rPr>
      <w:rFonts w:eastAsiaTheme="majorEastAsia" w:cstheme="majorBidi"/>
      <w:b/>
      <w:i/>
      <w:iCs/>
      <w:u w:val="single"/>
    </w:rPr>
  </w:style>
  <w:style w:type="paragraph" w:styleId="Heading5">
    <w:name w:val="heading 5"/>
    <w:basedOn w:val="Normal"/>
    <w:next w:val="Normal"/>
    <w:link w:val="Heading5Char"/>
    <w:uiPriority w:val="99"/>
    <w:semiHidden/>
    <w:rsid w:val="00C501DD"/>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9"/>
    <w:semiHidden/>
    <w:qFormat/>
    <w:rsid w:val="00C501DD"/>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9"/>
    <w:semiHidden/>
    <w:qFormat/>
    <w:rsid w:val="00C501DD"/>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9"/>
    <w:semiHidden/>
    <w:qFormat/>
    <w:rsid w:val="00C501DD"/>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9"/>
    <w:semiHidden/>
    <w:qFormat/>
    <w:rsid w:val="00C501DD"/>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746"/>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rsid w:val="00284CC0"/>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B1438F"/>
    <w:rPr>
      <w:rFonts w:ascii="Times New Roman" w:eastAsia="Times New Roman" w:hAnsi="Times New Roman" w:cs="Times New Roman"/>
      <w:b/>
      <w:sz w:val="24"/>
      <w:szCs w:val="20"/>
      <w:u w:val="single"/>
    </w:rPr>
  </w:style>
  <w:style w:type="paragraph" w:customStyle="1" w:styleId="HText3">
    <w:name w:val="H Text 3"/>
    <w:basedOn w:val="Normal"/>
    <w:qFormat/>
    <w:rsid w:val="008E4FBB"/>
    <w:pPr>
      <w:spacing w:before="240" w:after="120" w:line="360" w:lineRule="auto"/>
      <w:ind w:left="720" w:firstLine="360"/>
    </w:pPr>
    <w:rPr>
      <w:rFonts w:eastAsia="Times New Roman" w:cs="Times New Roman"/>
      <w:sz w:val="24"/>
      <w:szCs w:val="20"/>
    </w:rPr>
  </w:style>
  <w:style w:type="paragraph" w:customStyle="1" w:styleId="HText3Bullets">
    <w:name w:val="H Text 3 Bullets"/>
    <w:basedOn w:val="HText3"/>
    <w:qFormat/>
    <w:rsid w:val="005058B3"/>
    <w:pPr>
      <w:numPr>
        <w:numId w:val="2"/>
      </w:numPr>
      <w:spacing w:before="120"/>
    </w:pPr>
  </w:style>
  <w:style w:type="paragraph" w:customStyle="1" w:styleId="HText4Bullets">
    <w:name w:val="H Text 4 Bullets"/>
    <w:basedOn w:val="HText3Bullets"/>
    <w:qFormat/>
    <w:rsid w:val="005058B3"/>
    <w:pPr>
      <w:widowControl w:val="0"/>
      <w:numPr>
        <w:numId w:val="4"/>
      </w:numPr>
    </w:pPr>
  </w:style>
  <w:style w:type="paragraph" w:styleId="Caption">
    <w:name w:val="caption"/>
    <w:basedOn w:val="Normal"/>
    <w:next w:val="Normal"/>
    <w:rsid w:val="005058B3"/>
    <w:pPr>
      <w:keepNext/>
      <w:widowControl w:val="0"/>
      <w:spacing w:before="120" w:after="120" w:line="240" w:lineRule="auto"/>
      <w:jc w:val="center"/>
    </w:pPr>
    <w:rPr>
      <w:rFonts w:eastAsia="Times New Roman" w:cs="Times New Roman"/>
      <w:b/>
      <w:sz w:val="24"/>
      <w:szCs w:val="20"/>
    </w:rPr>
  </w:style>
  <w:style w:type="character" w:styleId="Hyperlink">
    <w:name w:val="Hyperlink"/>
    <w:uiPriority w:val="99"/>
    <w:rsid w:val="005058B3"/>
    <w:rPr>
      <w:b/>
      <w:color w:val="0000CC"/>
      <w:u w:val="none"/>
    </w:rPr>
  </w:style>
  <w:style w:type="paragraph" w:styleId="ListNumber">
    <w:name w:val="List Number"/>
    <w:basedOn w:val="Normal"/>
    <w:qFormat/>
    <w:rsid w:val="003F7546"/>
    <w:pPr>
      <w:numPr>
        <w:numId w:val="3"/>
      </w:numPr>
      <w:spacing w:after="240"/>
      <w:ind w:hanging="720"/>
    </w:pPr>
    <w:rPr>
      <w:rFonts w:eastAsia="Times New Roman" w:cs="Times New Roman"/>
      <w:sz w:val="24"/>
      <w:szCs w:val="24"/>
    </w:rPr>
  </w:style>
  <w:style w:type="paragraph" w:styleId="FootnoteText">
    <w:name w:val="footnote text"/>
    <w:basedOn w:val="Normal"/>
    <w:link w:val="FootnoteTextChar"/>
    <w:rsid w:val="005058B3"/>
    <w:pPr>
      <w:spacing w:line="240" w:lineRule="auto"/>
      <w:ind w:left="288" w:hanging="288"/>
    </w:pPr>
    <w:rPr>
      <w:rFonts w:eastAsia="Times New Roman" w:cs="Times New Roman"/>
      <w:sz w:val="18"/>
      <w:szCs w:val="20"/>
    </w:rPr>
  </w:style>
  <w:style w:type="character" w:customStyle="1" w:styleId="FootnoteTextChar">
    <w:name w:val="Footnote Text Char"/>
    <w:basedOn w:val="DefaultParagraphFont"/>
    <w:link w:val="FootnoteText"/>
    <w:rsid w:val="005058B3"/>
    <w:rPr>
      <w:rFonts w:ascii="Times New Roman" w:eastAsia="Times New Roman" w:hAnsi="Times New Roman" w:cs="Times New Roman"/>
      <w:sz w:val="18"/>
      <w:szCs w:val="20"/>
    </w:rPr>
  </w:style>
  <w:style w:type="character" w:styleId="FootnoteReference">
    <w:name w:val="footnote reference"/>
    <w:aliases w:val="o,Footnote_Reference,fr,Style 3,o1,o2,o3,o4,o5,o6,o11,o21,o7,0 PIER Footnote Reference,o + Times New Roman,Style 12,(NECG) Footnote Reference,Appel note de bas de p,Style 124,Style 17,Style 20,Style 13,fr1,fr2,fr3,Style 15,Style 9"/>
    <w:basedOn w:val="DefaultParagraphFont"/>
    <w:uiPriority w:val="99"/>
    <w:qFormat/>
    <w:rsid w:val="005058B3"/>
    <w:rPr>
      <w:vertAlign w:val="superscript"/>
    </w:rPr>
  </w:style>
  <w:style w:type="paragraph" w:styleId="TOC1">
    <w:name w:val="toc 1"/>
    <w:basedOn w:val="Normal"/>
    <w:next w:val="Normal"/>
    <w:uiPriority w:val="39"/>
    <w:rsid w:val="00EE1691"/>
    <w:pPr>
      <w:tabs>
        <w:tab w:val="left" w:pos="648"/>
        <w:tab w:val="left" w:pos="720"/>
        <w:tab w:val="right" w:leader="dot" w:pos="9360"/>
      </w:tabs>
      <w:spacing w:before="60" w:after="60" w:line="240" w:lineRule="auto"/>
    </w:pPr>
    <w:rPr>
      <w:rFonts w:eastAsia="Times New Roman" w:cs="Times New Roman"/>
      <w:b/>
      <w:sz w:val="24"/>
      <w:szCs w:val="20"/>
    </w:rPr>
  </w:style>
  <w:style w:type="paragraph" w:styleId="TOC2">
    <w:name w:val="toc 2"/>
    <w:basedOn w:val="Normal"/>
    <w:next w:val="Normal"/>
    <w:uiPriority w:val="39"/>
    <w:rsid w:val="00EE1691"/>
    <w:pPr>
      <w:tabs>
        <w:tab w:val="left" w:pos="576"/>
        <w:tab w:val="right" w:leader="dot" w:pos="9350"/>
      </w:tabs>
      <w:spacing w:before="60" w:after="60" w:line="240" w:lineRule="auto"/>
      <w:ind w:left="216"/>
    </w:pPr>
    <w:rPr>
      <w:rFonts w:eastAsia="Times New Roman" w:cs="Times New Roman"/>
      <w:sz w:val="24"/>
      <w:szCs w:val="20"/>
    </w:rPr>
  </w:style>
  <w:style w:type="paragraph" w:styleId="TOC3">
    <w:name w:val="toc 3"/>
    <w:basedOn w:val="Normal"/>
    <w:next w:val="Normal"/>
    <w:uiPriority w:val="39"/>
    <w:rsid w:val="005058B3"/>
    <w:pPr>
      <w:tabs>
        <w:tab w:val="left" w:pos="720"/>
        <w:tab w:val="right" w:leader="dot" w:pos="9360"/>
      </w:tabs>
      <w:spacing w:before="60" w:after="60" w:line="240" w:lineRule="auto"/>
      <w:ind w:left="360"/>
    </w:pPr>
    <w:rPr>
      <w:rFonts w:eastAsia="Times New Roman" w:cs="Times New Roman"/>
      <w:sz w:val="24"/>
      <w:szCs w:val="20"/>
    </w:rPr>
  </w:style>
  <w:style w:type="paragraph" w:styleId="NoSpacing">
    <w:name w:val="No Spacing"/>
    <w:uiPriority w:val="99"/>
    <w:semiHidden/>
    <w:qFormat/>
    <w:rsid w:val="008E4FBB"/>
    <w:pPr>
      <w:spacing w:after="0" w:line="240" w:lineRule="auto"/>
    </w:pPr>
    <w:rPr>
      <w:rFonts w:ascii="Times New Roman" w:hAnsi="Times New Roman"/>
    </w:rPr>
  </w:style>
  <w:style w:type="character" w:customStyle="1" w:styleId="Heading4Char">
    <w:name w:val="Heading 4 Char"/>
    <w:basedOn w:val="DefaultParagraphFont"/>
    <w:link w:val="Heading4"/>
    <w:uiPriority w:val="99"/>
    <w:semiHidden/>
    <w:rsid w:val="00C009D7"/>
    <w:rPr>
      <w:rFonts w:ascii="Times New Roman" w:eastAsiaTheme="majorEastAsia" w:hAnsi="Times New Roman" w:cstheme="majorBidi"/>
      <w:b/>
      <w:i/>
      <w:iCs/>
      <w:u w:val="single"/>
    </w:rPr>
  </w:style>
  <w:style w:type="character" w:customStyle="1" w:styleId="Heading5Char">
    <w:name w:val="Heading 5 Char"/>
    <w:basedOn w:val="DefaultParagraphFont"/>
    <w:link w:val="Heading5"/>
    <w:uiPriority w:val="99"/>
    <w:semiHidden/>
    <w:rsid w:val="00C009D7"/>
    <w:rPr>
      <w:rFonts w:ascii="Times New Roman" w:eastAsiaTheme="majorEastAsia" w:hAnsi="Times New Roman" w:cstheme="majorBidi"/>
      <w:color w:val="2F5496" w:themeColor="accent1" w:themeShade="BF"/>
    </w:rPr>
  </w:style>
  <w:style w:type="character" w:customStyle="1" w:styleId="Heading6Char">
    <w:name w:val="Heading 6 Char"/>
    <w:basedOn w:val="DefaultParagraphFont"/>
    <w:link w:val="Heading6"/>
    <w:uiPriority w:val="99"/>
    <w:semiHidden/>
    <w:rsid w:val="003F7546"/>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9"/>
    <w:semiHidden/>
    <w:rsid w:val="003F7546"/>
    <w:rPr>
      <w:rFonts w:ascii="Times New Roman" w:eastAsiaTheme="majorEastAsia" w:hAnsi="Times New Roman" w:cstheme="majorBidi"/>
      <w:i/>
      <w:iCs/>
      <w:color w:val="1F3763" w:themeColor="accent1" w:themeShade="7F"/>
    </w:rPr>
  </w:style>
  <w:style w:type="character" w:customStyle="1" w:styleId="Heading8Char">
    <w:name w:val="Heading 8 Char"/>
    <w:basedOn w:val="DefaultParagraphFont"/>
    <w:link w:val="Heading8"/>
    <w:uiPriority w:val="99"/>
    <w:semiHidden/>
    <w:rsid w:val="003F7546"/>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F7546"/>
    <w:rPr>
      <w:rFonts w:ascii="Times New Roman" w:eastAsiaTheme="majorEastAsia" w:hAnsi="Times New Roman" w:cstheme="majorBidi"/>
      <w:i/>
      <w:iCs/>
      <w:color w:val="272727" w:themeColor="text1" w:themeTint="D8"/>
      <w:sz w:val="21"/>
      <w:szCs w:val="21"/>
    </w:rPr>
  </w:style>
  <w:style w:type="paragraph" w:styleId="Title">
    <w:name w:val="Title"/>
    <w:basedOn w:val="Normal"/>
    <w:next w:val="Normal"/>
    <w:link w:val="TitleChar"/>
    <w:uiPriority w:val="10"/>
    <w:qFormat/>
    <w:rsid w:val="00122E69"/>
    <w:pPr>
      <w:spacing w:line="240" w:lineRule="auto"/>
      <w:contextualSpacing/>
      <w:jc w:val="center"/>
    </w:pPr>
    <w:rPr>
      <w:rFonts w:eastAsiaTheme="majorEastAsia" w:cstheme="majorBidi"/>
      <w:b/>
      <w:spacing w:val="-10"/>
      <w:kern w:val="28"/>
      <w:sz w:val="72"/>
      <w:szCs w:val="56"/>
    </w:rPr>
  </w:style>
  <w:style w:type="character" w:customStyle="1" w:styleId="TitleChar">
    <w:name w:val="Title Char"/>
    <w:basedOn w:val="DefaultParagraphFont"/>
    <w:link w:val="Title"/>
    <w:uiPriority w:val="10"/>
    <w:rsid w:val="00122E69"/>
    <w:rPr>
      <w:rFonts w:ascii="Segoe UI" w:eastAsiaTheme="majorEastAsia" w:hAnsi="Segoe UI" w:cstheme="majorBidi"/>
      <w:b/>
      <w:spacing w:val="-10"/>
      <w:kern w:val="28"/>
      <w:sz w:val="72"/>
      <w:szCs w:val="56"/>
    </w:rPr>
  </w:style>
  <w:style w:type="paragraph" w:styleId="Subtitle">
    <w:name w:val="Subtitle"/>
    <w:basedOn w:val="Normal"/>
    <w:next w:val="Normal"/>
    <w:link w:val="SubtitleChar"/>
    <w:uiPriority w:val="99"/>
    <w:semiHidden/>
    <w:qFormat/>
    <w:rsid w:val="00122E69"/>
    <w:pPr>
      <w:numPr>
        <w:ilvl w:val="1"/>
      </w:numPr>
      <w:jc w:val="center"/>
    </w:pPr>
    <w:rPr>
      <w:rFonts w:eastAsiaTheme="minorEastAsia"/>
      <w:b/>
      <w:spacing w:val="15"/>
      <w:sz w:val="40"/>
    </w:rPr>
  </w:style>
  <w:style w:type="character" w:customStyle="1" w:styleId="SubtitleChar">
    <w:name w:val="Subtitle Char"/>
    <w:basedOn w:val="DefaultParagraphFont"/>
    <w:link w:val="Subtitle"/>
    <w:uiPriority w:val="99"/>
    <w:semiHidden/>
    <w:rsid w:val="003F7546"/>
    <w:rPr>
      <w:rFonts w:ascii="Times New Roman" w:eastAsiaTheme="minorEastAsia" w:hAnsi="Times New Roman"/>
      <w:b/>
      <w:spacing w:val="15"/>
      <w:sz w:val="40"/>
    </w:rPr>
  </w:style>
  <w:style w:type="character" w:styleId="SubtleEmphasis">
    <w:name w:val="Subtle Emphasis"/>
    <w:basedOn w:val="DefaultParagraphFont"/>
    <w:uiPriority w:val="99"/>
    <w:semiHidden/>
    <w:qFormat/>
    <w:rsid w:val="008E4FBB"/>
    <w:rPr>
      <w:rFonts w:ascii="Times New Roman" w:hAnsi="Times New Roman"/>
      <w:i/>
      <w:iCs/>
      <w:color w:val="404040" w:themeColor="text1" w:themeTint="BF"/>
    </w:rPr>
  </w:style>
  <w:style w:type="character" w:styleId="Emphasis">
    <w:name w:val="Emphasis"/>
    <w:basedOn w:val="DefaultParagraphFont"/>
    <w:uiPriority w:val="99"/>
    <w:semiHidden/>
    <w:qFormat/>
    <w:rsid w:val="008E4FBB"/>
    <w:rPr>
      <w:rFonts w:ascii="Agency FB" w:hAnsi="Agency FB"/>
      <w:i/>
      <w:iCs/>
    </w:rPr>
  </w:style>
  <w:style w:type="character" w:styleId="IntenseEmphasis">
    <w:name w:val="Intense Emphasis"/>
    <w:basedOn w:val="DefaultParagraphFont"/>
    <w:uiPriority w:val="99"/>
    <w:semiHidden/>
    <w:qFormat/>
    <w:rsid w:val="00C501DD"/>
    <w:rPr>
      <w:i/>
      <w:iCs/>
      <w:color w:val="4472C4" w:themeColor="accent1"/>
    </w:rPr>
  </w:style>
  <w:style w:type="character" w:styleId="Strong">
    <w:name w:val="Strong"/>
    <w:basedOn w:val="DefaultParagraphFont"/>
    <w:uiPriority w:val="99"/>
    <w:semiHidden/>
    <w:qFormat/>
    <w:rsid w:val="00EB18CB"/>
    <w:rPr>
      <w:rFonts w:ascii="Times New Roman" w:hAnsi="Times New Roman"/>
      <w:b/>
      <w:bCs/>
    </w:rPr>
  </w:style>
  <w:style w:type="paragraph" w:styleId="Quote">
    <w:name w:val="Quote"/>
    <w:basedOn w:val="Normal"/>
    <w:next w:val="Normal"/>
    <w:link w:val="QuoteChar"/>
    <w:uiPriority w:val="99"/>
    <w:semiHidden/>
    <w:qFormat/>
    <w:rsid w:val="00EB18C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3F7546"/>
    <w:rPr>
      <w:rFonts w:ascii="Times New Roman" w:hAnsi="Times New Roman"/>
      <w:i/>
      <w:iCs/>
      <w:color w:val="404040" w:themeColor="text1" w:themeTint="BF"/>
    </w:rPr>
  </w:style>
  <w:style w:type="paragraph" w:styleId="IntenseQuote">
    <w:name w:val="Intense Quote"/>
    <w:basedOn w:val="Normal"/>
    <w:next w:val="Normal"/>
    <w:link w:val="IntenseQuoteChar"/>
    <w:uiPriority w:val="99"/>
    <w:semiHidden/>
    <w:qFormat/>
    <w:rsid w:val="00C501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3F7546"/>
    <w:rPr>
      <w:rFonts w:ascii="Times New Roman" w:hAnsi="Times New Roman"/>
      <w:i/>
      <w:iCs/>
      <w:color w:val="4472C4" w:themeColor="accent1"/>
    </w:rPr>
  </w:style>
  <w:style w:type="character" w:styleId="SubtleReference">
    <w:name w:val="Subtle Reference"/>
    <w:basedOn w:val="DefaultParagraphFont"/>
    <w:uiPriority w:val="99"/>
    <w:semiHidden/>
    <w:qFormat/>
    <w:rsid w:val="00C501DD"/>
    <w:rPr>
      <w:smallCaps/>
      <w:color w:val="5A5A5A" w:themeColor="text1" w:themeTint="A5"/>
    </w:rPr>
  </w:style>
  <w:style w:type="character" w:styleId="IntenseReference">
    <w:name w:val="Intense Reference"/>
    <w:basedOn w:val="DefaultParagraphFont"/>
    <w:uiPriority w:val="99"/>
    <w:qFormat/>
    <w:rsid w:val="00C501DD"/>
    <w:rPr>
      <w:b/>
      <w:bCs/>
      <w:smallCaps/>
      <w:color w:val="4472C4" w:themeColor="accent1"/>
      <w:spacing w:val="5"/>
    </w:rPr>
  </w:style>
  <w:style w:type="character" w:styleId="BookTitle">
    <w:name w:val="Book Title"/>
    <w:basedOn w:val="DefaultParagraphFont"/>
    <w:uiPriority w:val="99"/>
    <w:semiHidden/>
    <w:qFormat/>
    <w:rsid w:val="00D65EC5"/>
    <w:rPr>
      <w:rFonts w:ascii="Times New Roman" w:hAnsi="Times New Roman"/>
      <w:b/>
      <w:bCs/>
      <w:i/>
      <w:iCs/>
      <w:spacing w:val="5"/>
    </w:rPr>
  </w:style>
  <w:style w:type="paragraph" w:styleId="ListParagraph">
    <w:name w:val="List Paragraph"/>
    <w:basedOn w:val="Normal"/>
    <w:uiPriority w:val="34"/>
    <w:qFormat/>
    <w:rsid w:val="00C501DD"/>
    <w:pPr>
      <w:ind w:left="720"/>
      <w:contextualSpacing/>
    </w:pPr>
  </w:style>
  <w:style w:type="character" w:styleId="FollowedHyperlink">
    <w:name w:val="FollowedHyperlink"/>
    <w:basedOn w:val="DefaultParagraphFont"/>
    <w:uiPriority w:val="99"/>
    <w:semiHidden/>
    <w:unhideWhenUsed/>
    <w:rsid w:val="004C09F1"/>
    <w:rPr>
      <w:color w:val="954F72" w:themeColor="followedHyperlink"/>
      <w:u w:val="single"/>
    </w:rPr>
  </w:style>
  <w:style w:type="table" w:styleId="TableGrid">
    <w:name w:val="Table Grid"/>
    <w:basedOn w:val="TableNormal"/>
    <w:uiPriority w:val="39"/>
    <w:rsid w:val="004C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DD3"/>
    <w:pPr>
      <w:tabs>
        <w:tab w:val="center" w:pos="4680"/>
        <w:tab w:val="right" w:pos="9360"/>
      </w:tabs>
      <w:spacing w:line="240" w:lineRule="auto"/>
    </w:pPr>
  </w:style>
  <w:style w:type="character" w:customStyle="1" w:styleId="HeaderChar">
    <w:name w:val="Header Char"/>
    <w:basedOn w:val="DefaultParagraphFont"/>
    <w:link w:val="Header"/>
    <w:uiPriority w:val="99"/>
    <w:rsid w:val="000D0DD3"/>
    <w:rPr>
      <w:rFonts w:ascii="Segoe UI" w:hAnsi="Segoe UI"/>
    </w:rPr>
  </w:style>
  <w:style w:type="paragraph" w:styleId="Footer">
    <w:name w:val="footer"/>
    <w:basedOn w:val="Normal"/>
    <w:link w:val="FooterChar"/>
    <w:rsid w:val="008E4FBB"/>
    <w:pPr>
      <w:tabs>
        <w:tab w:val="center" w:pos="4680"/>
        <w:tab w:val="right" w:pos="9360"/>
      </w:tabs>
      <w:spacing w:line="240" w:lineRule="auto"/>
    </w:pPr>
  </w:style>
  <w:style w:type="character" w:customStyle="1" w:styleId="FooterChar">
    <w:name w:val="Footer Char"/>
    <w:basedOn w:val="DefaultParagraphFont"/>
    <w:link w:val="Footer"/>
    <w:rsid w:val="003F7546"/>
    <w:rPr>
      <w:rFonts w:ascii="Times New Roman" w:hAnsi="Times New Roman"/>
    </w:rPr>
  </w:style>
  <w:style w:type="character" w:styleId="PlaceholderText">
    <w:name w:val="Placeholder Text"/>
    <w:basedOn w:val="DefaultParagraphFont"/>
    <w:uiPriority w:val="99"/>
    <w:semiHidden/>
    <w:rsid w:val="000D0DD3"/>
    <w:rPr>
      <w:color w:val="808080"/>
    </w:rPr>
  </w:style>
  <w:style w:type="paragraph" w:styleId="TOCHeading">
    <w:name w:val="TOC Heading"/>
    <w:basedOn w:val="Heading1"/>
    <w:next w:val="Normal"/>
    <w:uiPriority w:val="39"/>
    <w:unhideWhenUsed/>
    <w:qFormat/>
    <w:rsid w:val="00EB18CB"/>
    <w:pPr>
      <w:numPr>
        <w:numId w:val="0"/>
      </w:numPr>
      <w:spacing w:after="0" w:line="259" w:lineRule="auto"/>
      <w:outlineLvl w:val="9"/>
    </w:pPr>
    <w:rPr>
      <w:b w:val="0"/>
      <w:bCs w:val="0"/>
      <w:color w:val="2F5496" w:themeColor="accent1" w:themeShade="BF"/>
      <w:sz w:val="32"/>
      <w:szCs w:val="32"/>
    </w:rPr>
  </w:style>
  <w:style w:type="table" w:styleId="ListTable3-Accent3">
    <w:name w:val="List Table 3 Accent 3"/>
    <w:basedOn w:val="TableNormal"/>
    <w:uiPriority w:val="48"/>
    <w:rsid w:val="009F7AA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TOC4">
    <w:name w:val="toc 4"/>
    <w:basedOn w:val="Normal"/>
    <w:next w:val="Normal"/>
    <w:autoRedefine/>
    <w:uiPriority w:val="39"/>
    <w:semiHidden/>
    <w:unhideWhenUsed/>
    <w:rsid w:val="009F7AAA"/>
    <w:pPr>
      <w:spacing w:after="100"/>
      <w:ind w:left="660"/>
    </w:pPr>
  </w:style>
  <w:style w:type="character" w:styleId="CommentReference">
    <w:name w:val="annotation reference"/>
    <w:basedOn w:val="DefaultParagraphFont"/>
    <w:uiPriority w:val="99"/>
    <w:semiHidden/>
    <w:unhideWhenUsed/>
    <w:rsid w:val="00B807D4"/>
    <w:rPr>
      <w:sz w:val="16"/>
      <w:szCs w:val="16"/>
    </w:rPr>
  </w:style>
  <w:style w:type="paragraph" w:styleId="CommentText">
    <w:name w:val="annotation text"/>
    <w:basedOn w:val="Normal"/>
    <w:link w:val="CommentTextChar"/>
    <w:uiPriority w:val="99"/>
    <w:unhideWhenUsed/>
    <w:rsid w:val="00B807D4"/>
    <w:pPr>
      <w:spacing w:line="240" w:lineRule="auto"/>
    </w:pPr>
    <w:rPr>
      <w:sz w:val="20"/>
      <w:szCs w:val="20"/>
    </w:rPr>
  </w:style>
  <w:style w:type="character" w:customStyle="1" w:styleId="CommentTextChar">
    <w:name w:val="Comment Text Char"/>
    <w:basedOn w:val="DefaultParagraphFont"/>
    <w:link w:val="CommentText"/>
    <w:uiPriority w:val="99"/>
    <w:rsid w:val="00B807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807D4"/>
    <w:rPr>
      <w:b/>
      <w:bCs/>
    </w:rPr>
  </w:style>
  <w:style w:type="character" w:customStyle="1" w:styleId="CommentSubjectChar">
    <w:name w:val="Comment Subject Char"/>
    <w:basedOn w:val="CommentTextChar"/>
    <w:link w:val="CommentSubject"/>
    <w:uiPriority w:val="99"/>
    <w:semiHidden/>
    <w:rsid w:val="00B807D4"/>
    <w:rPr>
      <w:rFonts w:ascii="Times New Roman" w:hAnsi="Times New Roman"/>
      <w:b/>
      <w:bCs/>
      <w:sz w:val="20"/>
      <w:szCs w:val="20"/>
    </w:rPr>
  </w:style>
  <w:style w:type="paragraph" w:styleId="Revision">
    <w:name w:val="Revision"/>
    <w:hidden/>
    <w:uiPriority w:val="99"/>
    <w:semiHidden/>
    <w:rsid w:val="00B807D4"/>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B807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7D4"/>
    <w:rPr>
      <w:rFonts w:ascii="Segoe UI" w:hAnsi="Segoe UI" w:cs="Segoe UI"/>
      <w:sz w:val="18"/>
      <w:szCs w:val="18"/>
    </w:rPr>
  </w:style>
  <w:style w:type="character" w:customStyle="1" w:styleId="Mention1">
    <w:name w:val="Mention1"/>
    <w:basedOn w:val="DefaultParagraphFont"/>
    <w:uiPriority w:val="99"/>
    <w:semiHidden/>
    <w:unhideWhenUsed/>
    <w:rsid w:val="006E51B0"/>
    <w:rPr>
      <w:color w:val="2B579A"/>
      <w:shd w:val="clear" w:color="auto" w:fill="E6E6E6"/>
    </w:rPr>
  </w:style>
  <w:style w:type="paragraph" w:styleId="BodyText">
    <w:name w:val="Body Text"/>
    <w:basedOn w:val="Normal"/>
    <w:link w:val="BodyTextChar"/>
    <w:qFormat/>
    <w:rsid w:val="00437F71"/>
    <w:pPr>
      <w:spacing w:after="120"/>
      <w:ind w:left="720"/>
    </w:pPr>
  </w:style>
  <w:style w:type="character" w:customStyle="1" w:styleId="BodyTextChar">
    <w:name w:val="Body Text Char"/>
    <w:basedOn w:val="DefaultParagraphFont"/>
    <w:link w:val="BodyText"/>
    <w:rsid w:val="00437F71"/>
    <w:rPr>
      <w:rFonts w:ascii="Times New Roman" w:hAnsi="Times New Roman"/>
    </w:rPr>
  </w:style>
  <w:style w:type="table" w:customStyle="1" w:styleId="TableGrid1">
    <w:name w:val="Table Grid1"/>
    <w:basedOn w:val="TableNormal"/>
    <w:next w:val="TableGrid"/>
    <w:uiPriority w:val="39"/>
    <w:rsid w:val="00B2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D6230"/>
    <w:rPr>
      <w:color w:val="2B579A"/>
      <w:shd w:val="clear" w:color="auto" w:fill="E1DFDD"/>
    </w:rPr>
  </w:style>
  <w:style w:type="character" w:styleId="UnresolvedMention">
    <w:name w:val="Unresolved Mention"/>
    <w:basedOn w:val="DefaultParagraphFont"/>
    <w:uiPriority w:val="99"/>
    <w:semiHidden/>
    <w:unhideWhenUsed/>
    <w:rsid w:val="00394ECC"/>
    <w:rPr>
      <w:color w:val="605E5C"/>
      <w:shd w:val="clear" w:color="auto" w:fill="E1DFDD"/>
    </w:rPr>
  </w:style>
  <w:style w:type="paragraph" w:customStyle="1" w:styleId="ICFNumber1">
    <w:name w:val="ICF Number 1"/>
    <w:basedOn w:val="ListNumber"/>
    <w:uiPriority w:val="6"/>
    <w:qFormat/>
    <w:rsid w:val="00F37301"/>
    <w:pPr>
      <w:numPr>
        <w:numId w:val="23"/>
      </w:numPr>
      <w:spacing w:before="120" w:after="120" w:line="264" w:lineRule="auto"/>
      <w:contextualSpacing/>
    </w:pPr>
    <w:rPr>
      <w:rFonts w:ascii="DM Sans" w:eastAsiaTheme="minorHAnsi" w:hAnsi="DM Sans" w:cstheme="minorBidi"/>
      <w:sz w:val="22"/>
      <w:szCs w:val="21"/>
    </w:rPr>
  </w:style>
  <w:style w:type="paragraph" w:customStyle="1" w:styleId="ICFNumber2">
    <w:name w:val="ICF Number 2"/>
    <w:basedOn w:val="ListNumber2"/>
    <w:uiPriority w:val="6"/>
    <w:rsid w:val="00F37301"/>
    <w:pPr>
      <w:numPr>
        <w:ilvl w:val="1"/>
      </w:numPr>
      <w:tabs>
        <w:tab w:val="num" w:pos="360"/>
      </w:tabs>
      <w:spacing w:before="120" w:after="120" w:line="240" w:lineRule="auto"/>
      <w:ind w:left="720" w:hanging="360"/>
    </w:pPr>
    <w:rPr>
      <w:rFonts w:ascii="DM Sans" w:hAnsi="DM Sans"/>
      <w:szCs w:val="21"/>
    </w:rPr>
  </w:style>
  <w:style w:type="numbering" w:customStyle="1" w:styleId="ICFNumbers">
    <w:name w:val="ICF Numbers"/>
    <w:uiPriority w:val="99"/>
    <w:rsid w:val="00F37301"/>
    <w:pPr>
      <w:numPr>
        <w:numId w:val="23"/>
      </w:numPr>
    </w:pPr>
  </w:style>
  <w:style w:type="paragraph" w:styleId="ListNumber2">
    <w:name w:val="List Number 2"/>
    <w:basedOn w:val="Normal"/>
    <w:uiPriority w:val="99"/>
    <w:semiHidden/>
    <w:unhideWhenUsed/>
    <w:rsid w:val="00F37301"/>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7666">
      <w:bodyDiv w:val="1"/>
      <w:marLeft w:val="0"/>
      <w:marRight w:val="0"/>
      <w:marTop w:val="0"/>
      <w:marBottom w:val="0"/>
      <w:divBdr>
        <w:top w:val="none" w:sz="0" w:space="0" w:color="auto"/>
        <w:left w:val="none" w:sz="0" w:space="0" w:color="auto"/>
        <w:bottom w:val="none" w:sz="0" w:space="0" w:color="auto"/>
        <w:right w:val="none" w:sz="0" w:space="0" w:color="auto"/>
      </w:divBdr>
    </w:div>
    <w:div w:id="212083060">
      <w:bodyDiv w:val="1"/>
      <w:marLeft w:val="0"/>
      <w:marRight w:val="0"/>
      <w:marTop w:val="0"/>
      <w:marBottom w:val="0"/>
      <w:divBdr>
        <w:top w:val="none" w:sz="0" w:space="0" w:color="auto"/>
        <w:left w:val="none" w:sz="0" w:space="0" w:color="auto"/>
        <w:bottom w:val="none" w:sz="0" w:space="0" w:color="auto"/>
        <w:right w:val="none" w:sz="0" w:space="0" w:color="auto"/>
      </w:divBdr>
    </w:div>
    <w:div w:id="564334766">
      <w:bodyDiv w:val="1"/>
      <w:marLeft w:val="0"/>
      <w:marRight w:val="0"/>
      <w:marTop w:val="0"/>
      <w:marBottom w:val="0"/>
      <w:divBdr>
        <w:top w:val="none" w:sz="0" w:space="0" w:color="auto"/>
        <w:left w:val="none" w:sz="0" w:space="0" w:color="auto"/>
        <w:bottom w:val="none" w:sz="0" w:space="0" w:color="auto"/>
        <w:right w:val="none" w:sz="0" w:space="0" w:color="auto"/>
      </w:divBdr>
    </w:div>
    <w:div w:id="1097091100">
      <w:bodyDiv w:val="1"/>
      <w:marLeft w:val="0"/>
      <w:marRight w:val="0"/>
      <w:marTop w:val="0"/>
      <w:marBottom w:val="0"/>
      <w:divBdr>
        <w:top w:val="none" w:sz="0" w:space="0" w:color="auto"/>
        <w:left w:val="none" w:sz="0" w:space="0" w:color="auto"/>
        <w:bottom w:val="none" w:sz="0" w:space="0" w:color="auto"/>
        <w:right w:val="none" w:sz="0" w:space="0" w:color="auto"/>
      </w:divBdr>
      <w:divsChild>
        <w:div w:id="755714309">
          <w:marLeft w:val="1440"/>
          <w:marRight w:val="0"/>
          <w:marTop w:val="0"/>
          <w:marBottom w:val="0"/>
          <w:divBdr>
            <w:top w:val="none" w:sz="0" w:space="0" w:color="auto"/>
            <w:left w:val="none" w:sz="0" w:space="0" w:color="auto"/>
            <w:bottom w:val="none" w:sz="0" w:space="0" w:color="auto"/>
            <w:right w:val="none" w:sz="0" w:space="0" w:color="auto"/>
          </w:divBdr>
        </w:div>
        <w:div w:id="1061750004">
          <w:marLeft w:val="1440"/>
          <w:marRight w:val="0"/>
          <w:marTop w:val="0"/>
          <w:marBottom w:val="0"/>
          <w:divBdr>
            <w:top w:val="none" w:sz="0" w:space="0" w:color="auto"/>
            <w:left w:val="none" w:sz="0" w:space="0" w:color="auto"/>
            <w:bottom w:val="none" w:sz="0" w:space="0" w:color="auto"/>
            <w:right w:val="none" w:sz="0" w:space="0" w:color="auto"/>
          </w:divBdr>
        </w:div>
        <w:div w:id="1450008061">
          <w:marLeft w:val="1440"/>
          <w:marRight w:val="0"/>
          <w:marTop w:val="0"/>
          <w:marBottom w:val="0"/>
          <w:divBdr>
            <w:top w:val="none" w:sz="0" w:space="0" w:color="auto"/>
            <w:left w:val="none" w:sz="0" w:space="0" w:color="auto"/>
            <w:bottom w:val="none" w:sz="0" w:space="0" w:color="auto"/>
            <w:right w:val="none" w:sz="0" w:space="0" w:color="auto"/>
          </w:divBdr>
        </w:div>
        <w:div w:id="1836605462">
          <w:marLeft w:val="1440"/>
          <w:marRight w:val="0"/>
          <w:marTop w:val="0"/>
          <w:marBottom w:val="0"/>
          <w:divBdr>
            <w:top w:val="none" w:sz="0" w:space="0" w:color="auto"/>
            <w:left w:val="none" w:sz="0" w:space="0" w:color="auto"/>
            <w:bottom w:val="none" w:sz="0" w:space="0" w:color="auto"/>
            <w:right w:val="none" w:sz="0" w:space="0" w:color="auto"/>
          </w:divBdr>
        </w:div>
      </w:divsChild>
    </w:div>
    <w:div w:id="1161236139">
      <w:bodyDiv w:val="1"/>
      <w:marLeft w:val="0"/>
      <w:marRight w:val="0"/>
      <w:marTop w:val="0"/>
      <w:marBottom w:val="0"/>
      <w:divBdr>
        <w:top w:val="none" w:sz="0" w:space="0" w:color="auto"/>
        <w:left w:val="none" w:sz="0" w:space="0" w:color="auto"/>
        <w:bottom w:val="none" w:sz="0" w:space="0" w:color="auto"/>
        <w:right w:val="none" w:sz="0" w:space="0" w:color="auto"/>
      </w:divBdr>
      <w:divsChild>
        <w:div w:id="6519222">
          <w:marLeft w:val="1080"/>
          <w:marRight w:val="0"/>
          <w:marTop w:val="100"/>
          <w:marBottom w:val="0"/>
          <w:divBdr>
            <w:top w:val="none" w:sz="0" w:space="0" w:color="auto"/>
            <w:left w:val="none" w:sz="0" w:space="0" w:color="auto"/>
            <w:bottom w:val="none" w:sz="0" w:space="0" w:color="auto"/>
            <w:right w:val="none" w:sz="0" w:space="0" w:color="auto"/>
          </w:divBdr>
        </w:div>
        <w:div w:id="239096306">
          <w:marLeft w:val="1080"/>
          <w:marRight w:val="0"/>
          <w:marTop w:val="0"/>
          <w:marBottom w:val="0"/>
          <w:divBdr>
            <w:top w:val="none" w:sz="0" w:space="0" w:color="auto"/>
            <w:left w:val="none" w:sz="0" w:space="0" w:color="auto"/>
            <w:bottom w:val="none" w:sz="0" w:space="0" w:color="auto"/>
            <w:right w:val="none" w:sz="0" w:space="0" w:color="auto"/>
          </w:divBdr>
        </w:div>
        <w:div w:id="1209876732">
          <w:marLeft w:val="1080"/>
          <w:marRight w:val="0"/>
          <w:marTop w:val="0"/>
          <w:marBottom w:val="0"/>
          <w:divBdr>
            <w:top w:val="none" w:sz="0" w:space="0" w:color="auto"/>
            <w:left w:val="none" w:sz="0" w:space="0" w:color="auto"/>
            <w:bottom w:val="none" w:sz="0" w:space="0" w:color="auto"/>
            <w:right w:val="none" w:sz="0" w:space="0" w:color="auto"/>
          </w:divBdr>
        </w:div>
        <w:div w:id="1611669198">
          <w:marLeft w:val="1080"/>
          <w:marRight w:val="0"/>
          <w:marTop w:val="100"/>
          <w:marBottom w:val="0"/>
          <w:divBdr>
            <w:top w:val="none" w:sz="0" w:space="0" w:color="auto"/>
            <w:left w:val="none" w:sz="0" w:space="0" w:color="auto"/>
            <w:bottom w:val="none" w:sz="0" w:space="0" w:color="auto"/>
            <w:right w:val="none" w:sz="0" w:space="0" w:color="auto"/>
          </w:divBdr>
        </w:div>
        <w:div w:id="2102949116">
          <w:marLeft w:val="1080"/>
          <w:marRight w:val="0"/>
          <w:marTop w:val="0"/>
          <w:marBottom w:val="0"/>
          <w:divBdr>
            <w:top w:val="none" w:sz="0" w:space="0" w:color="auto"/>
            <w:left w:val="none" w:sz="0" w:space="0" w:color="auto"/>
            <w:bottom w:val="none" w:sz="0" w:space="0" w:color="auto"/>
            <w:right w:val="none" w:sz="0" w:space="0" w:color="auto"/>
          </w:divBdr>
        </w:div>
      </w:divsChild>
    </w:div>
    <w:div w:id="1490250289">
      <w:bodyDiv w:val="1"/>
      <w:marLeft w:val="0"/>
      <w:marRight w:val="0"/>
      <w:marTop w:val="0"/>
      <w:marBottom w:val="0"/>
      <w:divBdr>
        <w:top w:val="none" w:sz="0" w:space="0" w:color="auto"/>
        <w:left w:val="none" w:sz="0" w:space="0" w:color="auto"/>
        <w:bottom w:val="none" w:sz="0" w:space="0" w:color="auto"/>
        <w:right w:val="none" w:sz="0" w:space="0" w:color="auto"/>
      </w:divBdr>
    </w:div>
    <w:div w:id="1811440066">
      <w:bodyDiv w:val="1"/>
      <w:marLeft w:val="0"/>
      <w:marRight w:val="0"/>
      <w:marTop w:val="0"/>
      <w:marBottom w:val="0"/>
      <w:divBdr>
        <w:top w:val="none" w:sz="0" w:space="0" w:color="auto"/>
        <w:left w:val="none" w:sz="0" w:space="0" w:color="auto"/>
        <w:bottom w:val="none" w:sz="0" w:space="0" w:color="auto"/>
        <w:right w:val="none" w:sz="0" w:space="0" w:color="auto"/>
      </w:divBdr>
    </w:div>
    <w:div w:id="1861629041">
      <w:bodyDiv w:val="1"/>
      <w:marLeft w:val="0"/>
      <w:marRight w:val="0"/>
      <w:marTop w:val="0"/>
      <w:marBottom w:val="0"/>
      <w:divBdr>
        <w:top w:val="none" w:sz="0" w:space="0" w:color="auto"/>
        <w:left w:val="none" w:sz="0" w:space="0" w:color="auto"/>
        <w:bottom w:val="none" w:sz="0" w:space="0" w:color="auto"/>
        <w:right w:val="none" w:sz="0" w:space="0" w:color="auto"/>
      </w:divBdr>
      <w:divsChild>
        <w:div w:id="556285872">
          <w:marLeft w:val="1080"/>
          <w:marRight w:val="0"/>
          <w:marTop w:val="100"/>
          <w:marBottom w:val="0"/>
          <w:divBdr>
            <w:top w:val="none" w:sz="0" w:space="0" w:color="auto"/>
            <w:left w:val="none" w:sz="0" w:space="0" w:color="auto"/>
            <w:bottom w:val="none" w:sz="0" w:space="0" w:color="auto"/>
            <w:right w:val="none" w:sz="0" w:space="0" w:color="auto"/>
          </w:divBdr>
        </w:div>
        <w:div w:id="808132966">
          <w:marLeft w:val="1080"/>
          <w:marRight w:val="0"/>
          <w:marTop w:val="100"/>
          <w:marBottom w:val="0"/>
          <w:divBdr>
            <w:top w:val="none" w:sz="0" w:space="0" w:color="auto"/>
            <w:left w:val="none" w:sz="0" w:space="0" w:color="auto"/>
            <w:bottom w:val="none" w:sz="0" w:space="0" w:color="auto"/>
            <w:right w:val="none" w:sz="0" w:space="0" w:color="auto"/>
          </w:divBdr>
        </w:div>
        <w:div w:id="893348872">
          <w:marLeft w:val="1080"/>
          <w:marRight w:val="0"/>
          <w:marTop w:val="0"/>
          <w:marBottom w:val="0"/>
          <w:divBdr>
            <w:top w:val="none" w:sz="0" w:space="0" w:color="auto"/>
            <w:left w:val="none" w:sz="0" w:space="0" w:color="auto"/>
            <w:bottom w:val="none" w:sz="0" w:space="0" w:color="auto"/>
            <w:right w:val="none" w:sz="0" w:space="0" w:color="auto"/>
          </w:divBdr>
        </w:div>
        <w:div w:id="1104837003">
          <w:marLeft w:val="1080"/>
          <w:marRight w:val="0"/>
          <w:marTop w:val="0"/>
          <w:marBottom w:val="0"/>
          <w:divBdr>
            <w:top w:val="none" w:sz="0" w:space="0" w:color="auto"/>
            <w:left w:val="none" w:sz="0" w:space="0" w:color="auto"/>
            <w:bottom w:val="none" w:sz="0" w:space="0" w:color="auto"/>
            <w:right w:val="none" w:sz="0" w:space="0" w:color="auto"/>
          </w:divBdr>
        </w:div>
        <w:div w:id="1857574757">
          <w:marLeft w:val="1080"/>
          <w:marRight w:val="0"/>
          <w:marTop w:val="0"/>
          <w:marBottom w:val="0"/>
          <w:divBdr>
            <w:top w:val="none" w:sz="0" w:space="0" w:color="auto"/>
            <w:left w:val="none" w:sz="0" w:space="0" w:color="auto"/>
            <w:bottom w:val="none" w:sz="0" w:space="0" w:color="auto"/>
            <w:right w:val="none" w:sz="0" w:space="0" w:color="auto"/>
          </w:divBdr>
        </w:div>
      </w:divsChild>
    </w:div>
    <w:div w:id="1913538038">
      <w:bodyDiv w:val="1"/>
      <w:marLeft w:val="0"/>
      <w:marRight w:val="0"/>
      <w:marTop w:val="0"/>
      <w:marBottom w:val="0"/>
      <w:divBdr>
        <w:top w:val="none" w:sz="0" w:space="0" w:color="auto"/>
        <w:left w:val="none" w:sz="0" w:space="0" w:color="auto"/>
        <w:bottom w:val="none" w:sz="0" w:space="0" w:color="auto"/>
        <w:right w:val="none" w:sz="0" w:space="0" w:color="auto"/>
      </w:divBdr>
    </w:div>
    <w:div w:id="1963801075">
      <w:bodyDiv w:val="1"/>
      <w:marLeft w:val="0"/>
      <w:marRight w:val="0"/>
      <w:marTop w:val="0"/>
      <w:marBottom w:val="0"/>
      <w:divBdr>
        <w:top w:val="none" w:sz="0" w:space="0" w:color="auto"/>
        <w:left w:val="none" w:sz="0" w:space="0" w:color="auto"/>
        <w:bottom w:val="none" w:sz="0" w:space="0" w:color="auto"/>
        <w:right w:val="none" w:sz="0" w:space="0" w:color="auto"/>
      </w:divBdr>
    </w:div>
    <w:div w:id="20305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aetrm.com/dashboard/"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947772-6126-4845-a917-d9f6b9129fd3">
      <Terms xmlns="http://schemas.microsoft.com/office/infopath/2007/PartnerControls"/>
    </lcf76f155ced4ddcb4097134ff3c332f>
    <TaxCatchAll xmlns="f1dbdeba-f527-4bc2-9df8-5935169a9d8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27EB09CC611D4BA4E6DD633306A897" ma:contentTypeVersion="12" ma:contentTypeDescription="Create a new document." ma:contentTypeScope="" ma:versionID="ff2379ec1e0fcf47b4ea156265313165">
  <xsd:schema xmlns:xsd="http://www.w3.org/2001/XMLSchema" xmlns:xs="http://www.w3.org/2001/XMLSchema" xmlns:p="http://schemas.microsoft.com/office/2006/metadata/properties" xmlns:ns2="0b947772-6126-4845-a917-d9f6b9129fd3" xmlns:ns3="f1dbdeba-f527-4bc2-9df8-5935169a9d88" targetNamespace="http://schemas.microsoft.com/office/2006/metadata/properties" ma:root="true" ma:fieldsID="612b8bb9156f838f6682ea0184378884" ns2:_="" ns3:_="">
    <xsd:import namespace="0b947772-6126-4845-a917-d9f6b9129fd3"/>
    <xsd:import namespace="f1dbdeba-f527-4bc2-9df8-5935169a9d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47772-6126-4845-a917-d9f6b9129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dbdeba-f527-4bc2-9df8-5935169a9d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271657-079c-4df4-bfdc-a9f074291f34}" ma:internalName="TaxCatchAll" ma:showField="CatchAllData" ma:web="f1dbdeba-f527-4bc2-9df8-5935169a9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9A570-8AD6-4E83-AA9E-11DF998208A4}">
  <ds:schemaRefs>
    <ds:schemaRef ds:uri="http://schemas.microsoft.com/office/2006/metadata/properties"/>
    <ds:schemaRef ds:uri="http://schemas.microsoft.com/office/infopath/2007/PartnerControls"/>
    <ds:schemaRef ds:uri="0b947772-6126-4845-a917-d9f6b9129fd3"/>
    <ds:schemaRef ds:uri="f1dbdeba-f527-4bc2-9df8-5935169a9d88"/>
  </ds:schemaRefs>
</ds:datastoreItem>
</file>

<file path=customXml/itemProps2.xml><?xml version="1.0" encoding="utf-8"?>
<ds:datastoreItem xmlns:ds="http://schemas.openxmlformats.org/officeDocument/2006/customXml" ds:itemID="{8CA12037-BC10-4CFE-8E89-90A7686F1EBC}">
  <ds:schemaRefs>
    <ds:schemaRef ds:uri="http://schemas.openxmlformats.org/officeDocument/2006/bibliography"/>
  </ds:schemaRefs>
</ds:datastoreItem>
</file>

<file path=customXml/itemProps3.xml><?xml version="1.0" encoding="utf-8"?>
<ds:datastoreItem xmlns:ds="http://schemas.openxmlformats.org/officeDocument/2006/customXml" ds:itemID="{01624FBF-4350-4C63-BDC8-1D6C1E7EC3BE}">
  <ds:schemaRefs>
    <ds:schemaRef ds:uri="http://schemas.microsoft.com/sharepoint/v3/contenttype/forms"/>
  </ds:schemaRefs>
</ds:datastoreItem>
</file>

<file path=customXml/itemProps4.xml><?xml version="1.0" encoding="utf-8"?>
<ds:datastoreItem xmlns:ds="http://schemas.openxmlformats.org/officeDocument/2006/customXml" ds:itemID="{5E817EF8-1644-41E2-844A-D1AA14A0C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47772-6126-4845-a917-d9f6b9129fd3"/>
    <ds:schemaRef ds:uri="f1dbdeba-f527-4bc2-9df8-5935169a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1296</TotalTime>
  <Pages>23</Pages>
  <Words>6002</Words>
  <Characters>34218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Test Title</vt:lpstr>
    </vt:vector>
  </TitlesOfParts>
  <Company/>
  <LinksUpToDate>false</LinksUpToDate>
  <CharactersWithSpaces>40140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
  <dc:creator>Daniel Oey</dc:creator>
  <cp:keywords/>
  <dc:description/>
  <cp:lastModifiedBy>Bassa, Sravanti</cp:lastModifiedBy>
  <cp:revision>4</cp:revision>
  <cp:lastPrinted>2018-09-06T16:57:00Z</cp:lastPrinted>
  <dcterms:created xsi:type="dcterms:W3CDTF">2024-08-09T16:45:00Z</dcterms:created>
  <dcterms:modified xsi:type="dcterms:W3CDTF">2024-08-09T16:50:00Z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0x0101006227EB09CC611D4BA4E6DD633306A897</vt:lpwstr>
  </property>
  <property fmtid="{D5CDD505-2E9C-101B-9397-08002B2CF9AE}" pid="3" name="TaxKeyword">
    <vt:lpwstr/>
  </property>
  <property fmtid="{D5CDD505-2E9C-101B-9397-08002B2CF9AE}" pid="4" name="SCE Handling Classifications">
    <vt:lpwstr/>
  </property>
  <property fmtid="{D5CDD505-2E9C-101B-9397-08002B2CF9AE}" pid="5" name="SCE Access Classification">
    <vt:lpwstr/>
  </property>
  <property fmtid="{D5CDD505-2E9C-101B-9397-08002B2CF9AE}" pid="6" name="SCE Owner">
    <vt:lpwstr/>
  </property>
  <property fmtid="{D5CDD505-2E9C-101B-9397-08002B2CF9AE}" pid="7" name="SCEDocumentType">
    <vt:lpwstr/>
  </property>
  <property fmtid="{D5CDD505-2E9C-101B-9397-08002B2CF9AE}" pid="8" name="MediaServiceImageTags">
    <vt:lpwstr/>
  </property>
  <property fmtid="{D5CDD505-2E9C-101B-9397-08002B2CF9AE}" pid="9" name="GrammarlyDocumentId">
    <vt:lpwstr>a5e1271110b14d13c692618b477dfcfec7857c77afab5e88fbe166a3828ef92d</vt:lpwstr>
  </property>
</Properties>
</file>