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8C17" w14:textId="03AEFD7A" w:rsidR="00A21F10" w:rsidRPr="00A92C2D" w:rsidRDefault="00A21F10" w:rsidP="00A21F10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 xml:space="preserve">CAEECC-Hosted </w:t>
      </w:r>
      <w:r>
        <w:rPr>
          <w:rFonts w:ascii="Cambria" w:hAnsi="Cambria"/>
          <w:b/>
        </w:rPr>
        <w:t>sub-</w:t>
      </w:r>
      <w:r w:rsidRPr="00A92C2D">
        <w:rPr>
          <w:rFonts w:ascii="Cambria" w:hAnsi="Cambria"/>
          <w:b/>
        </w:rPr>
        <w:t>Working Group on</w:t>
      </w:r>
      <w:r>
        <w:rPr>
          <w:rFonts w:ascii="Cambria" w:hAnsi="Cambria"/>
          <w:b/>
        </w:rPr>
        <w:t xml:space="preserve"> </w:t>
      </w:r>
      <w:r w:rsidRPr="00A92C2D">
        <w:rPr>
          <w:rFonts w:ascii="Cambria" w:hAnsi="Cambria"/>
          <w:b/>
        </w:rPr>
        <w:t>Underserved Customers</w:t>
      </w:r>
    </w:p>
    <w:p w14:paraId="337315F8" w14:textId="20BF235F" w:rsidR="00A21F10" w:rsidRDefault="00A21F1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Meeting with UC </w:t>
      </w:r>
      <w:r w:rsidR="00EB0D56">
        <w:rPr>
          <w:rFonts w:ascii="Cambria" w:hAnsi="Cambria"/>
          <w:b/>
        </w:rPr>
        <w:t>Irvine Small-Medium Business (SMB)</w:t>
      </w:r>
      <w:r>
        <w:rPr>
          <w:rFonts w:ascii="Cambria" w:hAnsi="Cambria"/>
          <w:b/>
        </w:rPr>
        <w:t xml:space="preserve"> Research Team</w:t>
      </w:r>
    </w:p>
    <w:p w14:paraId="2EBB7AAA" w14:textId="72F6FC79" w:rsidR="00A21F10" w:rsidRPr="00A92C2D" w:rsidRDefault="0051547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December </w:t>
      </w:r>
      <w:r w:rsidR="00EB0D56">
        <w:rPr>
          <w:rFonts w:ascii="Cambria" w:hAnsi="Cambria"/>
          <w:b/>
        </w:rPr>
        <w:t>17</w:t>
      </w:r>
      <w:r w:rsidR="00A21F10">
        <w:rPr>
          <w:rFonts w:ascii="Cambria" w:hAnsi="Cambria"/>
          <w:b/>
        </w:rPr>
        <w:t xml:space="preserve">, </w:t>
      </w:r>
      <w:r w:rsidR="00EB0D56">
        <w:rPr>
          <w:rFonts w:ascii="Cambria" w:hAnsi="Cambria"/>
          <w:b/>
        </w:rPr>
        <w:t>2020 10:30-12:00</w:t>
      </w:r>
    </w:p>
    <w:p w14:paraId="6FC41554" w14:textId="77777777" w:rsidR="00A21F10" w:rsidRPr="00A92C2D" w:rsidRDefault="00A21F10" w:rsidP="00A21F10">
      <w:pPr>
        <w:jc w:val="center"/>
        <w:rPr>
          <w:rFonts w:ascii="Cambria" w:hAnsi="Cambria"/>
          <w:bCs/>
          <w:i/>
          <w:iCs/>
        </w:rPr>
      </w:pPr>
    </w:p>
    <w:p w14:paraId="5073388B" w14:textId="77777777" w:rsidR="00A21F10" w:rsidRPr="00A92C2D" w:rsidRDefault="00A21F10" w:rsidP="00A21F10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Facilitators: Dr. Scott McCreary &amp; Katie Abrams, CONCUR Inc</w:t>
      </w:r>
    </w:p>
    <w:p w14:paraId="6F4CFE3E" w14:textId="77777777" w:rsidR="00A21F10" w:rsidRPr="00AB665B" w:rsidRDefault="00A21F10" w:rsidP="00A21F10">
      <w:pPr>
        <w:jc w:val="center"/>
        <w:rPr>
          <w:rFonts w:ascii="Cambria" w:hAnsi="Cambria"/>
          <w:b/>
          <w:sz w:val="18"/>
          <w:szCs w:val="18"/>
        </w:rPr>
      </w:pPr>
    </w:p>
    <w:p w14:paraId="38ED6D82" w14:textId="1A2A1686" w:rsidR="00994243" w:rsidRPr="007331CB" w:rsidRDefault="007331CB" w:rsidP="007331C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Summary</w:t>
      </w:r>
      <w:r>
        <w:rPr>
          <w:rStyle w:val="FootnoteReference"/>
          <w:rFonts w:ascii="Cambria" w:hAnsi="Cambria"/>
          <w:b/>
        </w:rPr>
        <w:footnoteReference w:id="1"/>
      </w:r>
    </w:p>
    <w:p w14:paraId="03BFDDA4" w14:textId="77777777" w:rsidR="007331CB" w:rsidRDefault="007331CB" w:rsidP="007331CB">
      <w:pPr>
        <w:pStyle w:val="Heading1"/>
      </w:pPr>
      <w:r>
        <w:t>Attendees:</w:t>
      </w:r>
    </w:p>
    <w:p w14:paraId="130AD125" w14:textId="51F91910" w:rsidR="00FB6053" w:rsidRPr="006039C4" w:rsidRDefault="007331CB" w:rsidP="00FB6053">
      <w:pPr>
        <w:pStyle w:val="ListParagraph"/>
        <w:numPr>
          <w:ilvl w:val="0"/>
          <w:numId w:val="1"/>
        </w:numPr>
      </w:pPr>
      <w:r w:rsidRPr="007331CB">
        <w:rPr>
          <w:i/>
          <w:iCs/>
        </w:rPr>
        <w:t xml:space="preserve">UC Irvine </w:t>
      </w:r>
      <w:r w:rsidR="00FB6053" w:rsidRPr="007331CB">
        <w:rPr>
          <w:i/>
          <w:iCs/>
        </w:rPr>
        <w:t>Research team</w:t>
      </w:r>
      <w:r w:rsidR="00FB6053">
        <w:t>:</w:t>
      </w:r>
      <w:r w:rsidR="00A25A4C">
        <w:t xml:space="preserve"> Ed Coulson, Theo Love, Linda Tan, Matteo </w:t>
      </w:r>
      <w:proofErr w:type="spellStart"/>
      <w:r w:rsidR="00A25A4C" w:rsidRPr="006039C4">
        <w:t>Zamparini</w:t>
      </w:r>
      <w:proofErr w:type="spellEnd"/>
      <w:r w:rsidR="000B5B36" w:rsidRPr="006039C4">
        <w:t>, Carmen</w:t>
      </w:r>
      <w:r w:rsidR="006039C4" w:rsidRPr="006039C4">
        <w:t xml:space="preserve"> Liang</w:t>
      </w:r>
    </w:p>
    <w:p w14:paraId="5A8B97A3" w14:textId="66C45629" w:rsidR="00FB6053" w:rsidRDefault="00A25A4C" w:rsidP="00FB6053">
      <w:pPr>
        <w:pStyle w:val="ListParagraph"/>
        <w:numPr>
          <w:ilvl w:val="0"/>
          <w:numId w:val="1"/>
        </w:numPr>
      </w:pPr>
      <w:r w:rsidRPr="006039C4">
        <w:rPr>
          <w:i/>
          <w:iCs/>
        </w:rPr>
        <w:t>CAEECC members and other interested stakeholders</w:t>
      </w:r>
      <w:r w:rsidRPr="006039C4">
        <w:t>: Lara Ettenson, Anthony Kinslow</w:t>
      </w:r>
      <w:r w:rsidR="003B553E">
        <w:t xml:space="preserve"> II</w:t>
      </w:r>
      <w:r>
        <w:t xml:space="preserve">, James Dodenhoff, Kathleen Yip, Kaylee D’Amico, Marianne </w:t>
      </w:r>
      <w:proofErr w:type="spellStart"/>
      <w:r>
        <w:t>Bithell</w:t>
      </w:r>
      <w:proofErr w:type="spellEnd"/>
      <w:r>
        <w:t xml:space="preserve">, Ted Howard, </w:t>
      </w:r>
      <w:r w:rsidR="006039C4">
        <w:t>Aisha Cissna</w:t>
      </w:r>
      <w:r>
        <w:t xml:space="preserve"> </w:t>
      </w:r>
    </w:p>
    <w:p w14:paraId="489E1624" w14:textId="77777777" w:rsidR="007331CB" w:rsidRDefault="007331CB" w:rsidP="007331CB">
      <w:pPr>
        <w:pStyle w:val="ListParagraph"/>
        <w:numPr>
          <w:ilvl w:val="0"/>
          <w:numId w:val="1"/>
        </w:numPr>
      </w:pPr>
      <w:r w:rsidRPr="00B86837">
        <w:rPr>
          <w:i/>
          <w:iCs/>
        </w:rPr>
        <w:t>Facilitators</w:t>
      </w:r>
      <w:r>
        <w:t>: Dr. Scott McCreary and Katie Abrams</w:t>
      </w:r>
    </w:p>
    <w:p w14:paraId="78D30666" w14:textId="1D60116D" w:rsidR="00A25A4C" w:rsidRDefault="00A25A4C" w:rsidP="00A25A4C"/>
    <w:p w14:paraId="5BAEC122" w14:textId="7C1B454D" w:rsidR="007331CB" w:rsidRDefault="00FB6053" w:rsidP="007331CB">
      <w:pPr>
        <w:pStyle w:val="Heading1"/>
      </w:pPr>
      <w:r>
        <w:t xml:space="preserve">Introductions &amp; Agenda Review – </w:t>
      </w:r>
      <w:r w:rsidRPr="00994243">
        <w:rPr>
          <w:i/>
          <w:iCs/>
        </w:rPr>
        <w:t>Scott</w:t>
      </w:r>
      <w:r>
        <w:rPr>
          <w:i/>
          <w:iCs/>
        </w:rPr>
        <w:t xml:space="preserve"> McCreary </w:t>
      </w:r>
    </w:p>
    <w:p w14:paraId="5A3426DE" w14:textId="27C2236C" w:rsidR="007331CB" w:rsidRDefault="007331CB" w:rsidP="007331CB">
      <w:r>
        <w:t xml:space="preserve">Scott noted that the purpose of this meeting is for the UC Irvine </w:t>
      </w:r>
      <w:r w:rsidR="00C308EE">
        <w:t>Faculty and Student</w:t>
      </w:r>
      <w:r w:rsidR="0033562B">
        <w:t>s</w:t>
      </w:r>
      <w:r w:rsidR="00C308EE">
        <w:t xml:space="preserve"> </w:t>
      </w:r>
      <w:r>
        <w:t xml:space="preserve">and Green Energy Economics research team to present early findings to the CAEECC Underserved Working Group. The research team anticipates finalizing their analysis in </w:t>
      </w:r>
      <w:r w:rsidR="00C308EE">
        <w:t xml:space="preserve">mid to late </w:t>
      </w:r>
      <w:r>
        <w:t xml:space="preserve">January 2020. </w:t>
      </w:r>
    </w:p>
    <w:p w14:paraId="1DC3F39C" w14:textId="77777777" w:rsidR="007331CB" w:rsidRDefault="007331CB" w:rsidP="007331CB"/>
    <w:p w14:paraId="01655CCD" w14:textId="2B801BC7" w:rsidR="007331CB" w:rsidRDefault="007331CB" w:rsidP="007331CB">
      <w:r>
        <w:t xml:space="preserve">This timing and sequencing should enable full CAEECC Underserved Working Group </w:t>
      </w:r>
      <w:r w:rsidR="00015B5D">
        <w:t>to</w:t>
      </w:r>
      <w:r>
        <w:t xml:space="preserve"> meet in </w:t>
      </w:r>
      <w:r w:rsidR="00015B5D">
        <w:t>early</w:t>
      </w:r>
      <w:r>
        <w:t xml:space="preserve"> 2021 to review the analysis in depth and propose next steps for translating the analysis into policy recommendations to be presented to the CPUC for consideration.</w:t>
      </w:r>
    </w:p>
    <w:p w14:paraId="28A5CFA2" w14:textId="77777777" w:rsidR="007331CB" w:rsidRPr="00994243" w:rsidRDefault="007331CB" w:rsidP="007331CB"/>
    <w:p w14:paraId="5D009200" w14:textId="51BE5CCF" w:rsidR="00FB6053" w:rsidRDefault="00FB6053" w:rsidP="00FB6053">
      <w:pPr>
        <w:pStyle w:val="Heading1"/>
        <w:rPr>
          <w:i/>
          <w:iCs/>
        </w:rPr>
      </w:pPr>
      <w:r>
        <w:t xml:space="preserve">Present findings on SMB underserved research and analysis – </w:t>
      </w:r>
      <w:r w:rsidRPr="00994243">
        <w:rPr>
          <w:i/>
          <w:iCs/>
        </w:rPr>
        <w:t xml:space="preserve">Professor </w:t>
      </w:r>
      <w:r>
        <w:rPr>
          <w:i/>
          <w:iCs/>
        </w:rPr>
        <w:t>Ed Coulson and Theo Love</w:t>
      </w:r>
    </w:p>
    <w:p w14:paraId="5EEB084C" w14:textId="77777777" w:rsidR="00A25A4C" w:rsidRPr="00A25A4C" w:rsidRDefault="00A25A4C" w:rsidP="00A25A4C">
      <w:pPr>
        <w:rPr>
          <w:b/>
          <w:bCs/>
        </w:rPr>
      </w:pPr>
      <w:r w:rsidRPr="00A25A4C">
        <w:rPr>
          <w:b/>
          <w:bCs/>
        </w:rPr>
        <w:t>Presentation highlights</w:t>
      </w:r>
    </w:p>
    <w:p w14:paraId="69D11DB9" w14:textId="34D4C4A0" w:rsidR="00A25A4C" w:rsidRDefault="00A25A4C" w:rsidP="00A25A4C">
      <w:pPr>
        <w:pStyle w:val="ListParagraph"/>
        <w:numPr>
          <w:ilvl w:val="0"/>
          <w:numId w:val="1"/>
        </w:numPr>
      </w:pPr>
      <w:r>
        <w:t>Data sources</w:t>
      </w:r>
      <w:r w:rsidR="00925A0E">
        <w:t xml:space="preserve"> and highlights</w:t>
      </w:r>
    </w:p>
    <w:p w14:paraId="384D9B6F" w14:textId="3CFB9188" w:rsidR="00925A0E" w:rsidRDefault="00925A0E" w:rsidP="00925A0E">
      <w:pPr>
        <w:pStyle w:val="ListParagraph"/>
        <w:numPr>
          <w:ilvl w:val="1"/>
          <w:numId w:val="1"/>
        </w:numPr>
      </w:pPr>
      <w:r>
        <w:t xml:space="preserve">Used CEDARS to obtain claims and </w:t>
      </w:r>
      <w:proofErr w:type="spellStart"/>
      <w:r>
        <w:t>siteID</w:t>
      </w:r>
      <w:proofErr w:type="spellEnd"/>
      <w:r>
        <w:t xml:space="preserve">, used </w:t>
      </w:r>
      <w:proofErr w:type="spellStart"/>
      <w:r w:rsidR="00C308EE">
        <w:t>Z</w:t>
      </w:r>
      <w:r>
        <w:t>ipcode</w:t>
      </w:r>
      <w:proofErr w:type="spellEnd"/>
      <w:r>
        <w:t xml:space="preserve"> to cross-reference w/ other datasets (County Business Patterns and American Community Survey) to look at demographic and business information</w:t>
      </w:r>
    </w:p>
    <w:p w14:paraId="1450B5A9" w14:textId="77777777" w:rsidR="00925A0E" w:rsidRDefault="00925A0E" w:rsidP="00925A0E">
      <w:pPr>
        <w:pStyle w:val="ListParagraph"/>
        <w:numPr>
          <w:ilvl w:val="2"/>
          <w:numId w:val="1"/>
        </w:numPr>
      </w:pPr>
      <w:r>
        <w:t>Claim provides measure/project level info on program, site info, costs, savings, incentives, cost-effectiveness</w:t>
      </w:r>
    </w:p>
    <w:p w14:paraId="7755E10B" w14:textId="1AA2615B" w:rsidR="00925A0E" w:rsidRDefault="00925A0E" w:rsidP="00925A0E">
      <w:pPr>
        <w:pStyle w:val="ListParagraph"/>
        <w:numPr>
          <w:ilvl w:val="2"/>
          <w:numId w:val="1"/>
        </w:numPr>
      </w:pPr>
      <w:r>
        <w:lastRenderedPageBreak/>
        <w:t>Public</w:t>
      </w:r>
      <w:r w:rsidR="006039C4">
        <w:rPr>
          <w:rStyle w:val="FootnoteReference"/>
        </w:rPr>
        <w:footnoteReference w:id="2"/>
      </w:r>
      <w:r>
        <w:t xml:space="preserve"> dataset does not include site-specific details (city, zip, NAICS) –challenging to </w:t>
      </w:r>
      <w:r w:rsidRPr="00015B5D">
        <w:t>collate w/</w:t>
      </w:r>
      <w:r>
        <w:t xml:space="preserve"> other data sources </w:t>
      </w:r>
    </w:p>
    <w:p w14:paraId="34A75C3B" w14:textId="77777777" w:rsidR="00925A0E" w:rsidRDefault="00925A0E" w:rsidP="00925A0E">
      <w:pPr>
        <w:pStyle w:val="ListParagraph"/>
        <w:numPr>
          <w:ilvl w:val="2"/>
          <w:numId w:val="1"/>
        </w:numPr>
      </w:pPr>
      <w:r>
        <w:t xml:space="preserve">Data request provided </w:t>
      </w:r>
      <w:proofErr w:type="spellStart"/>
      <w:r>
        <w:t>unscrubbed</w:t>
      </w:r>
      <w:proofErr w:type="spellEnd"/>
      <w:r>
        <w:t xml:space="preserve"> claims for PGE, SCE, SCG, SDGE – allows </w:t>
      </w:r>
      <w:proofErr w:type="spellStart"/>
      <w:r>
        <w:t>zipcode</w:t>
      </w:r>
      <w:proofErr w:type="spellEnd"/>
      <w:r>
        <w:t xml:space="preserve"> analysis</w:t>
      </w:r>
    </w:p>
    <w:p w14:paraId="1F4116C2" w14:textId="1F9F521F" w:rsidR="00925A0E" w:rsidRPr="00491EB6" w:rsidRDefault="00491EB6" w:rsidP="00925A0E">
      <w:pPr>
        <w:pStyle w:val="ListParagraph"/>
        <w:numPr>
          <w:ilvl w:val="1"/>
          <w:numId w:val="1"/>
        </w:numPr>
        <w:rPr>
          <w:b/>
          <w:bCs/>
        </w:rPr>
      </w:pPr>
      <w:r w:rsidRPr="00491EB6">
        <w:rPr>
          <w:b/>
          <w:bCs/>
        </w:rPr>
        <w:t>Initial claims analysis and data summary</w:t>
      </w:r>
    </w:p>
    <w:p w14:paraId="4C251DB0" w14:textId="5BFABA59" w:rsidR="00925A0E" w:rsidRDefault="0015154B" w:rsidP="0015154B">
      <w:pPr>
        <w:pStyle w:val="ListParagraph"/>
        <w:numPr>
          <w:ilvl w:val="2"/>
          <w:numId w:val="1"/>
        </w:numPr>
      </w:pPr>
      <w:r>
        <w:t xml:space="preserve">Summary: </w:t>
      </w:r>
      <w:r w:rsidR="000C2C1D">
        <w:t xml:space="preserve">analyzed </w:t>
      </w:r>
      <w:r w:rsidR="00925A0E">
        <w:t>505,500 unique claims from 2017-2019</w:t>
      </w:r>
      <w:r w:rsidR="000C2C1D">
        <w:t xml:space="preserve">. </w:t>
      </w:r>
      <w:r w:rsidR="00925A0E">
        <w:t>Mean incentive $816, gross measure cost $2,292</w:t>
      </w:r>
      <w:r>
        <w:t xml:space="preserve">; </w:t>
      </w:r>
      <w:r w:rsidR="00925A0E">
        <w:t>75% claims are small projects w/ some large projects $1.6M incentive</w:t>
      </w:r>
      <w:r>
        <w:t xml:space="preserve">; </w:t>
      </w:r>
      <w:r w:rsidR="00925A0E">
        <w:t xml:space="preserve">56% zips </w:t>
      </w:r>
      <w:r w:rsidR="00B07A9C">
        <w:t>in CA represented</w:t>
      </w:r>
    </w:p>
    <w:p w14:paraId="13569738" w14:textId="77F13ECE" w:rsidR="00B07A9C" w:rsidRDefault="00CB0384" w:rsidP="0015154B">
      <w:pPr>
        <w:pStyle w:val="ListParagraph"/>
        <w:numPr>
          <w:ilvl w:val="2"/>
          <w:numId w:val="1"/>
        </w:numPr>
      </w:pPr>
      <w:r>
        <w:t>Participation variable – challenging b/c PGE only PA to use “small commercial” tag</w:t>
      </w:r>
    </w:p>
    <w:p w14:paraId="54C4ABAE" w14:textId="74B32C4D" w:rsidR="00CB0384" w:rsidRDefault="00CB0384" w:rsidP="0015154B">
      <w:pPr>
        <w:pStyle w:val="ListParagraph"/>
        <w:numPr>
          <w:ilvl w:val="2"/>
          <w:numId w:val="1"/>
        </w:numPr>
      </w:pPr>
      <w:r>
        <w:t>Investment flows</w:t>
      </w:r>
      <w:r w:rsidR="00364DF4">
        <w:t xml:space="preserve"> – large barrier for participation is upfront cost; majority (56%) of claims have 99% incentive as percent of costs (likely direct install); </w:t>
      </w:r>
      <w:proofErr w:type="gramStart"/>
      <w:r w:rsidR="00364DF4">
        <w:t>otherwise</w:t>
      </w:r>
      <w:proofErr w:type="gramEnd"/>
      <w:r w:rsidR="00364DF4">
        <w:t xml:space="preserve"> wide range of</w:t>
      </w:r>
      <w:r w:rsidR="00C308EE">
        <w:t xml:space="preserve"> </w:t>
      </w:r>
      <w:r w:rsidR="00364DF4">
        <w:t xml:space="preserve">incentive levels – varies by PA (SCE has highest % of cost covered by incentive; </w:t>
      </w:r>
      <w:r w:rsidR="00C308EE">
        <w:t xml:space="preserve">variation among IOUs: </w:t>
      </w:r>
      <w:r w:rsidR="00364DF4">
        <w:t>lower for SDGE and SCG; almost none for PGE – perhaps data tagging issue or no direct install program?)</w:t>
      </w:r>
    </w:p>
    <w:p w14:paraId="23019A5B" w14:textId="53CBD071" w:rsidR="00364DF4" w:rsidRDefault="00364DF4" w:rsidP="0015154B">
      <w:pPr>
        <w:pStyle w:val="ListParagraph"/>
        <w:numPr>
          <w:ilvl w:val="2"/>
          <w:numId w:val="1"/>
        </w:numPr>
      </w:pPr>
      <w:r>
        <w:t xml:space="preserve">Savings </w:t>
      </w:r>
      <w:r w:rsidR="0015154B">
        <w:t>–</w:t>
      </w:r>
      <w:r>
        <w:t xml:space="preserve"> </w:t>
      </w:r>
      <w:r w:rsidR="0015154B">
        <w:t>still needs to be analyzed in depth, thus far have converted gas to kWh to account for fuel switching and make comparisons easier</w:t>
      </w:r>
    </w:p>
    <w:p w14:paraId="16CC0FBF" w14:textId="3FC80473" w:rsidR="0015154B" w:rsidRDefault="0015154B" w:rsidP="00553681">
      <w:pPr>
        <w:pStyle w:val="ListParagraph"/>
        <w:numPr>
          <w:ilvl w:val="1"/>
          <w:numId w:val="1"/>
        </w:numPr>
      </w:pPr>
      <w:r>
        <w:t>County Business Patterns (CBP)</w:t>
      </w:r>
      <w:r w:rsidR="003D0A1B">
        <w:t xml:space="preserve"> and </w:t>
      </w:r>
      <w:r>
        <w:t>American Community Survey (ACS)</w:t>
      </w:r>
      <w:r w:rsidR="003D0A1B">
        <w:t xml:space="preserve"> regression analysis</w:t>
      </w:r>
    </w:p>
    <w:p w14:paraId="3F23C960" w14:textId="77777777" w:rsidR="00717135" w:rsidRDefault="003D0A1B" w:rsidP="0015154B">
      <w:pPr>
        <w:pStyle w:val="ListParagraph"/>
        <w:numPr>
          <w:ilvl w:val="2"/>
          <w:numId w:val="1"/>
        </w:numPr>
      </w:pPr>
      <w:r w:rsidRPr="00491EB6">
        <w:rPr>
          <w:b/>
          <w:bCs/>
        </w:rPr>
        <w:t>Initial analysis</w:t>
      </w:r>
      <w:r>
        <w:t xml:space="preserve">: </w:t>
      </w:r>
    </w:p>
    <w:p w14:paraId="4365FCA7" w14:textId="6CC601D6" w:rsidR="00717135" w:rsidRDefault="00717135" w:rsidP="00717135">
      <w:pPr>
        <w:pStyle w:val="ListParagraph"/>
        <w:numPr>
          <w:ilvl w:val="3"/>
          <w:numId w:val="1"/>
        </w:numPr>
      </w:pPr>
      <w:r>
        <w:t>Positive (higher % correlates w/ higher penetration): Hispanic, household size, income $50-75k</w:t>
      </w:r>
    </w:p>
    <w:p w14:paraId="1E962524" w14:textId="282276BE" w:rsidR="00717135" w:rsidRDefault="00717135" w:rsidP="00717135">
      <w:pPr>
        <w:pStyle w:val="ListParagraph"/>
        <w:numPr>
          <w:ilvl w:val="3"/>
          <w:numId w:val="1"/>
        </w:numPr>
      </w:pPr>
      <w:r>
        <w:t>Negative (higher % correlates w/ lower penetration): number of establishments, population over 65, total payroll, African American</w:t>
      </w:r>
    </w:p>
    <w:p w14:paraId="26677256" w14:textId="5FAE6867" w:rsidR="00A25A4C" w:rsidRPr="006039C4" w:rsidRDefault="00A25A4C" w:rsidP="00A25A4C">
      <w:pPr>
        <w:pStyle w:val="ListParagraph"/>
        <w:numPr>
          <w:ilvl w:val="0"/>
          <w:numId w:val="1"/>
        </w:numPr>
        <w:rPr>
          <w:b/>
          <w:bCs/>
        </w:rPr>
      </w:pPr>
      <w:r w:rsidRPr="006039C4">
        <w:rPr>
          <w:b/>
          <w:bCs/>
        </w:rPr>
        <w:t>Next steps/future refinements</w:t>
      </w:r>
    </w:p>
    <w:p w14:paraId="214E9A10" w14:textId="3DBCEEEF" w:rsidR="00717135" w:rsidRDefault="00717135" w:rsidP="00452C88">
      <w:pPr>
        <w:pStyle w:val="ListParagraph"/>
        <w:numPr>
          <w:ilvl w:val="1"/>
          <w:numId w:val="1"/>
        </w:numPr>
      </w:pPr>
      <w:r>
        <w:t>ACS/CBP data: other income ranges, ethnic groups, and immigrant status</w:t>
      </w:r>
    </w:p>
    <w:p w14:paraId="4942C363" w14:textId="14272529" w:rsidR="00717135" w:rsidRDefault="00717135" w:rsidP="00925A0E">
      <w:pPr>
        <w:pStyle w:val="ListParagraph"/>
        <w:numPr>
          <w:ilvl w:val="1"/>
          <w:numId w:val="1"/>
        </w:numPr>
      </w:pPr>
      <w:r>
        <w:t>Claims data: will look at rebate amt, % cost covered by rebate, savings amount</w:t>
      </w:r>
    </w:p>
    <w:p w14:paraId="3CC963AC" w14:textId="787C6BA9" w:rsidR="00452C88" w:rsidRDefault="00452C88" w:rsidP="00925A0E">
      <w:pPr>
        <w:pStyle w:val="ListParagraph"/>
        <w:numPr>
          <w:ilvl w:val="1"/>
          <w:numId w:val="1"/>
        </w:numPr>
      </w:pPr>
      <w:r>
        <w:t>Review correlations btw ACS/CBP data and claims data</w:t>
      </w:r>
    </w:p>
    <w:p w14:paraId="583B26D5" w14:textId="38FB9CB0" w:rsidR="00452C88" w:rsidRDefault="00452C88" w:rsidP="00925A0E">
      <w:pPr>
        <w:pStyle w:val="ListParagraph"/>
        <w:numPr>
          <w:ilvl w:val="1"/>
          <w:numId w:val="1"/>
        </w:numPr>
      </w:pPr>
      <w:r>
        <w:t>Perform multivariate regression analysis</w:t>
      </w:r>
    </w:p>
    <w:p w14:paraId="40E80EA3" w14:textId="4871C9BC" w:rsidR="00925A0E" w:rsidRDefault="00925A0E" w:rsidP="00925A0E">
      <w:pPr>
        <w:pStyle w:val="ListParagraph"/>
        <w:numPr>
          <w:ilvl w:val="1"/>
          <w:numId w:val="1"/>
        </w:numPr>
      </w:pPr>
      <w:r>
        <w:t>Collate w/ NAICS data</w:t>
      </w:r>
      <w:r w:rsidR="00491EB6">
        <w:t xml:space="preserve"> </w:t>
      </w:r>
    </w:p>
    <w:p w14:paraId="197CBB3C" w14:textId="2348DF7C" w:rsidR="00FB6053" w:rsidRPr="006039C4" w:rsidRDefault="00452C88" w:rsidP="00452C88">
      <w:pPr>
        <w:pStyle w:val="ListParagraph"/>
        <w:numPr>
          <w:ilvl w:val="0"/>
          <w:numId w:val="1"/>
        </w:numPr>
        <w:rPr>
          <w:b/>
          <w:bCs/>
        </w:rPr>
      </w:pPr>
      <w:r w:rsidRPr="006039C4">
        <w:rPr>
          <w:b/>
          <w:bCs/>
        </w:rPr>
        <w:t>Overview of data challenges</w:t>
      </w:r>
    </w:p>
    <w:p w14:paraId="20A28CAB" w14:textId="18B786A1" w:rsidR="006039C4" w:rsidRDefault="006039C4" w:rsidP="006039C4">
      <w:pPr>
        <w:pStyle w:val="ListParagraph"/>
        <w:numPr>
          <w:ilvl w:val="1"/>
          <w:numId w:val="1"/>
        </w:numPr>
      </w:pPr>
      <w:r>
        <w:t xml:space="preserve">Upstream/downstream/midstream flags – SMB has only “upstream”, public has 3 </w:t>
      </w:r>
      <w:proofErr w:type="gramStart"/>
      <w:r>
        <w:t>flags</w:t>
      </w:r>
      <w:proofErr w:type="gramEnd"/>
      <w:r>
        <w:t xml:space="preserve"> and many claims have all three </w:t>
      </w:r>
      <w:r w:rsidR="00C308EE">
        <w:t xml:space="preserve">categories </w:t>
      </w:r>
      <w:r>
        <w:t>flagged simultaneously</w:t>
      </w:r>
    </w:p>
    <w:p w14:paraId="16FB457B" w14:textId="77777777" w:rsidR="006039C4" w:rsidRDefault="006039C4" w:rsidP="006039C4">
      <w:pPr>
        <w:pStyle w:val="ListParagraph"/>
        <w:numPr>
          <w:ilvl w:val="1"/>
          <w:numId w:val="1"/>
        </w:numPr>
      </w:pPr>
      <w:r>
        <w:t>Incentive issue – total gross incentive not in public data</w:t>
      </w:r>
    </w:p>
    <w:p w14:paraId="40A52C7E" w14:textId="0980226A" w:rsidR="006039C4" w:rsidRDefault="006039C4" w:rsidP="006039C4">
      <w:pPr>
        <w:pStyle w:val="ListParagraph"/>
        <w:numPr>
          <w:ilvl w:val="1"/>
          <w:numId w:val="1"/>
        </w:numPr>
      </w:pPr>
      <w:r>
        <w:t>Classification of residential/small commercial/commercial/large commercial/small industrial/agriculture is at the PA</w:t>
      </w:r>
      <w:r w:rsidR="00C308EE">
        <w:t>’s</w:t>
      </w:r>
      <w:r>
        <w:t xml:space="preserve"> discretion</w:t>
      </w:r>
    </w:p>
    <w:p w14:paraId="1BA8A914" w14:textId="77777777" w:rsidR="006039C4" w:rsidRDefault="006039C4" w:rsidP="006039C4">
      <w:pPr>
        <w:pStyle w:val="ListParagraph"/>
        <w:numPr>
          <w:ilvl w:val="2"/>
          <w:numId w:val="1"/>
        </w:numPr>
      </w:pPr>
      <w:r>
        <w:t>1/3 of SMB data set is classified as small commercial</w:t>
      </w:r>
    </w:p>
    <w:p w14:paraId="306B2CCC" w14:textId="658538D0" w:rsidR="006039C4" w:rsidRDefault="00C308EE" w:rsidP="006039C4">
      <w:pPr>
        <w:pStyle w:val="ListParagraph"/>
        <w:numPr>
          <w:ilvl w:val="2"/>
          <w:numId w:val="1"/>
        </w:numPr>
      </w:pPr>
      <w:r>
        <w:t xml:space="preserve">Notably, </w:t>
      </w:r>
      <w:r w:rsidR="006039C4">
        <w:t xml:space="preserve">PGE is </w:t>
      </w:r>
      <w:r w:rsidR="000C2C1D">
        <w:t xml:space="preserve">the </w:t>
      </w:r>
      <w:r w:rsidR="006039C4">
        <w:t>only PA to use “small commercial” designation</w:t>
      </w:r>
    </w:p>
    <w:p w14:paraId="022A2EB4" w14:textId="645650DA" w:rsidR="00452C88" w:rsidRPr="00491EB6" w:rsidRDefault="00452C88" w:rsidP="00452C88">
      <w:pPr>
        <w:pStyle w:val="ListParagraph"/>
        <w:numPr>
          <w:ilvl w:val="1"/>
          <w:numId w:val="1"/>
        </w:numPr>
      </w:pPr>
      <w:r w:rsidRPr="00491EB6">
        <w:lastRenderedPageBreak/>
        <w:t>Claims</w:t>
      </w:r>
      <w:r w:rsidR="00491EB6" w:rsidRPr="00491EB6">
        <w:t xml:space="preserve"> data challenges</w:t>
      </w:r>
      <w:r w:rsidR="00C308EE">
        <w:t xml:space="preserve"> encountered</w:t>
      </w:r>
      <w:r w:rsidRPr="00491EB6">
        <w:t>: public data doesn’t include site info to compare to other data sources</w:t>
      </w:r>
      <w:r w:rsidR="00491EB6" w:rsidRPr="00491EB6">
        <w:t xml:space="preserve"> -</w:t>
      </w:r>
      <w:r w:rsidRPr="00491EB6">
        <w:t xml:space="preserve"> or have clear documentation of how fields are derived on submission files (upstream issues, incentive issue, sectors and rate class issue); getting raw submitted data was difficult</w:t>
      </w:r>
      <w:r w:rsidR="00491EB6" w:rsidRPr="00491EB6">
        <w:t>; submitted data doesn’t provide consistent mapping for rate classes or sectors</w:t>
      </w:r>
      <w:r w:rsidR="000C2C1D">
        <w:t xml:space="preserve">. </w:t>
      </w:r>
      <w:proofErr w:type="gramStart"/>
      <w:r w:rsidR="000C2C1D">
        <w:t>Facilitator</w:t>
      </w:r>
      <w:proofErr w:type="gramEnd"/>
      <w:r w:rsidR="000C2C1D">
        <w:t xml:space="preserve"> n</w:t>
      </w:r>
      <w:r w:rsidR="00C308EE">
        <w:t>ote</w:t>
      </w:r>
      <w:r w:rsidR="000C2C1D">
        <w:t xml:space="preserve"> to research team</w:t>
      </w:r>
      <w:r w:rsidR="00C308EE">
        <w:t xml:space="preserve">: </w:t>
      </w:r>
      <w:r w:rsidR="000C2C1D">
        <w:t>consider flagging</w:t>
      </w:r>
      <w:r w:rsidR="00C308EE">
        <w:t xml:space="preserve"> these as potential areas to address in the future</w:t>
      </w:r>
    </w:p>
    <w:p w14:paraId="31613A96" w14:textId="26453793" w:rsidR="00491EB6" w:rsidRPr="00491EB6" w:rsidRDefault="00491EB6" w:rsidP="00452C88">
      <w:pPr>
        <w:pStyle w:val="ListParagraph"/>
        <w:numPr>
          <w:ilvl w:val="1"/>
          <w:numId w:val="1"/>
        </w:numPr>
      </w:pPr>
      <w:r w:rsidRPr="00491EB6">
        <w:t>ACS/CBP data challenges: requires zip-code level values; not all data is available for all zips</w:t>
      </w:r>
    </w:p>
    <w:p w14:paraId="093D9F92" w14:textId="7E3BEE51" w:rsidR="00FB6053" w:rsidRDefault="00FB6053" w:rsidP="00FB6053">
      <w:pPr>
        <w:pStyle w:val="Heading1"/>
        <w:rPr>
          <w:i/>
          <w:iCs/>
        </w:rPr>
      </w:pPr>
      <w:r>
        <w:t xml:space="preserve">Discussion and questions on research and analysis; initial suggestions for refining the analysis – </w:t>
      </w:r>
      <w:r>
        <w:rPr>
          <w:i/>
          <w:iCs/>
        </w:rPr>
        <w:t>CAEECC members</w:t>
      </w:r>
      <w:r>
        <w:t xml:space="preserve"> – </w:t>
      </w:r>
      <w:r>
        <w:rPr>
          <w:i/>
          <w:iCs/>
        </w:rPr>
        <w:t>CAEECC members</w:t>
      </w:r>
    </w:p>
    <w:p w14:paraId="536EC2EC" w14:textId="1177793F" w:rsidR="00925A0E" w:rsidRDefault="00925A0E" w:rsidP="00925A0E">
      <w:r w:rsidRPr="009867DE">
        <w:t xml:space="preserve">CAEECC </w:t>
      </w:r>
      <w:r w:rsidR="009867DE" w:rsidRPr="009867DE">
        <w:t>member and stakeholder questions are listed</w:t>
      </w:r>
      <w:r w:rsidRPr="009867DE">
        <w:t xml:space="preserve"> in </w:t>
      </w:r>
      <w:r w:rsidR="009867DE">
        <w:t>italics</w:t>
      </w:r>
      <w:r w:rsidRPr="009867DE">
        <w:t xml:space="preserve"> </w:t>
      </w:r>
      <w:r w:rsidR="009867DE" w:rsidRPr="009867DE">
        <w:t>below</w:t>
      </w:r>
      <w:r w:rsidRPr="009867DE">
        <w:t>, with researchers’ responses in sub</w:t>
      </w:r>
      <w:r w:rsidR="00717135" w:rsidRPr="009867DE">
        <w:t>-bullets</w:t>
      </w:r>
      <w:r w:rsidR="009867DE">
        <w:t>.</w:t>
      </w:r>
    </w:p>
    <w:p w14:paraId="6926148F" w14:textId="71E9E57A" w:rsidR="00491EB6" w:rsidRDefault="00491EB6" w:rsidP="00925A0E"/>
    <w:p w14:paraId="5C32A025" w14:textId="5E68A179" w:rsidR="00FB6053" w:rsidRPr="009867DE" w:rsidRDefault="00C308EE" w:rsidP="009867DE">
      <w:pPr>
        <w:rPr>
          <w:i/>
          <w:iCs/>
        </w:rPr>
      </w:pPr>
      <w:r>
        <w:rPr>
          <w:i/>
          <w:iCs/>
        </w:rPr>
        <w:t>Was the analysis</w:t>
      </w:r>
      <w:r w:rsidR="00925A0E" w:rsidRPr="009867DE">
        <w:rPr>
          <w:i/>
          <w:iCs/>
        </w:rPr>
        <w:t xml:space="preserve"> able to differentiate between a Project vs a Measure?  If a Project has multiple measures, are you able to determine that from the CEDARS Public Data?</w:t>
      </w:r>
    </w:p>
    <w:p w14:paraId="67BDFD0E" w14:textId="64BB82F0" w:rsidR="009867DE" w:rsidRDefault="00925A0E" w:rsidP="009867DE">
      <w:pPr>
        <w:pStyle w:val="ListParagraph"/>
        <w:numPr>
          <w:ilvl w:val="0"/>
          <w:numId w:val="2"/>
        </w:numPr>
      </w:pPr>
      <w:r>
        <w:t>Research is looking at site level not</w:t>
      </w:r>
      <w:r w:rsidR="006039C4">
        <w:t xml:space="preserve"> the</w:t>
      </w:r>
      <w:r>
        <w:t xml:space="preserve"> project or measure level</w:t>
      </w:r>
    </w:p>
    <w:p w14:paraId="5DFE4076" w14:textId="77777777" w:rsidR="009867DE" w:rsidRDefault="009867DE" w:rsidP="009867DE"/>
    <w:p w14:paraId="501169EA" w14:textId="488E2E83" w:rsidR="00A6341B" w:rsidRDefault="00A6341B" w:rsidP="009867DE">
      <w:pPr>
        <w:rPr>
          <w:i/>
          <w:iCs/>
        </w:rPr>
      </w:pPr>
      <w:r>
        <w:rPr>
          <w:i/>
          <w:iCs/>
        </w:rPr>
        <w:t xml:space="preserve">Am I understanding correctly that PG&amp;E is the only PA to use “small </w:t>
      </w:r>
      <w:r w:rsidR="000C2C1D">
        <w:rPr>
          <w:i/>
          <w:iCs/>
        </w:rPr>
        <w:t>commercial” designatio</w:t>
      </w:r>
      <w:r w:rsidR="0071579E">
        <w:rPr>
          <w:i/>
          <w:iCs/>
        </w:rPr>
        <w:t>n</w:t>
      </w:r>
      <w:r>
        <w:rPr>
          <w:i/>
          <w:iCs/>
        </w:rPr>
        <w:t xml:space="preserve"> in their dataset? That seems wildly unhelpful.</w:t>
      </w:r>
    </w:p>
    <w:p w14:paraId="389EC6AD" w14:textId="05F922D1" w:rsidR="00A6341B" w:rsidRPr="00A6341B" w:rsidRDefault="00A6341B" w:rsidP="00A6341B">
      <w:pPr>
        <w:pStyle w:val="ListParagraph"/>
        <w:numPr>
          <w:ilvl w:val="0"/>
          <w:numId w:val="2"/>
        </w:numPr>
      </w:pPr>
      <w:r w:rsidRPr="00A6341B">
        <w:t>Yes, the other PAs tag “commercial” but PG&amp;E tag</w:t>
      </w:r>
      <w:r>
        <w:t>s</w:t>
      </w:r>
      <w:r w:rsidRPr="00A6341B">
        <w:t xml:space="preserve"> “small commercial”</w:t>
      </w:r>
      <w:r>
        <w:t>. There must be a better way to tie claims data to rates; currently this is based on submitter (PA) discretion.</w:t>
      </w:r>
    </w:p>
    <w:p w14:paraId="26037AB5" w14:textId="77777777" w:rsidR="00A6341B" w:rsidRDefault="00A6341B" w:rsidP="009867DE">
      <w:pPr>
        <w:rPr>
          <w:i/>
          <w:iCs/>
        </w:rPr>
      </w:pPr>
    </w:p>
    <w:p w14:paraId="6BA53593" w14:textId="119B212C" w:rsidR="00A6341B" w:rsidRDefault="00364DF4" w:rsidP="00A6341B">
      <w:pPr>
        <w:rPr>
          <w:i/>
          <w:iCs/>
        </w:rPr>
      </w:pPr>
      <w:r w:rsidRPr="009867DE">
        <w:rPr>
          <w:i/>
          <w:iCs/>
        </w:rPr>
        <w:t xml:space="preserve">Does </w:t>
      </w:r>
      <w:r w:rsidR="00A6341B">
        <w:rPr>
          <w:i/>
          <w:iCs/>
        </w:rPr>
        <w:t>the % of cost covered (slides 18-19)</w:t>
      </w:r>
      <w:r w:rsidRPr="009867DE">
        <w:rPr>
          <w:i/>
          <w:iCs/>
        </w:rPr>
        <w:t xml:space="preserve"> </w:t>
      </w:r>
      <w:r w:rsidR="00DF78AE">
        <w:rPr>
          <w:i/>
          <w:iCs/>
        </w:rPr>
        <w:t>suggest</w:t>
      </w:r>
      <w:r w:rsidRPr="009867DE">
        <w:rPr>
          <w:i/>
          <w:iCs/>
        </w:rPr>
        <w:t xml:space="preserve"> </w:t>
      </w:r>
      <w:r w:rsidR="00A6341B">
        <w:rPr>
          <w:i/>
          <w:iCs/>
        </w:rPr>
        <w:t xml:space="preserve">that there’s a problem with the incentive process that makes it untenable or challenging for small commercial – can we infer that from this data? </w:t>
      </w:r>
    </w:p>
    <w:p w14:paraId="69B305D4" w14:textId="61CB6BE0" w:rsidR="00175B62" w:rsidRDefault="00175B62" w:rsidP="00364DF4">
      <w:pPr>
        <w:pStyle w:val="ListParagraph"/>
        <w:numPr>
          <w:ilvl w:val="0"/>
          <w:numId w:val="2"/>
        </w:numPr>
      </w:pPr>
      <w:r>
        <w:t>The research team n</w:t>
      </w:r>
      <w:r w:rsidR="00A6341B">
        <w:t>eed</w:t>
      </w:r>
      <w:r>
        <w:t>s</w:t>
      </w:r>
      <w:r w:rsidR="00A6341B">
        <w:t xml:space="preserve"> to look into more data, and the issue may speak to data issues. </w:t>
      </w:r>
    </w:p>
    <w:p w14:paraId="028A36A7" w14:textId="77777777" w:rsidR="00175B62" w:rsidRPr="00381589" w:rsidRDefault="00175B62" w:rsidP="00364DF4">
      <w:pPr>
        <w:pStyle w:val="ListParagraph"/>
        <w:numPr>
          <w:ilvl w:val="0"/>
          <w:numId w:val="2"/>
        </w:numPr>
        <w:rPr>
          <w:i/>
          <w:iCs/>
        </w:rPr>
      </w:pPr>
      <w:r w:rsidRPr="00381589">
        <w:rPr>
          <w:i/>
          <w:iCs/>
        </w:rPr>
        <w:t>A CAEECC member commented that</w:t>
      </w:r>
      <w:r w:rsidR="00364DF4" w:rsidRPr="00381589">
        <w:rPr>
          <w:i/>
          <w:iCs/>
        </w:rPr>
        <w:t xml:space="preserve"> PG&amp;E is only IOU that runs DI through the Public local partnership program</w:t>
      </w:r>
      <w:r w:rsidRPr="00381589">
        <w:rPr>
          <w:i/>
          <w:iCs/>
        </w:rPr>
        <w:t xml:space="preserve">. </w:t>
      </w:r>
    </w:p>
    <w:p w14:paraId="6749DD07" w14:textId="3F0D7690" w:rsidR="00364DF4" w:rsidRPr="00381589" w:rsidRDefault="00175B62" w:rsidP="00364DF4">
      <w:pPr>
        <w:pStyle w:val="ListParagraph"/>
        <w:numPr>
          <w:ilvl w:val="0"/>
          <w:numId w:val="2"/>
        </w:numPr>
        <w:rPr>
          <w:i/>
          <w:iCs/>
        </w:rPr>
      </w:pPr>
      <w:r w:rsidRPr="00381589">
        <w:rPr>
          <w:i/>
          <w:iCs/>
        </w:rPr>
        <w:t>Another member alluded to challenges with how data on local government partnerships projects (categorized as “Public”) appears in claims</w:t>
      </w:r>
    </w:p>
    <w:p w14:paraId="2B810774" w14:textId="477ED915" w:rsidR="00A6341B" w:rsidRPr="00A6341B" w:rsidRDefault="00A6341B" w:rsidP="00175B62">
      <w:pPr>
        <w:pStyle w:val="ListParagraph"/>
        <w:ind w:left="1080"/>
        <w:rPr>
          <w:i/>
          <w:iCs/>
        </w:rPr>
      </w:pPr>
    </w:p>
    <w:p w14:paraId="061B10B9" w14:textId="498ECFF8" w:rsidR="00717135" w:rsidRDefault="00175B62" w:rsidP="00364DF4">
      <w:pPr>
        <w:rPr>
          <w:i/>
          <w:iCs/>
        </w:rPr>
      </w:pPr>
      <w:r>
        <w:rPr>
          <w:i/>
          <w:iCs/>
        </w:rPr>
        <w:t>Is household (slide 27)</w:t>
      </w:r>
      <w:r w:rsidR="00B04B80">
        <w:rPr>
          <w:i/>
          <w:iCs/>
        </w:rPr>
        <w:t xml:space="preserve"> </w:t>
      </w:r>
      <w:r>
        <w:rPr>
          <w:i/>
          <w:iCs/>
        </w:rPr>
        <w:t>a proxy for SMB owners, or will you be using other prox</w:t>
      </w:r>
      <w:r w:rsidR="00DF78AE">
        <w:rPr>
          <w:i/>
          <w:iCs/>
        </w:rPr>
        <w:t xml:space="preserve">y </w:t>
      </w:r>
      <w:r w:rsidR="000C2C1D">
        <w:rPr>
          <w:i/>
          <w:iCs/>
        </w:rPr>
        <w:t>designations</w:t>
      </w:r>
      <w:r w:rsidR="00DF78AE">
        <w:rPr>
          <w:i/>
          <w:iCs/>
        </w:rPr>
        <w:t xml:space="preserve"> </w:t>
      </w:r>
      <w:r>
        <w:rPr>
          <w:i/>
          <w:iCs/>
        </w:rPr>
        <w:t>or data to capture ownership data?</w:t>
      </w:r>
    </w:p>
    <w:p w14:paraId="376BDDC2" w14:textId="710AD938" w:rsidR="006039C4" w:rsidRPr="00175B62" w:rsidRDefault="00175B62" w:rsidP="006039C4">
      <w:pPr>
        <w:pStyle w:val="ListParagraph"/>
        <w:numPr>
          <w:ilvl w:val="0"/>
          <w:numId w:val="2"/>
        </w:numPr>
      </w:pPr>
      <w:r w:rsidRPr="00175B62">
        <w:t xml:space="preserve">Since claims data is at the </w:t>
      </w:r>
      <w:proofErr w:type="spellStart"/>
      <w:r w:rsidRPr="00175B62">
        <w:t>zipcode</w:t>
      </w:r>
      <w:proofErr w:type="spellEnd"/>
      <w:r w:rsidRPr="00175B62">
        <w:t xml:space="preserve"> level</w:t>
      </w:r>
      <w:r w:rsidR="00B04B80">
        <w:t>,</w:t>
      </w:r>
      <w:r w:rsidRPr="00175B62">
        <w:t xml:space="preserve"> we need to find another way to look at ownership data</w:t>
      </w:r>
      <w:r>
        <w:t xml:space="preserve">, for example </w:t>
      </w:r>
      <w:r w:rsidRPr="00175B62">
        <w:t>demographic</w:t>
      </w:r>
      <w:r>
        <w:t xml:space="preserve"> or </w:t>
      </w:r>
      <w:r w:rsidRPr="00175B62">
        <w:t xml:space="preserve">payroll </w:t>
      </w:r>
      <w:r>
        <w:t>data</w:t>
      </w:r>
    </w:p>
    <w:p w14:paraId="7ECDE67A" w14:textId="77777777" w:rsidR="00717135" w:rsidRDefault="00717135" w:rsidP="00717135"/>
    <w:p w14:paraId="77B9C7C5" w14:textId="43A9E7D5" w:rsidR="00717135" w:rsidRPr="009867DE" w:rsidRDefault="00381589" w:rsidP="00717135">
      <w:pPr>
        <w:rPr>
          <w:i/>
          <w:iCs/>
        </w:rPr>
      </w:pPr>
      <w:r>
        <w:rPr>
          <w:i/>
          <w:iCs/>
        </w:rPr>
        <w:t>C</w:t>
      </w:r>
      <w:r w:rsidR="00717135" w:rsidRPr="009867DE">
        <w:rPr>
          <w:i/>
          <w:iCs/>
        </w:rPr>
        <w:t xml:space="preserve">an the intercept </w:t>
      </w:r>
      <w:r>
        <w:rPr>
          <w:i/>
          <w:iCs/>
        </w:rPr>
        <w:t xml:space="preserve">(on slides 25 or 31) </w:t>
      </w:r>
      <w:r w:rsidR="00717135" w:rsidRPr="009867DE">
        <w:rPr>
          <w:i/>
          <w:iCs/>
        </w:rPr>
        <w:t>be used to determine a lack of service to groups?</w:t>
      </w:r>
    </w:p>
    <w:p w14:paraId="464F1687" w14:textId="06CD26C1" w:rsidR="00717135" w:rsidRDefault="00717135" w:rsidP="00717135">
      <w:pPr>
        <w:pStyle w:val="ListParagraph"/>
        <w:numPr>
          <w:ilvl w:val="0"/>
          <w:numId w:val="2"/>
        </w:numPr>
      </w:pPr>
      <w:r>
        <w:t xml:space="preserve">Intercept </w:t>
      </w:r>
      <w:r w:rsidR="00DF78AE">
        <w:t xml:space="preserve">indicated on these graphs </w:t>
      </w:r>
      <w:r>
        <w:t xml:space="preserve">shows 0 penetration level </w:t>
      </w:r>
      <w:r w:rsidR="00381589">
        <w:t xml:space="preserve">– </w:t>
      </w:r>
      <w:proofErr w:type="gramStart"/>
      <w:r w:rsidR="00381589">
        <w:t>i.e.</w:t>
      </w:r>
      <w:proofErr w:type="gramEnd"/>
      <w:r w:rsidR="00381589">
        <w:t xml:space="preserve"> where there is 0 % African American or Hispanic, which </w:t>
      </w:r>
      <w:r w:rsidR="00DF78AE">
        <w:t xml:space="preserve">but this </w:t>
      </w:r>
      <w:r w:rsidR="00381589">
        <w:t xml:space="preserve">doesn’t tell us the average for that </w:t>
      </w:r>
      <w:proofErr w:type="spellStart"/>
      <w:r w:rsidR="00381589">
        <w:t>zipcode</w:t>
      </w:r>
      <w:proofErr w:type="spellEnd"/>
    </w:p>
    <w:p w14:paraId="788FAAFD" w14:textId="30371353" w:rsidR="00717135" w:rsidRPr="00381589" w:rsidRDefault="00381589" w:rsidP="00717135">
      <w:pPr>
        <w:pStyle w:val="ListParagraph"/>
        <w:numPr>
          <w:ilvl w:val="0"/>
          <w:numId w:val="2"/>
        </w:numPr>
        <w:rPr>
          <w:i/>
          <w:iCs/>
        </w:rPr>
      </w:pPr>
      <w:r w:rsidRPr="00381589">
        <w:rPr>
          <w:i/>
          <w:iCs/>
        </w:rPr>
        <w:lastRenderedPageBreak/>
        <w:t>A CAEECC member noted what’s i</w:t>
      </w:r>
      <w:r w:rsidR="00717135" w:rsidRPr="00381589">
        <w:rPr>
          <w:i/>
          <w:iCs/>
        </w:rPr>
        <w:t xml:space="preserve">nteresting </w:t>
      </w:r>
      <w:r w:rsidRPr="00381589">
        <w:rPr>
          <w:i/>
          <w:iCs/>
        </w:rPr>
        <w:t>is that the intercept is</w:t>
      </w:r>
      <w:r w:rsidR="00717135" w:rsidRPr="00381589">
        <w:rPr>
          <w:i/>
          <w:iCs/>
        </w:rPr>
        <w:t xml:space="preserve"> the same for Hispanic and Native American, and we know that there are many </w:t>
      </w:r>
      <w:proofErr w:type="spellStart"/>
      <w:r w:rsidR="00717135" w:rsidRPr="00381589">
        <w:rPr>
          <w:i/>
          <w:iCs/>
        </w:rPr>
        <w:t>zipcodes</w:t>
      </w:r>
      <w:proofErr w:type="spellEnd"/>
      <w:r w:rsidR="00717135" w:rsidRPr="00381589">
        <w:rPr>
          <w:i/>
          <w:iCs/>
        </w:rPr>
        <w:t xml:space="preserve"> that</w:t>
      </w:r>
      <w:r w:rsidRPr="00381589">
        <w:rPr>
          <w:i/>
          <w:iCs/>
        </w:rPr>
        <w:t xml:space="preserve"> have no Native American population </w:t>
      </w:r>
    </w:p>
    <w:p w14:paraId="687CE313" w14:textId="4A6AC925" w:rsidR="00381589" w:rsidRDefault="00717135" w:rsidP="00381589">
      <w:pPr>
        <w:pStyle w:val="ListParagraph"/>
        <w:numPr>
          <w:ilvl w:val="0"/>
          <w:numId w:val="2"/>
        </w:numPr>
      </w:pPr>
      <w:r>
        <w:t>Multivariate analysis could give more insights, so next iteration may provide more details</w:t>
      </w:r>
      <w:r w:rsidR="00381589">
        <w:t xml:space="preserve"> – which could show the effect of a population while hold</w:t>
      </w:r>
      <w:r w:rsidR="003A4972">
        <w:t>ing</w:t>
      </w:r>
      <w:r w:rsidR="00381589">
        <w:t xml:space="preserve"> the other variables constant. The research team confirmed they will </w:t>
      </w:r>
      <w:proofErr w:type="gramStart"/>
      <w:r w:rsidR="00DF78AE">
        <w:t>using</w:t>
      </w:r>
      <w:proofErr w:type="gramEnd"/>
      <w:r w:rsidR="00DF78AE">
        <w:t xml:space="preserve"> this approach </w:t>
      </w:r>
      <w:r w:rsidR="003A4972">
        <w:t xml:space="preserve">in the next round of analysis. </w:t>
      </w:r>
    </w:p>
    <w:p w14:paraId="3FC528CF" w14:textId="416A2CB5" w:rsidR="00452C88" w:rsidRPr="006039C4" w:rsidRDefault="00452C88" w:rsidP="00452C88">
      <w:pPr>
        <w:rPr>
          <w:i/>
          <w:iCs/>
        </w:rPr>
      </w:pPr>
    </w:p>
    <w:p w14:paraId="2142028F" w14:textId="5463007D" w:rsidR="00452C88" w:rsidRPr="006039C4" w:rsidRDefault="00452C88" w:rsidP="00452C88">
      <w:pPr>
        <w:rPr>
          <w:i/>
          <w:iCs/>
        </w:rPr>
      </w:pPr>
      <w:r w:rsidRPr="006039C4">
        <w:rPr>
          <w:i/>
          <w:iCs/>
        </w:rPr>
        <w:t xml:space="preserve">Can rurality status be included as an area of </w:t>
      </w:r>
      <w:r w:rsidR="009867DE" w:rsidRPr="006039C4">
        <w:rPr>
          <w:i/>
          <w:iCs/>
        </w:rPr>
        <w:t>exploration</w:t>
      </w:r>
      <w:r w:rsidRPr="006039C4">
        <w:rPr>
          <w:i/>
          <w:iCs/>
        </w:rPr>
        <w:t>/addition to the demographics data</w:t>
      </w:r>
      <w:r w:rsidR="006C43A1">
        <w:rPr>
          <w:i/>
          <w:iCs/>
        </w:rPr>
        <w:t>?</w:t>
      </w:r>
      <w:r w:rsidRPr="006039C4">
        <w:rPr>
          <w:i/>
          <w:iCs/>
        </w:rPr>
        <w:t xml:space="preserve"> Does the team have plans to incorporate that?</w:t>
      </w:r>
    </w:p>
    <w:p w14:paraId="0AB5425F" w14:textId="7D952B96" w:rsidR="00452C88" w:rsidRDefault="00175B62" w:rsidP="00452C88">
      <w:pPr>
        <w:pStyle w:val="ListParagraph"/>
        <w:numPr>
          <w:ilvl w:val="0"/>
          <w:numId w:val="3"/>
        </w:numPr>
      </w:pPr>
      <w:r>
        <w:t>We</w:t>
      </w:r>
      <w:r w:rsidR="00452C88" w:rsidRPr="006039C4">
        <w:t xml:space="preserve"> may be able to get square mileage info and compare to density; applies one measure</w:t>
      </w:r>
      <w:r w:rsidR="00452C88">
        <w:t xml:space="preserve"> of rurality to entire level of zip</w:t>
      </w:r>
      <w:r w:rsidR="009867DE">
        <w:t xml:space="preserve"> </w:t>
      </w:r>
      <w:r w:rsidR="00452C88">
        <w:t xml:space="preserve">level – we’ll give this </w:t>
      </w:r>
      <w:r w:rsidR="006C43A1">
        <w:t>thought,</w:t>
      </w:r>
      <w:r w:rsidR="00452C88">
        <w:t xml:space="preserve"> </w:t>
      </w:r>
      <w:r w:rsidR="006C43A1">
        <w:t>although</w:t>
      </w:r>
      <w:r w:rsidR="00452C88">
        <w:t xml:space="preserve"> </w:t>
      </w:r>
      <w:r>
        <w:t xml:space="preserve">it </w:t>
      </w:r>
      <w:r w:rsidR="00452C88">
        <w:t>could be a challenge</w:t>
      </w:r>
    </w:p>
    <w:p w14:paraId="03DF8E3D" w14:textId="2BB58B83" w:rsidR="00452C88" w:rsidRDefault="00452C88" w:rsidP="00452C88"/>
    <w:p w14:paraId="45856DD3" w14:textId="48D186E0" w:rsidR="003A4972" w:rsidRDefault="003A4972" w:rsidP="00452C88">
      <w:pPr>
        <w:rPr>
          <w:i/>
          <w:iCs/>
        </w:rPr>
      </w:pPr>
      <w:r>
        <w:rPr>
          <w:i/>
          <w:iCs/>
        </w:rPr>
        <w:t xml:space="preserve">If the research team prefers presenting the final </w:t>
      </w:r>
      <w:r w:rsidR="00C4344B">
        <w:rPr>
          <w:i/>
          <w:iCs/>
        </w:rPr>
        <w:t xml:space="preserve">analysis in PowerPoint format, can an appendix be provided with </w:t>
      </w:r>
      <w:r w:rsidR="00DF78AE">
        <w:rPr>
          <w:i/>
          <w:iCs/>
        </w:rPr>
        <w:t xml:space="preserve">relevant data </w:t>
      </w:r>
      <w:r w:rsidR="00C4344B">
        <w:rPr>
          <w:i/>
          <w:iCs/>
        </w:rPr>
        <w:t>details?</w:t>
      </w:r>
    </w:p>
    <w:p w14:paraId="3FECB8A7" w14:textId="2E608B6C" w:rsidR="00C4344B" w:rsidRPr="00C4344B" w:rsidRDefault="00C4344B" w:rsidP="00C4344B">
      <w:pPr>
        <w:pStyle w:val="ListParagraph"/>
        <w:numPr>
          <w:ilvl w:val="0"/>
          <w:numId w:val="3"/>
        </w:numPr>
      </w:pPr>
      <w:r w:rsidRPr="00C4344B">
        <w:t>Yes</w:t>
      </w:r>
      <w:r>
        <w:t xml:space="preserve"> an appendix </w:t>
      </w:r>
      <w:r w:rsidR="00DF78AE">
        <w:t xml:space="preserve">with supporting data </w:t>
      </w:r>
      <w:r>
        <w:t>can be provided</w:t>
      </w:r>
    </w:p>
    <w:p w14:paraId="2718038A" w14:textId="02E5D0BC" w:rsidR="003A4972" w:rsidRDefault="003A4972" w:rsidP="00452C88">
      <w:pPr>
        <w:rPr>
          <w:i/>
          <w:iCs/>
        </w:rPr>
      </w:pPr>
      <w:r>
        <w:rPr>
          <w:i/>
          <w:iCs/>
        </w:rPr>
        <w:t xml:space="preserve"> </w:t>
      </w:r>
    </w:p>
    <w:p w14:paraId="6EB5E166" w14:textId="23E953E4" w:rsidR="00452C88" w:rsidRPr="009867DE" w:rsidRDefault="00452C88" w:rsidP="00452C88">
      <w:pPr>
        <w:rPr>
          <w:i/>
          <w:iCs/>
        </w:rPr>
      </w:pPr>
      <w:r w:rsidRPr="009867DE">
        <w:rPr>
          <w:i/>
          <w:iCs/>
        </w:rPr>
        <w:t>How is underserved defined here?</w:t>
      </w:r>
      <w:r w:rsidR="00FF3B49" w:rsidRPr="009867DE">
        <w:rPr>
          <w:i/>
          <w:iCs/>
        </w:rPr>
        <w:t xml:space="preserve"> Hypothesis is that certain </w:t>
      </w:r>
      <w:r w:rsidR="00C4344B">
        <w:rPr>
          <w:i/>
          <w:iCs/>
        </w:rPr>
        <w:t>customers</w:t>
      </w:r>
      <w:r w:rsidR="00FF3B49" w:rsidRPr="009867DE">
        <w:rPr>
          <w:i/>
          <w:iCs/>
        </w:rPr>
        <w:t xml:space="preserve"> aren’t </w:t>
      </w:r>
      <w:r w:rsidR="00E85B85">
        <w:rPr>
          <w:i/>
          <w:iCs/>
        </w:rPr>
        <w:t>being served by programs. Does “served” mean, f</w:t>
      </w:r>
      <w:r w:rsidR="00C4344B">
        <w:rPr>
          <w:i/>
          <w:iCs/>
        </w:rPr>
        <w:t xml:space="preserve">or example, </w:t>
      </w:r>
      <w:r w:rsidR="00FF3B49" w:rsidRPr="009867DE">
        <w:rPr>
          <w:i/>
          <w:iCs/>
        </w:rPr>
        <w:t xml:space="preserve">providing a thermostat incentive? </w:t>
      </w:r>
    </w:p>
    <w:p w14:paraId="59BC963A" w14:textId="49441830" w:rsidR="00452C88" w:rsidRDefault="00FF3B49" w:rsidP="00452C88">
      <w:pPr>
        <w:pStyle w:val="ListParagraph"/>
        <w:numPr>
          <w:ilvl w:val="0"/>
          <w:numId w:val="3"/>
        </w:numPr>
      </w:pPr>
      <w:r>
        <w:t>Does underserved mean SMB or businesses in underserved areas</w:t>
      </w:r>
      <w:r w:rsidR="00E85B85">
        <w:t>, so can measure by demographic criteria.</w:t>
      </w:r>
    </w:p>
    <w:p w14:paraId="5460B26B" w14:textId="2B85840E" w:rsidR="00E85B85" w:rsidRDefault="00E85B85" w:rsidP="00452C88">
      <w:pPr>
        <w:pStyle w:val="ListParagraph"/>
        <w:numPr>
          <w:ilvl w:val="0"/>
          <w:numId w:val="3"/>
        </w:numPr>
      </w:pPr>
      <w:r>
        <w:t xml:space="preserve">The main way we’re looking at “served” is through participation, investment, and savings. There’s no perfect definition, but we’re finding statistically significant ways in which participation, investment, and savings vary. </w:t>
      </w:r>
    </w:p>
    <w:p w14:paraId="3C27D2B2" w14:textId="32283679" w:rsidR="00E85B85" w:rsidRPr="00E85B85" w:rsidRDefault="00E85B85" w:rsidP="00E85B85">
      <w:pPr>
        <w:pStyle w:val="ListParagraph"/>
        <w:numPr>
          <w:ilvl w:val="1"/>
          <w:numId w:val="3"/>
        </w:numPr>
        <w:rPr>
          <w:i/>
          <w:iCs/>
        </w:rPr>
      </w:pPr>
      <w:r w:rsidRPr="00E85B85">
        <w:rPr>
          <w:i/>
          <w:iCs/>
        </w:rPr>
        <w:t>A CAEECC member noted that for Residential, we defined “underserved” by bottom quartile. Would that approach make sense here?</w:t>
      </w:r>
    </w:p>
    <w:p w14:paraId="163F95C2" w14:textId="0B5A0BD7" w:rsidR="00E85B85" w:rsidRDefault="00E85B85" w:rsidP="00E85B85">
      <w:pPr>
        <w:pStyle w:val="ListParagraph"/>
        <w:numPr>
          <w:ilvl w:val="1"/>
          <w:numId w:val="3"/>
        </w:numPr>
      </w:pPr>
      <w:r>
        <w:t xml:space="preserve">We don’t know rate class – just if they participated, savings, and incentive amount – so this is a challenge. </w:t>
      </w:r>
    </w:p>
    <w:p w14:paraId="255553A6" w14:textId="25A292EE" w:rsidR="00FB6053" w:rsidRDefault="00620864" w:rsidP="00FB6053">
      <w:pPr>
        <w:pStyle w:val="Heading1"/>
        <w:rPr>
          <w:i/>
          <w:iCs/>
        </w:rPr>
      </w:pPr>
      <w:r>
        <w:t>Next steps and timeline</w:t>
      </w:r>
    </w:p>
    <w:p w14:paraId="300E593B" w14:textId="49FA0FC2" w:rsidR="003A4972" w:rsidRDefault="003A4972" w:rsidP="003A4972">
      <w:r>
        <w:t>Scott summarized the next steps as follows</w:t>
      </w:r>
    </w:p>
    <w:p w14:paraId="193B5188" w14:textId="669407B0" w:rsidR="003A4972" w:rsidRDefault="003A4972" w:rsidP="003A4972">
      <w:pPr>
        <w:pStyle w:val="ListParagraph"/>
        <w:numPr>
          <w:ilvl w:val="0"/>
          <w:numId w:val="6"/>
        </w:numPr>
      </w:pPr>
      <w:r>
        <w:t>Research team to finalize first statistical analysis by 1/15</w:t>
      </w:r>
    </w:p>
    <w:p w14:paraId="57F7D87B" w14:textId="7A009640" w:rsidR="003A4972" w:rsidRDefault="003A4972" w:rsidP="003A4972">
      <w:pPr>
        <w:pStyle w:val="ListParagraph"/>
        <w:numPr>
          <w:ilvl w:val="0"/>
          <w:numId w:val="6"/>
        </w:numPr>
      </w:pPr>
      <w:r>
        <w:t>Full UWG meeting in early February</w:t>
      </w:r>
      <w:r w:rsidR="00C4344B">
        <w:t xml:space="preserve"> to review results and determine next steps</w:t>
      </w:r>
    </w:p>
    <w:p w14:paraId="006AE15D" w14:textId="2E0FE34D" w:rsidR="003A4972" w:rsidRDefault="003A4972" w:rsidP="003A4972"/>
    <w:p w14:paraId="328FDABD" w14:textId="7D973286" w:rsidR="003A4972" w:rsidRDefault="003A4972" w:rsidP="003A4972">
      <w:r>
        <w:t>Lara reminded the group that the first question</w:t>
      </w:r>
      <w:r w:rsidR="00620864">
        <w:t xml:space="preserve"> the working group is tasked with is determining</w:t>
      </w:r>
      <w:r>
        <w:t xml:space="preserve"> whether there is sufficient data to support a hypothesis of being underserved that would warrant evaluation of program design and policies. </w:t>
      </w:r>
    </w:p>
    <w:p w14:paraId="0980EC8E" w14:textId="31FFB51D" w:rsidR="003A4972" w:rsidRDefault="003A4972" w:rsidP="003A4972"/>
    <w:p w14:paraId="39D3F5D9" w14:textId="3734147E" w:rsidR="003A4972" w:rsidRDefault="003A4972" w:rsidP="003A4972">
      <w:r>
        <w:t xml:space="preserve">Theo expressed an interest in analyzing all commercial data. Lara offered to </w:t>
      </w:r>
      <w:r w:rsidR="00952B10">
        <w:t>provide</w:t>
      </w:r>
      <w:r>
        <w:t xml:space="preserve"> </w:t>
      </w:r>
      <w:r w:rsidR="00C4344B">
        <w:t xml:space="preserve">Theo with data if she’s able to obtain it from the CPUC. </w:t>
      </w:r>
      <w:r w:rsidR="00952B10">
        <w:t>Theo specifically requested “</w:t>
      </w:r>
      <w:r w:rsidR="00C4344B">
        <w:t>Claims data with primary sector that doesn’t equal the residential sector.</w:t>
      </w:r>
      <w:r w:rsidR="00952B10">
        <w:t>”</w:t>
      </w:r>
    </w:p>
    <w:p w14:paraId="4B77B8BA" w14:textId="77777777" w:rsidR="00DF78AE" w:rsidRDefault="00DF78AE" w:rsidP="003A4972"/>
    <w:p w14:paraId="4AF6954E" w14:textId="64A2991D" w:rsidR="00DF78AE" w:rsidRPr="003A4972" w:rsidRDefault="000C2C1D" w:rsidP="003A4972">
      <w:r>
        <w:lastRenderedPageBreak/>
        <w:t>Scott and the CAEECC members expressed a f</w:t>
      </w:r>
      <w:r w:rsidR="00DF78AE">
        <w:t>inal statement of appreciation to research team, esp</w:t>
      </w:r>
      <w:r>
        <w:t>ecially the</w:t>
      </w:r>
      <w:r w:rsidR="00DF78AE">
        <w:t xml:space="preserve"> students</w:t>
      </w:r>
      <w:r>
        <w:t xml:space="preserve"> helping propel the analysis behind the scenes.</w:t>
      </w:r>
    </w:p>
    <w:sectPr w:rsidR="00DF78AE" w:rsidRPr="003A4972" w:rsidSect="00DE168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497F" w14:textId="77777777" w:rsidR="00E37C0D" w:rsidRDefault="00E37C0D" w:rsidP="007331CB">
      <w:r>
        <w:separator/>
      </w:r>
    </w:p>
  </w:endnote>
  <w:endnote w:type="continuationSeparator" w:id="0">
    <w:p w14:paraId="58A4F715" w14:textId="77777777" w:rsidR="00E37C0D" w:rsidRDefault="00E37C0D" w:rsidP="007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9991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C5BA72" w14:textId="6BC2039E" w:rsidR="00E85B85" w:rsidRDefault="00E85B85" w:rsidP="008B3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E567A4" w14:textId="77777777" w:rsidR="00E85B85" w:rsidRDefault="00E85B85" w:rsidP="00E85B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4119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DA724" w14:textId="200A6362" w:rsidR="00E85B85" w:rsidRDefault="00E85B85" w:rsidP="008B3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8A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3AD6C3A" w14:textId="77777777" w:rsidR="00E85B85" w:rsidRDefault="00E85B85" w:rsidP="00E85B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9DEC" w14:textId="77777777" w:rsidR="00E37C0D" w:rsidRDefault="00E37C0D" w:rsidP="007331CB">
      <w:r>
        <w:separator/>
      </w:r>
    </w:p>
  </w:footnote>
  <w:footnote w:type="continuationSeparator" w:id="0">
    <w:p w14:paraId="47CA215A" w14:textId="77777777" w:rsidR="00E37C0D" w:rsidRDefault="00E37C0D" w:rsidP="007331CB">
      <w:r>
        <w:continuationSeparator/>
      </w:r>
    </w:p>
  </w:footnote>
  <w:footnote w:id="1">
    <w:p w14:paraId="3F33EC6D" w14:textId="77777777" w:rsidR="007331CB" w:rsidRDefault="007331CB" w:rsidP="007331CB">
      <w:pPr>
        <w:pStyle w:val="FootnoteText"/>
      </w:pPr>
      <w:r>
        <w:rPr>
          <w:rStyle w:val="FootnoteReference"/>
        </w:rPr>
        <w:footnoteRef/>
      </w:r>
      <w:r>
        <w:t xml:space="preserve"> Note this is an informal meeting summary, as the CAEECC process does not require formal meeting summaries for sub-working group meetings. Name attribution is provided in some places to assist in research/analysis followups</w:t>
      </w:r>
    </w:p>
  </w:footnote>
  <w:footnote w:id="2">
    <w:p w14:paraId="627DB254" w14:textId="4CD8E08D" w:rsidR="006039C4" w:rsidRPr="006039C4" w:rsidRDefault="006039C4">
      <w:pPr>
        <w:pStyle w:val="FootnoteText"/>
      </w:pPr>
      <w:r>
        <w:rPr>
          <w:rStyle w:val="FootnoteReference"/>
        </w:rPr>
        <w:footnoteRef/>
      </w:r>
      <w:r>
        <w:t xml:space="preserve"> “Public” is used in the</w:t>
      </w:r>
      <w:r w:rsidR="00C308EE">
        <w:t xml:space="preserve"> context of these</w:t>
      </w:r>
      <w:r>
        <w:t xml:space="preserve"> notes, and the associated presentation to refer to publicly available data, </w:t>
      </w:r>
      <w:r>
        <w:rPr>
          <w:i/>
          <w:iCs/>
        </w:rPr>
        <w:t>not</w:t>
      </w:r>
      <w:r>
        <w:t xml:space="preserve"> to data on the Public sector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AA3"/>
    <w:multiLevelType w:val="hybridMultilevel"/>
    <w:tmpl w:val="676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08D"/>
    <w:multiLevelType w:val="hybridMultilevel"/>
    <w:tmpl w:val="200E2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5068A"/>
    <w:multiLevelType w:val="hybridMultilevel"/>
    <w:tmpl w:val="933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41C"/>
    <w:multiLevelType w:val="hybridMultilevel"/>
    <w:tmpl w:val="6B88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F6E65"/>
    <w:multiLevelType w:val="hybridMultilevel"/>
    <w:tmpl w:val="EEE6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A533D"/>
    <w:multiLevelType w:val="hybridMultilevel"/>
    <w:tmpl w:val="2C0E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3"/>
    <w:rsid w:val="00015B5D"/>
    <w:rsid w:val="000B5B36"/>
    <w:rsid w:val="000C2C1D"/>
    <w:rsid w:val="000F27AB"/>
    <w:rsid w:val="0015154B"/>
    <w:rsid w:val="001645E8"/>
    <w:rsid w:val="00175B62"/>
    <w:rsid w:val="00192E74"/>
    <w:rsid w:val="001E6288"/>
    <w:rsid w:val="002B7253"/>
    <w:rsid w:val="0033562B"/>
    <w:rsid w:val="00364DF4"/>
    <w:rsid w:val="00381589"/>
    <w:rsid w:val="003A20D7"/>
    <w:rsid w:val="003A4972"/>
    <w:rsid w:val="003B553E"/>
    <w:rsid w:val="003D0A1B"/>
    <w:rsid w:val="00452C88"/>
    <w:rsid w:val="00490605"/>
    <w:rsid w:val="00491EB6"/>
    <w:rsid w:val="00515470"/>
    <w:rsid w:val="00522D9C"/>
    <w:rsid w:val="00592965"/>
    <w:rsid w:val="005D35CB"/>
    <w:rsid w:val="006039C4"/>
    <w:rsid w:val="006107C1"/>
    <w:rsid w:val="00620864"/>
    <w:rsid w:val="006C43A1"/>
    <w:rsid w:val="006F3EEE"/>
    <w:rsid w:val="006F4CDF"/>
    <w:rsid w:val="0071579E"/>
    <w:rsid w:val="00717135"/>
    <w:rsid w:val="007213D8"/>
    <w:rsid w:val="007252E5"/>
    <w:rsid w:val="007331CB"/>
    <w:rsid w:val="0075146D"/>
    <w:rsid w:val="00772269"/>
    <w:rsid w:val="007821E9"/>
    <w:rsid w:val="007B0B54"/>
    <w:rsid w:val="008004CB"/>
    <w:rsid w:val="0080525F"/>
    <w:rsid w:val="00837E7E"/>
    <w:rsid w:val="00867D8F"/>
    <w:rsid w:val="008D1C42"/>
    <w:rsid w:val="008D6954"/>
    <w:rsid w:val="008E740E"/>
    <w:rsid w:val="00925A0E"/>
    <w:rsid w:val="00952B10"/>
    <w:rsid w:val="009867DE"/>
    <w:rsid w:val="00994243"/>
    <w:rsid w:val="009C3819"/>
    <w:rsid w:val="009C3C62"/>
    <w:rsid w:val="00A16DA7"/>
    <w:rsid w:val="00A21F10"/>
    <w:rsid w:val="00A25A4C"/>
    <w:rsid w:val="00A564A7"/>
    <w:rsid w:val="00A6341B"/>
    <w:rsid w:val="00A92488"/>
    <w:rsid w:val="00AC2947"/>
    <w:rsid w:val="00AC4163"/>
    <w:rsid w:val="00AD4728"/>
    <w:rsid w:val="00B04B80"/>
    <w:rsid w:val="00B07A9C"/>
    <w:rsid w:val="00B94FE8"/>
    <w:rsid w:val="00BA310C"/>
    <w:rsid w:val="00C308EE"/>
    <w:rsid w:val="00C4344B"/>
    <w:rsid w:val="00CA6985"/>
    <w:rsid w:val="00CB0384"/>
    <w:rsid w:val="00CF5E33"/>
    <w:rsid w:val="00CF79D4"/>
    <w:rsid w:val="00D871A8"/>
    <w:rsid w:val="00DE1689"/>
    <w:rsid w:val="00DF78AE"/>
    <w:rsid w:val="00E37C0D"/>
    <w:rsid w:val="00E85B85"/>
    <w:rsid w:val="00EB0D56"/>
    <w:rsid w:val="00F6372E"/>
    <w:rsid w:val="00FB6053"/>
    <w:rsid w:val="00FE7337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23A70"/>
  <w15:docId w15:val="{5FACBBDA-63CF-3244-8028-975597A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424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243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99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42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C3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60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1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1C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8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85"/>
  </w:style>
  <w:style w:type="character" w:styleId="PageNumber">
    <w:name w:val="page number"/>
    <w:basedOn w:val="DefaultParagraphFont"/>
    <w:uiPriority w:val="99"/>
    <w:semiHidden/>
    <w:unhideWhenUsed/>
    <w:rsid w:val="00E8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56EE0-573A-4744-A221-A906C6EE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6</cp:revision>
  <dcterms:created xsi:type="dcterms:W3CDTF">2020-12-23T00:46:00Z</dcterms:created>
  <dcterms:modified xsi:type="dcterms:W3CDTF">2021-01-04T20:26:00Z</dcterms:modified>
</cp:coreProperties>
</file>