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9E177" w14:textId="35C51E2D" w:rsidR="00C5222B" w:rsidRDefault="001E1358" w:rsidP="00C15553">
      <w:pPr>
        <w:jc w:val="center"/>
      </w:pPr>
      <w:r>
        <w:rPr>
          <w:noProof/>
        </w:rPr>
        <w:drawing>
          <wp:inline distT="114300" distB="114300" distL="114300" distR="114300" wp14:anchorId="618DF7B3" wp14:editId="613E78D8">
            <wp:extent cx="2304521" cy="638175"/>
            <wp:effectExtent l="0" t="0" r="0" b="0"/>
            <wp:docPr id="20" name="image21.png"/>
            <wp:cNvGraphicFramePr/>
            <a:graphic xmlns:a="http://schemas.openxmlformats.org/drawingml/2006/main">
              <a:graphicData uri="http://schemas.openxmlformats.org/drawingml/2006/picture">
                <pic:pic xmlns:pic="http://schemas.openxmlformats.org/drawingml/2006/picture">
                  <pic:nvPicPr>
                    <pic:cNvPr id="20" name="image21.png"/>
                    <pic:cNvPicPr preferRelativeResize="0"/>
                  </pic:nvPicPr>
                  <pic:blipFill>
                    <a:blip r:embed="rId11" cstate="print">
                      <a:extLst>
                        <a:ext uri="{28A0092B-C50C-407E-A947-70E740481C1C}">
                          <a14:useLocalDpi xmlns:a14="http://schemas.microsoft.com/office/drawing/2010/main" val="0"/>
                        </a:ext>
                      </a:extLst>
                    </a:blip>
                    <a:srcRect t="12022" b="12022"/>
                    <a:stretch>
                      <a:fillRect/>
                    </a:stretch>
                  </pic:blipFill>
                  <pic:spPr>
                    <a:xfrm>
                      <a:off x="0" y="0"/>
                      <a:ext cx="2342085" cy="648577"/>
                    </a:xfrm>
                    <a:prstGeom prst="rect">
                      <a:avLst/>
                    </a:prstGeom>
                    <a:ln/>
                  </pic:spPr>
                </pic:pic>
              </a:graphicData>
            </a:graphic>
          </wp:inline>
        </w:drawing>
      </w:r>
    </w:p>
    <w:p w14:paraId="519B7A74" w14:textId="77777777" w:rsidR="00C5222B" w:rsidRDefault="00C5222B" w:rsidP="00CD6210">
      <w:bookmarkStart w:id="0" w:name="_ksbb99bjtirq" w:colFirst="0" w:colLast="0"/>
      <w:bookmarkEnd w:id="0"/>
    </w:p>
    <w:p w14:paraId="57E5FBE2" w14:textId="12D1EA20" w:rsidR="00C5222B" w:rsidRPr="00C15553" w:rsidRDefault="005F7FDF">
      <w:pPr>
        <w:widowControl w:val="0"/>
        <w:spacing w:before="93" w:after="200"/>
        <w:jc w:val="center"/>
        <w:rPr>
          <w:color w:val="082B37"/>
        </w:rPr>
      </w:pPr>
      <w:r w:rsidRPr="00C15553">
        <w:rPr>
          <w:color w:val="082B37"/>
          <w:sz w:val="48"/>
          <w:szCs w:val="48"/>
        </w:rPr>
        <w:t>Measured Savings Program for Summer Reliability</w:t>
      </w:r>
    </w:p>
    <w:p w14:paraId="2CFCF8C6" w14:textId="77777777" w:rsidR="00C5222B" w:rsidRPr="00C15553" w:rsidRDefault="001E1358">
      <w:pPr>
        <w:spacing w:after="200"/>
        <w:jc w:val="center"/>
        <w:rPr>
          <w:b/>
          <w:color w:val="082B37"/>
          <w:sz w:val="52"/>
          <w:szCs w:val="52"/>
        </w:rPr>
      </w:pPr>
      <w:r w:rsidRPr="00C15553">
        <w:rPr>
          <w:b/>
          <w:color w:val="082B37"/>
          <w:sz w:val="52"/>
          <w:szCs w:val="52"/>
        </w:rPr>
        <w:t>Implementation Plan</w:t>
      </w:r>
    </w:p>
    <w:p w14:paraId="33E2EA25" w14:textId="158B848F" w:rsidR="00C5222B" w:rsidRPr="00C15553" w:rsidRDefault="00121A2E">
      <w:pPr>
        <w:jc w:val="center"/>
        <w:rPr>
          <w:color w:val="082B37"/>
          <w:sz w:val="48"/>
          <w:szCs w:val="48"/>
        </w:rPr>
      </w:pPr>
      <w:r w:rsidRPr="00C15553">
        <w:rPr>
          <w:color w:val="082B37"/>
          <w:sz w:val="48"/>
          <w:szCs w:val="48"/>
        </w:rPr>
        <w:t>PGE_</w:t>
      </w:r>
      <w:r w:rsidR="0026244E" w:rsidRPr="00C15553">
        <w:rPr>
          <w:color w:val="082B37"/>
          <w:sz w:val="48"/>
          <w:szCs w:val="48"/>
        </w:rPr>
        <w:t>Com_006</w:t>
      </w:r>
    </w:p>
    <w:p w14:paraId="693BC35C" w14:textId="10923D30" w:rsidR="0074723A" w:rsidRPr="00233C84" w:rsidRDefault="0074723A">
      <w:pPr>
        <w:spacing w:after="200"/>
        <w:jc w:val="center"/>
        <w:rPr>
          <w:color w:val="222222"/>
          <w:sz w:val="48"/>
          <w:szCs w:val="48"/>
        </w:rPr>
      </w:pPr>
      <w:r w:rsidRPr="00233C84">
        <w:rPr>
          <w:color w:val="222222"/>
          <w:sz w:val="48"/>
          <w:szCs w:val="48"/>
        </w:rPr>
        <w:fldChar w:fldCharType="begin"/>
      </w:r>
      <w:r>
        <w:rPr>
          <w:sz w:val="48"/>
          <w:szCs w:val="48"/>
        </w:rPr>
        <w:instrText xml:space="preserve"> DATE \@ "MMMM d, yyyy" </w:instrText>
      </w:r>
      <w:r w:rsidRPr="00233C84">
        <w:rPr>
          <w:color w:val="222222"/>
          <w:sz w:val="48"/>
          <w:szCs w:val="48"/>
        </w:rPr>
        <w:fldChar w:fldCharType="separate"/>
      </w:r>
      <w:r w:rsidR="005307FD">
        <w:rPr>
          <w:noProof/>
          <w:sz w:val="48"/>
          <w:szCs w:val="48"/>
        </w:rPr>
        <w:t>August 12, 2024</w:t>
      </w:r>
      <w:r w:rsidRPr="00233C84">
        <w:rPr>
          <w:color w:val="222222"/>
          <w:sz w:val="48"/>
          <w:szCs w:val="48"/>
        </w:rPr>
        <w:fldChar w:fldCharType="end"/>
      </w:r>
    </w:p>
    <w:p w14:paraId="03F56640" w14:textId="5E975791" w:rsidR="00C5222B" w:rsidRPr="00233C84" w:rsidRDefault="001E1358">
      <w:pPr>
        <w:jc w:val="center"/>
        <w:rPr>
          <w:color w:val="222222"/>
          <w:sz w:val="32"/>
          <w:szCs w:val="32"/>
        </w:rPr>
      </w:pPr>
      <w:r w:rsidRPr="00233C84">
        <w:rPr>
          <w:color w:val="222222"/>
          <w:sz w:val="32"/>
          <w:szCs w:val="32"/>
        </w:rPr>
        <w:t>Version 1.</w:t>
      </w:r>
      <w:r w:rsidR="00E35548">
        <w:rPr>
          <w:color w:val="222222"/>
          <w:sz w:val="32"/>
          <w:szCs w:val="32"/>
        </w:rPr>
        <w:t>2</w:t>
      </w:r>
    </w:p>
    <w:p w14:paraId="78605563" w14:textId="77777777" w:rsidR="00C5222B" w:rsidRDefault="001E1358">
      <w:pPr>
        <w:jc w:val="center"/>
      </w:pPr>
      <w:r>
        <w:br w:type="page"/>
      </w:r>
    </w:p>
    <w:p w14:paraId="22B8BF00" w14:textId="77777777" w:rsidR="00C5222B" w:rsidRPr="00A40E13" w:rsidRDefault="001E1358" w:rsidP="003C394D">
      <w:pPr>
        <w:pStyle w:val="Heading1"/>
      </w:pPr>
      <w:bookmarkStart w:id="1" w:name="_Toc174365018"/>
      <w:r w:rsidRPr="00A40E13">
        <w:lastRenderedPageBreak/>
        <w:t>Table of Contents</w:t>
      </w:r>
      <w:bookmarkEnd w:id="1"/>
    </w:p>
    <w:sdt>
      <w:sdtPr>
        <w:rPr>
          <w:rFonts w:cs="Arial"/>
        </w:rPr>
        <w:id w:val="804666703"/>
        <w:docPartObj>
          <w:docPartGallery w:val="Table of Contents"/>
          <w:docPartUnique/>
        </w:docPartObj>
      </w:sdtPr>
      <w:sdtEndPr>
        <w:rPr>
          <w:b/>
          <w:bCs/>
          <w:noProof/>
        </w:rPr>
      </w:sdtEndPr>
      <w:sdtContent>
        <w:p w14:paraId="7985A087" w14:textId="7E02CD3C" w:rsidR="008751B0" w:rsidRPr="00546EEC" w:rsidRDefault="008751B0" w:rsidP="00546EEC">
          <w:pPr>
            <w:spacing w:before="0"/>
            <w:rPr>
              <w:rFonts w:cs="Arial"/>
            </w:rPr>
          </w:pPr>
        </w:p>
        <w:p w14:paraId="148D0B08" w14:textId="4B47AAC9" w:rsidR="00506C8F" w:rsidRDefault="008751B0">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r w:rsidRPr="00546EEC">
            <w:rPr>
              <w:rFonts w:cs="Arial"/>
            </w:rPr>
            <w:fldChar w:fldCharType="begin"/>
          </w:r>
          <w:r w:rsidRPr="00546EEC">
            <w:rPr>
              <w:rFonts w:cs="Arial"/>
            </w:rPr>
            <w:instrText xml:space="preserve"> TOC \o "1-3" \h \z \u </w:instrText>
          </w:r>
          <w:r w:rsidRPr="00546EEC">
            <w:rPr>
              <w:rFonts w:cs="Arial"/>
            </w:rPr>
            <w:fldChar w:fldCharType="separate"/>
          </w:r>
          <w:hyperlink w:anchor="_Toc174365018" w:history="1">
            <w:r w:rsidR="00506C8F" w:rsidRPr="00013E79">
              <w:rPr>
                <w:rStyle w:val="Hyperlink"/>
                <w:noProof/>
              </w:rPr>
              <w:t>Table of Contents</w:t>
            </w:r>
            <w:r w:rsidR="00506C8F">
              <w:rPr>
                <w:noProof/>
                <w:webHidden/>
              </w:rPr>
              <w:tab/>
            </w:r>
            <w:r w:rsidR="00506C8F">
              <w:rPr>
                <w:noProof/>
                <w:webHidden/>
              </w:rPr>
              <w:fldChar w:fldCharType="begin"/>
            </w:r>
            <w:r w:rsidR="00506C8F">
              <w:rPr>
                <w:noProof/>
                <w:webHidden/>
              </w:rPr>
              <w:instrText xml:space="preserve"> PAGEREF _Toc174365018 \h </w:instrText>
            </w:r>
            <w:r w:rsidR="00506C8F">
              <w:rPr>
                <w:noProof/>
                <w:webHidden/>
              </w:rPr>
            </w:r>
            <w:r w:rsidR="00506C8F">
              <w:rPr>
                <w:noProof/>
                <w:webHidden/>
              </w:rPr>
              <w:fldChar w:fldCharType="separate"/>
            </w:r>
            <w:r w:rsidR="00506C8F">
              <w:rPr>
                <w:noProof/>
                <w:webHidden/>
              </w:rPr>
              <w:t>2</w:t>
            </w:r>
            <w:r w:rsidR="00506C8F">
              <w:rPr>
                <w:noProof/>
                <w:webHidden/>
              </w:rPr>
              <w:fldChar w:fldCharType="end"/>
            </w:r>
          </w:hyperlink>
        </w:p>
        <w:p w14:paraId="01ECEC21" w14:textId="5B6AA3E6" w:rsidR="00506C8F" w:rsidRDefault="00355C21">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19" w:history="1">
            <w:r w:rsidR="00506C8F" w:rsidRPr="00013E79">
              <w:rPr>
                <w:rStyle w:val="Hyperlink"/>
                <w:noProof/>
              </w:rPr>
              <w:t>Program Overview</w:t>
            </w:r>
            <w:r w:rsidR="00506C8F">
              <w:rPr>
                <w:noProof/>
                <w:webHidden/>
              </w:rPr>
              <w:tab/>
            </w:r>
            <w:r w:rsidR="00506C8F">
              <w:rPr>
                <w:noProof/>
                <w:webHidden/>
              </w:rPr>
              <w:fldChar w:fldCharType="begin"/>
            </w:r>
            <w:r w:rsidR="00506C8F">
              <w:rPr>
                <w:noProof/>
                <w:webHidden/>
              </w:rPr>
              <w:instrText xml:space="preserve"> PAGEREF _Toc174365019 \h </w:instrText>
            </w:r>
            <w:r w:rsidR="00506C8F">
              <w:rPr>
                <w:noProof/>
                <w:webHidden/>
              </w:rPr>
            </w:r>
            <w:r w:rsidR="00506C8F">
              <w:rPr>
                <w:noProof/>
                <w:webHidden/>
              </w:rPr>
              <w:fldChar w:fldCharType="separate"/>
            </w:r>
            <w:r w:rsidR="00506C8F">
              <w:rPr>
                <w:noProof/>
                <w:webHidden/>
              </w:rPr>
              <w:t>4</w:t>
            </w:r>
            <w:r w:rsidR="00506C8F">
              <w:rPr>
                <w:noProof/>
                <w:webHidden/>
              </w:rPr>
              <w:fldChar w:fldCharType="end"/>
            </w:r>
          </w:hyperlink>
        </w:p>
        <w:p w14:paraId="792B66A2" w14:textId="7E654D8A" w:rsidR="00506C8F" w:rsidRDefault="00355C21">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20" w:history="1">
            <w:r w:rsidR="00506C8F" w:rsidRPr="00013E79">
              <w:rPr>
                <w:rStyle w:val="Hyperlink"/>
                <w:noProof/>
              </w:rPr>
              <w:t>Program Budget and Savings</w:t>
            </w:r>
            <w:r w:rsidR="00506C8F">
              <w:rPr>
                <w:noProof/>
                <w:webHidden/>
              </w:rPr>
              <w:tab/>
            </w:r>
            <w:r w:rsidR="00506C8F">
              <w:rPr>
                <w:noProof/>
                <w:webHidden/>
              </w:rPr>
              <w:fldChar w:fldCharType="begin"/>
            </w:r>
            <w:r w:rsidR="00506C8F">
              <w:rPr>
                <w:noProof/>
                <w:webHidden/>
              </w:rPr>
              <w:instrText xml:space="preserve"> PAGEREF _Toc174365020 \h </w:instrText>
            </w:r>
            <w:r w:rsidR="00506C8F">
              <w:rPr>
                <w:noProof/>
                <w:webHidden/>
              </w:rPr>
            </w:r>
            <w:r w:rsidR="00506C8F">
              <w:rPr>
                <w:noProof/>
                <w:webHidden/>
              </w:rPr>
              <w:fldChar w:fldCharType="separate"/>
            </w:r>
            <w:r w:rsidR="00506C8F">
              <w:rPr>
                <w:noProof/>
                <w:webHidden/>
              </w:rPr>
              <w:t>4</w:t>
            </w:r>
            <w:r w:rsidR="00506C8F">
              <w:rPr>
                <w:noProof/>
                <w:webHidden/>
              </w:rPr>
              <w:fldChar w:fldCharType="end"/>
            </w:r>
          </w:hyperlink>
        </w:p>
        <w:p w14:paraId="110D3AFC" w14:textId="24B41A07" w:rsidR="00506C8F" w:rsidRDefault="00355C21">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21" w:history="1">
            <w:r w:rsidR="00506C8F" w:rsidRPr="00013E79">
              <w:rPr>
                <w:rStyle w:val="Hyperlink"/>
                <w:noProof/>
              </w:rPr>
              <w:t>Implementation Plan Narrative</w:t>
            </w:r>
            <w:r w:rsidR="00506C8F">
              <w:rPr>
                <w:noProof/>
                <w:webHidden/>
              </w:rPr>
              <w:tab/>
            </w:r>
            <w:r w:rsidR="00506C8F">
              <w:rPr>
                <w:noProof/>
                <w:webHidden/>
              </w:rPr>
              <w:fldChar w:fldCharType="begin"/>
            </w:r>
            <w:r w:rsidR="00506C8F">
              <w:rPr>
                <w:noProof/>
                <w:webHidden/>
              </w:rPr>
              <w:instrText xml:space="preserve"> PAGEREF _Toc174365021 \h </w:instrText>
            </w:r>
            <w:r w:rsidR="00506C8F">
              <w:rPr>
                <w:noProof/>
                <w:webHidden/>
              </w:rPr>
            </w:r>
            <w:r w:rsidR="00506C8F">
              <w:rPr>
                <w:noProof/>
                <w:webHidden/>
              </w:rPr>
              <w:fldChar w:fldCharType="separate"/>
            </w:r>
            <w:r w:rsidR="00506C8F">
              <w:rPr>
                <w:noProof/>
                <w:webHidden/>
              </w:rPr>
              <w:t>6</w:t>
            </w:r>
            <w:r w:rsidR="00506C8F">
              <w:rPr>
                <w:noProof/>
                <w:webHidden/>
              </w:rPr>
              <w:fldChar w:fldCharType="end"/>
            </w:r>
          </w:hyperlink>
        </w:p>
        <w:p w14:paraId="439C8FC4" w14:textId="5CF5B24E" w:rsidR="00506C8F" w:rsidRDefault="00355C21">
          <w:pPr>
            <w:pStyle w:val="TOC2"/>
            <w:tabs>
              <w:tab w:val="left" w:pos="720"/>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22" w:history="1">
            <w:r w:rsidR="00506C8F" w:rsidRPr="00013E79">
              <w:rPr>
                <w:rStyle w:val="Hyperlink"/>
                <w:noProof/>
              </w:rPr>
              <w:t>1.</w:t>
            </w:r>
            <w:r w:rsidR="00506C8F">
              <w:rPr>
                <w:rFonts w:asciiTheme="minorHAnsi" w:eastAsiaTheme="minorEastAsia" w:hAnsiTheme="minorHAnsi" w:cstheme="minorBidi"/>
                <w:noProof/>
                <w:kern w:val="2"/>
                <w:sz w:val="24"/>
                <w:szCs w:val="24"/>
                <w:lang w:val="en-US"/>
                <w14:ligatures w14:val="standardContextual"/>
              </w:rPr>
              <w:tab/>
            </w:r>
            <w:r w:rsidR="00506C8F" w:rsidRPr="00013E79">
              <w:rPr>
                <w:rStyle w:val="Hyperlink"/>
                <w:noProof/>
              </w:rPr>
              <w:t>Program Description</w:t>
            </w:r>
            <w:r w:rsidR="00506C8F">
              <w:rPr>
                <w:noProof/>
                <w:webHidden/>
              </w:rPr>
              <w:tab/>
            </w:r>
            <w:r w:rsidR="00506C8F">
              <w:rPr>
                <w:noProof/>
                <w:webHidden/>
              </w:rPr>
              <w:fldChar w:fldCharType="begin"/>
            </w:r>
            <w:r w:rsidR="00506C8F">
              <w:rPr>
                <w:noProof/>
                <w:webHidden/>
              </w:rPr>
              <w:instrText xml:space="preserve"> PAGEREF _Toc174365022 \h </w:instrText>
            </w:r>
            <w:r w:rsidR="00506C8F">
              <w:rPr>
                <w:noProof/>
                <w:webHidden/>
              </w:rPr>
            </w:r>
            <w:r w:rsidR="00506C8F">
              <w:rPr>
                <w:noProof/>
                <w:webHidden/>
              </w:rPr>
              <w:fldChar w:fldCharType="separate"/>
            </w:r>
            <w:r w:rsidR="00506C8F">
              <w:rPr>
                <w:noProof/>
                <w:webHidden/>
              </w:rPr>
              <w:t>6</w:t>
            </w:r>
            <w:r w:rsidR="00506C8F">
              <w:rPr>
                <w:noProof/>
                <w:webHidden/>
              </w:rPr>
              <w:fldChar w:fldCharType="end"/>
            </w:r>
          </w:hyperlink>
        </w:p>
        <w:p w14:paraId="68443136" w14:textId="7720C0A9" w:rsidR="00506C8F" w:rsidRDefault="00355C21">
          <w:pPr>
            <w:pStyle w:val="TOC2"/>
            <w:tabs>
              <w:tab w:val="left" w:pos="720"/>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23" w:history="1">
            <w:r w:rsidR="00506C8F" w:rsidRPr="00013E79">
              <w:rPr>
                <w:rStyle w:val="Hyperlink"/>
                <w:noProof/>
              </w:rPr>
              <w:t>2.</w:t>
            </w:r>
            <w:r w:rsidR="00506C8F">
              <w:rPr>
                <w:rFonts w:asciiTheme="minorHAnsi" w:eastAsiaTheme="minorEastAsia" w:hAnsiTheme="minorHAnsi" w:cstheme="minorBidi"/>
                <w:noProof/>
                <w:kern w:val="2"/>
                <w:sz w:val="24"/>
                <w:szCs w:val="24"/>
                <w:lang w:val="en-US"/>
                <w14:ligatures w14:val="standardContextual"/>
              </w:rPr>
              <w:tab/>
            </w:r>
            <w:r w:rsidR="00506C8F" w:rsidRPr="00013E79">
              <w:rPr>
                <w:rStyle w:val="Hyperlink"/>
                <w:noProof/>
              </w:rPr>
              <w:t>Program Delivery and Customer Services</w:t>
            </w:r>
            <w:r w:rsidR="00506C8F">
              <w:rPr>
                <w:noProof/>
                <w:webHidden/>
              </w:rPr>
              <w:tab/>
            </w:r>
            <w:r w:rsidR="00506C8F">
              <w:rPr>
                <w:noProof/>
                <w:webHidden/>
              </w:rPr>
              <w:fldChar w:fldCharType="begin"/>
            </w:r>
            <w:r w:rsidR="00506C8F">
              <w:rPr>
                <w:noProof/>
                <w:webHidden/>
              </w:rPr>
              <w:instrText xml:space="preserve"> PAGEREF _Toc174365023 \h </w:instrText>
            </w:r>
            <w:r w:rsidR="00506C8F">
              <w:rPr>
                <w:noProof/>
                <w:webHidden/>
              </w:rPr>
            </w:r>
            <w:r w:rsidR="00506C8F">
              <w:rPr>
                <w:noProof/>
                <w:webHidden/>
              </w:rPr>
              <w:fldChar w:fldCharType="separate"/>
            </w:r>
            <w:r w:rsidR="00506C8F">
              <w:rPr>
                <w:noProof/>
                <w:webHidden/>
              </w:rPr>
              <w:t>7</w:t>
            </w:r>
            <w:r w:rsidR="00506C8F">
              <w:rPr>
                <w:noProof/>
                <w:webHidden/>
              </w:rPr>
              <w:fldChar w:fldCharType="end"/>
            </w:r>
          </w:hyperlink>
        </w:p>
        <w:p w14:paraId="1B20CABF" w14:textId="1BE4F118" w:rsidR="00506C8F" w:rsidRDefault="00355C21">
          <w:pPr>
            <w:pStyle w:val="TOC3"/>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24" w:history="1">
            <w:r w:rsidR="00506C8F" w:rsidRPr="00013E79">
              <w:rPr>
                <w:rStyle w:val="Hyperlink"/>
                <w:rFonts w:cs="Arial"/>
                <w:noProof/>
              </w:rPr>
              <w:t>Market Channels</w:t>
            </w:r>
            <w:r w:rsidR="00506C8F">
              <w:rPr>
                <w:noProof/>
                <w:webHidden/>
              </w:rPr>
              <w:tab/>
            </w:r>
            <w:r w:rsidR="00506C8F">
              <w:rPr>
                <w:noProof/>
                <w:webHidden/>
              </w:rPr>
              <w:fldChar w:fldCharType="begin"/>
            </w:r>
            <w:r w:rsidR="00506C8F">
              <w:rPr>
                <w:noProof/>
                <w:webHidden/>
              </w:rPr>
              <w:instrText xml:space="preserve"> PAGEREF _Toc174365024 \h </w:instrText>
            </w:r>
            <w:r w:rsidR="00506C8F">
              <w:rPr>
                <w:noProof/>
                <w:webHidden/>
              </w:rPr>
            </w:r>
            <w:r w:rsidR="00506C8F">
              <w:rPr>
                <w:noProof/>
                <w:webHidden/>
              </w:rPr>
              <w:fldChar w:fldCharType="separate"/>
            </w:r>
            <w:r w:rsidR="00506C8F">
              <w:rPr>
                <w:noProof/>
                <w:webHidden/>
              </w:rPr>
              <w:t>8</w:t>
            </w:r>
            <w:r w:rsidR="00506C8F">
              <w:rPr>
                <w:noProof/>
                <w:webHidden/>
              </w:rPr>
              <w:fldChar w:fldCharType="end"/>
            </w:r>
          </w:hyperlink>
        </w:p>
        <w:p w14:paraId="540ECAF7" w14:textId="4440C735" w:rsidR="00506C8F" w:rsidRDefault="00355C21">
          <w:pPr>
            <w:pStyle w:val="TOC3"/>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25" w:history="1">
            <w:r w:rsidR="00506C8F" w:rsidRPr="00013E79">
              <w:rPr>
                <w:rStyle w:val="Hyperlink"/>
                <w:rFonts w:eastAsiaTheme="majorEastAsia" w:cs="Arial"/>
                <w:noProof/>
                <w:lang w:val="en-US"/>
              </w:rPr>
              <w:t>Customer Acquisition</w:t>
            </w:r>
            <w:r w:rsidR="00506C8F">
              <w:rPr>
                <w:noProof/>
                <w:webHidden/>
              </w:rPr>
              <w:tab/>
            </w:r>
            <w:r w:rsidR="00506C8F">
              <w:rPr>
                <w:noProof/>
                <w:webHidden/>
              </w:rPr>
              <w:fldChar w:fldCharType="begin"/>
            </w:r>
            <w:r w:rsidR="00506C8F">
              <w:rPr>
                <w:noProof/>
                <w:webHidden/>
              </w:rPr>
              <w:instrText xml:space="preserve"> PAGEREF _Toc174365025 \h </w:instrText>
            </w:r>
            <w:r w:rsidR="00506C8F">
              <w:rPr>
                <w:noProof/>
                <w:webHidden/>
              </w:rPr>
            </w:r>
            <w:r w:rsidR="00506C8F">
              <w:rPr>
                <w:noProof/>
                <w:webHidden/>
              </w:rPr>
              <w:fldChar w:fldCharType="separate"/>
            </w:r>
            <w:r w:rsidR="00506C8F">
              <w:rPr>
                <w:noProof/>
                <w:webHidden/>
              </w:rPr>
              <w:t>8</w:t>
            </w:r>
            <w:r w:rsidR="00506C8F">
              <w:rPr>
                <w:noProof/>
                <w:webHidden/>
              </w:rPr>
              <w:fldChar w:fldCharType="end"/>
            </w:r>
          </w:hyperlink>
        </w:p>
        <w:p w14:paraId="568D4DCE" w14:textId="663310F9" w:rsidR="00506C8F" w:rsidRDefault="00355C21">
          <w:pPr>
            <w:pStyle w:val="TOC3"/>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26" w:history="1">
            <w:r w:rsidR="00506C8F" w:rsidRPr="00013E79">
              <w:rPr>
                <w:rStyle w:val="Hyperlink"/>
                <w:rFonts w:cs="Arial"/>
                <w:noProof/>
              </w:rPr>
              <w:t>Program Services and Tools</w:t>
            </w:r>
            <w:r w:rsidR="00506C8F">
              <w:rPr>
                <w:noProof/>
                <w:webHidden/>
              </w:rPr>
              <w:tab/>
            </w:r>
            <w:r w:rsidR="00506C8F">
              <w:rPr>
                <w:noProof/>
                <w:webHidden/>
              </w:rPr>
              <w:fldChar w:fldCharType="begin"/>
            </w:r>
            <w:r w:rsidR="00506C8F">
              <w:rPr>
                <w:noProof/>
                <w:webHidden/>
              </w:rPr>
              <w:instrText xml:space="preserve"> PAGEREF _Toc174365026 \h </w:instrText>
            </w:r>
            <w:r w:rsidR="00506C8F">
              <w:rPr>
                <w:noProof/>
                <w:webHidden/>
              </w:rPr>
            </w:r>
            <w:r w:rsidR="00506C8F">
              <w:rPr>
                <w:noProof/>
                <w:webHidden/>
              </w:rPr>
              <w:fldChar w:fldCharType="separate"/>
            </w:r>
            <w:r w:rsidR="00506C8F">
              <w:rPr>
                <w:noProof/>
                <w:webHidden/>
              </w:rPr>
              <w:t>8</w:t>
            </w:r>
            <w:r w:rsidR="00506C8F">
              <w:rPr>
                <w:noProof/>
                <w:webHidden/>
              </w:rPr>
              <w:fldChar w:fldCharType="end"/>
            </w:r>
          </w:hyperlink>
        </w:p>
        <w:p w14:paraId="05EEBD25" w14:textId="31CEA9D6" w:rsidR="00506C8F" w:rsidRDefault="00355C21">
          <w:pPr>
            <w:pStyle w:val="TOC2"/>
            <w:tabs>
              <w:tab w:val="left" w:pos="720"/>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27" w:history="1">
            <w:r w:rsidR="00506C8F" w:rsidRPr="00013E79">
              <w:rPr>
                <w:rStyle w:val="Hyperlink"/>
                <w:noProof/>
              </w:rPr>
              <w:t>3.</w:t>
            </w:r>
            <w:r w:rsidR="00506C8F">
              <w:rPr>
                <w:rFonts w:asciiTheme="minorHAnsi" w:eastAsiaTheme="minorEastAsia" w:hAnsiTheme="minorHAnsi" w:cstheme="minorBidi"/>
                <w:noProof/>
                <w:kern w:val="2"/>
                <w:sz w:val="24"/>
                <w:szCs w:val="24"/>
                <w:lang w:val="en-US"/>
                <w14:ligatures w14:val="standardContextual"/>
              </w:rPr>
              <w:tab/>
            </w:r>
            <w:r w:rsidR="00506C8F" w:rsidRPr="00013E79">
              <w:rPr>
                <w:rStyle w:val="Hyperlink"/>
                <w:noProof/>
              </w:rPr>
              <w:t>Program Design and Best Practices</w:t>
            </w:r>
            <w:r w:rsidR="00506C8F">
              <w:rPr>
                <w:noProof/>
                <w:webHidden/>
              </w:rPr>
              <w:tab/>
            </w:r>
            <w:r w:rsidR="00506C8F">
              <w:rPr>
                <w:noProof/>
                <w:webHidden/>
              </w:rPr>
              <w:fldChar w:fldCharType="begin"/>
            </w:r>
            <w:r w:rsidR="00506C8F">
              <w:rPr>
                <w:noProof/>
                <w:webHidden/>
              </w:rPr>
              <w:instrText xml:space="preserve"> PAGEREF _Toc174365027 \h </w:instrText>
            </w:r>
            <w:r w:rsidR="00506C8F">
              <w:rPr>
                <w:noProof/>
                <w:webHidden/>
              </w:rPr>
            </w:r>
            <w:r w:rsidR="00506C8F">
              <w:rPr>
                <w:noProof/>
                <w:webHidden/>
              </w:rPr>
              <w:fldChar w:fldCharType="separate"/>
            </w:r>
            <w:r w:rsidR="00506C8F">
              <w:rPr>
                <w:noProof/>
                <w:webHidden/>
              </w:rPr>
              <w:t>9</w:t>
            </w:r>
            <w:r w:rsidR="00506C8F">
              <w:rPr>
                <w:noProof/>
                <w:webHidden/>
              </w:rPr>
              <w:fldChar w:fldCharType="end"/>
            </w:r>
          </w:hyperlink>
        </w:p>
        <w:p w14:paraId="32DAD7BC" w14:textId="1FC88E39" w:rsidR="00506C8F" w:rsidRDefault="00355C21">
          <w:pPr>
            <w:pStyle w:val="TOC3"/>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28" w:history="1">
            <w:r w:rsidR="00506C8F" w:rsidRPr="00013E79">
              <w:rPr>
                <w:rStyle w:val="Hyperlink"/>
                <w:rFonts w:eastAsiaTheme="majorEastAsia" w:cs="Arial"/>
                <w:noProof/>
                <w:lang w:val="en-US"/>
              </w:rPr>
              <w:t>General Program Design and Approach</w:t>
            </w:r>
            <w:r w:rsidR="00506C8F">
              <w:rPr>
                <w:noProof/>
                <w:webHidden/>
              </w:rPr>
              <w:tab/>
            </w:r>
            <w:r w:rsidR="00506C8F">
              <w:rPr>
                <w:noProof/>
                <w:webHidden/>
              </w:rPr>
              <w:fldChar w:fldCharType="begin"/>
            </w:r>
            <w:r w:rsidR="00506C8F">
              <w:rPr>
                <w:noProof/>
                <w:webHidden/>
              </w:rPr>
              <w:instrText xml:space="preserve"> PAGEREF _Toc174365028 \h </w:instrText>
            </w:r>
            <w:r w:rsidR="00506C8F">
              <w:rPr>
                <w:noProof/>
                <w:webHidden/>
              </w:rPr>
            </w:r>
            <w:r w:rsidR="00506C8F">
              <w:rPr>
                <w:noProof/>
                <w:webHidden/>
              </w:rPr>
              <w:fldChar w:fldCharType="separate"/>
            </w:r>
            <w:r w:rsidR="00506C8F">
              <w:rPr>
                <w:noProof/>
                <w:webHidden/>
              </w:rPr>
              <w:t>9</w:t>
            </w:r>
            <w:r w:rsidR="00506C8F">
              <w:rPr>
                <w:noProof/>
                <w:webHidden/>
              </w:rPr>
              <w:fldChar w:fldCharType="end"/>
            </w:r>
          </w:hyperlink>
        </w:p>
        <w:p w14:paraId="10930FFB" w14:textId="2F252CAF" w:rsidR="00506C8F" w:rsidRDefault="00355C21">
          <w:pPr>
            <w:pStyle w:val="TOC3"/>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29" w:history="1">
            <w:r w:rsidR="00506C8F" w:rsidRPr="00013E79">
              <w:rPr>
                <w:rStyle w:val="Hyperlink"/>
                <w:rFonts w:eastAsiaTheme="majorEastAsia" w:cs="Arial"/>
                <w:noProof/>
                <w:lang w:val="en-US"/>
              </w:rPr>
              <w:t>Strategies and Tactics</w:t>
            </w:r>
            <w:r w:rsidR="00506C8F">
              <w:rPr>
                <w:noProof/>
                <w:webHidden/>
              </w:rPr>
              <w:tab/>
            </w:r>
            <w:r w:rsidR="00506C8F">
              <w:rPr>
                <w:noProof/>
                <w:webHidden/>
              </w:rPr>
              <w:fldChar w:fldCharType="begin"/>
            </w:r>
            <w:r w:rsidR="00506C8F">
              <w:rPr>
                <w:noProof/>
                <w:webHidden/>
              </w:rPr>
              <w:instrText xml:space="preserve"> PAGEREF _Toc174365029 \h </w:instrText>
            </w:r>
            <w:r w:rsidR="00506C8F">
              <w:rPr>
                <w:noProof/>
                <w:webHidden/>
              </w:rPr>
            </w:r>
            <w:r w:rsidR="00506C8F">
              <w:rPr>
                <w:noProof/>
                <w:webHidden/>
              </w:rPr>
              <w:fldChar w:fldCharType="separate"/>
            </w:r>
            <w:r w:rsidR="00506C8F">
              <w:rPr>
                <w:noProof/>
                <w:webHidden/>
              </w:rPr>
              <w:t>10</w:t>
            </w:r>
            <w:r w:rsidR="00506C8F">
              <w:rPr>
                <w:noProof/>
                <w:webHidden/>
              </w:rPr>
              <w:fldChar w:fldCharType="end"/>
            </w:r>
          </w:hyperlink>
        </w:p>
        <w:p w14:paraId="74D8CB00" w14:textId="43EECE71" w:rsidR="00506C8F" w:rsidRDefault="00355C21">
          <w:pPr>
            <w:pStyle w:val="TOC3"/>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30" w:history="1">
            <w:r w:rsidR="00506C8F" w:rsidRPr="00013E79">
              <w:rPr>
                <w:rStyle w:val="Hyperlink"/>
                <w:rFonts w:eastAsiaTheme="majorEastAsia" w:cs="Arial"/>
                <w:noProof/>
                <w:lang w:val="en-US"/>
              </w:rPr>
              <w:t>Best Practices</w:t>
            </w:r>
            <w:r w:rsidR="00506C8F">
              <w:rPr>
                <w:noProof/>
                <w:webHidden/>
              </w:rPr>
              <w:tab/>
            </w:r>
            <w:r w:rsidR="00506C8F">
              <w:rPr>
                <w:noProof/>
                <w:webHidden/>
              </w:rPr>
              <w:fldChar w:fldCharType="begin"/>
            </w:r>
            <w:r w:rsidR="00506C8F">
              <w:rPr>
                <w:noProof/>
                <w:webHidden/>
              </w:rPr>
              <w:instrText xml:space="preserve"> PAGEREF _Toc174365030 \h </w:instrText>
            </w:r>
            <w:r w:rsidR="00506C8F">
              <w:rPr>
                <w:noProof/>
                <w:webHidden/>
              </w:rPr>
            </w:r>
            <w:r w:rsidR="00506C8F">
              <w:rPr>
                <w:noProof/>
                <w:webHidden/>
              </w:rPr>
              <w:fldChar w:fldCharType="separate"/>
            </w:r>
            <w:r w:rsidR="00506C8F">
              <w:rPr>
                <w:noProof/>
                <w:webHidden/>
              </w:rPr>
              <w:t>11</w:t>
            </w:r>
            <w:r w:rsidR="00506C8F">
              <w:rPr>
                <w:noProof/>
                <w:webHidden/>
              </w:rPr>
              <w:fldChar w:fldCharType="end"/>
            </w:r>
          </w:hyperlink>
        </w:p>
        <w:p w14:paraId="3BF0AF65" w14:textId="0440E7A7" w:rsidR="00506C8F" w:rsidRDefault="00355C21">
          <w:pPr>
            <w:pStyle w:val="TOC2"/>
            <w:tabs>
              <w:tab w:val="left" w:pos="720"/>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31" w:history="1">
            <w:r w:rsidR="00506C8F" w:rsidRPr="00013E79">
              <w:rPr>
                <w:rStyle w:val="Hyperlink"/>
                <w:noProof/>
              </w:rPr>
              <w:t>4.</w:t>
            </w:r>
            <w:r w:rsidR="00506C8F">
              <w:rPr>
                <w:rFonts w:asciiTheme="minorHAnsi" w:eastAsiaTheme="minorEastAsia" w:hAnsiTheme="minorHAnsi" w:cstheme="minorBidi"/>
                <w:noProof/>
                <w:kern w:val="2"/>
                <w:sz w:val="24"/>
                <w:szCs w:val="24"/>
                <w:lang w:val="en-US"/>
                <w14:ligatures w14:val="standardContextual"/>
              </w:rPr>
              <w:tab/>
            </w:r>
            <w:r w:rsidR="00506C8F" w:rsidRPr="00013E79">
              <w:rPr>
                <w:rStyle w:val="Hyperlink"/>
                <w:noProof/>
              </w:rPr>
              <w:t>Innovation</w:t>
            </w:r>
            <w:r w:rsidR="00506C8F">
              <w:rPr>
                <w:noProof/>
                <w:webHidden/>
              </w:rPr>
              <w:tab/>
            </w:r>
            <w:r w:rsidR="00506C8F">
              <w:rPr>
                <w:noProof/>
                <w:webHidden/>
              </w:rPr>
              <w:fldChar w:fldCharType="begin"/>
            </w:r>
            <w:r w:rsidR="00506C8F">
              <w:rPr>
                <w:noProof/>
                <w:webHidden/>
              </w:rPr>
              <w:instrText xml:space="preserve"> PAGEREF _Toc174365031 \h </w:instrText>
            </w:r>
            <w:r w:rsidR="00506C8F">
              <w:rPr>
                <w:noProof/>
                <w:webHidden/>
              </w:rPr>
            </w:r>
            <w:r w:rsidR="00506C8F">
              <w:rPr>
                <w:noProof/>
                <w:webHidden/>
              </w:rPr>
              <w:fldChar w:fldCharType="separate"/>
            </w:r>
            <w:r w:rsidR="00506C8F">
              <w:rPr>
                <w:noProof/>
                <w:webHidden/>
              </w:rPr>
              <w:t>11</w:t>
            </w:r>
            <w:r w:rsidR="00506C8F">
              <w:rPr>
                <w:noProof/>
                <w:webHidden/>
              </w:rPr>
              <w:fldChar w:fldCharType="end"/>
            </w:r>
          </w:hyperlink>
        </w:p>
        <w:p w14:paraId="1B857ADA" w14:textId="55FF37A1" w:rsidR="00506C8F" w:rsidRDefault="00355C21">
          <w:pPr>
            <w:pStyle w:val="TOC2"/>
            <w:tabs>
              <w:tab w:val="left" w:pos="720"/>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32" w:history="1">
            <w:r w:rsidR="00506C8F" w:rsidRPr="00013E79">
              <w:rPr>
                <w:rStyle w:val="Hyperlink"/>
                <w:noProof/>
              </w:rPr>
              <w:t>5.</w:t>
            </w:r>
            <w:r w:rsidR="00506C8F">
              <w:rPr>
                <w:rFonts w:asciiTheme="minorHAnsi" w:eastAsiaTheme="minorEastAsia" w:hAnsiTheme="minorHAnsi" w:cstheme="minorBidi"/>
                <w:noProof/>
                <w:kern w:val="2"/>
                <w:sz w:val="24"/>
                <w:szCs w:val="24"/>
                <w:lang w:val="en-US"/>
                <w14:ligatures w14:val="standardContextual"/>
              </w:rPr>
              <w:tab/>
            </w:r>
            <w:r w:rsidR="00506C8F" w:rsidRPr="00013E79">
              <w:rPr>
                <w:rStyle w:val="Hyperlink"/>
                <w:noProof/>
              </w:rPr>
              <w:t>Metrics</w:t>
            </w:r>
            <w:r w:rsidR="00506C8F">
              <w:rPr>
                <w:noProof/>
                <w:webHidden/>
              </w:rPr>
              <w:tab/>
            </w:r>
            <w:r w:rsidR="00506C8F">
              <w:rPr>
                <w:noProof/>
                <w:webHidden/>
              </w:rPr>
              <w:fldChar w:fldCharType="begin"/>
            </w:r>
            <w:r w:rsidR="00506C8F">
              <w:rPr>
                <w:noProof/>
                <w:webHidden/>
              </w:rPr>
              <w:instrText xml:space="preserve"> PAGEREF _Toc174365032 \h </w:instrText>
            </w:r>
            <w:r w:rsidR="00506C8F">
              <w:rPr>
                <w:noProof/>
                <w:webHidden/>
              </w:rPr>
            </w:r>
            <w:r w:rsidR="00506C8F">
              <w:rPr>
                <w:noProof/>
                <w:webHidden/>
              </w:rPr>
              <w:fldChar w:fldCharType="separate"/>
            </w:r>
            <w:r w:rsidR="00506C8F">
              <w:rPr>
                <w:noProof/>
                <w:webHidden/>
              </w:rPr>
              <w:t>12</w:t>
            </w:r>
            <w:r w:rsidR="00506C8F">
              <w:rPr>
                <w:noProof/>
                <w:webHidden/>
              </w:rPr>
              <w:fldChar w:fldCharType="end"/>
            </w:r>
          </w:hyperlink>
        </w:p>
        <w:p w14:paraId="6AC6C9C5" w14:textId="378C814B" w:rsidR="00506C8F" w:rsidRDefault="00355C21">
          <w:pPr>
            <w:pStyle w:val="TOC2"/>
            <w:tabs>
              <w:tab w:val="left" w:pos="720"/>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33" w:history="1">
            <w:r w:rsidR="00506C8F" w:rsidRPr="00013E79">
              <w:rPr>
                <w:rStyle w:val="Hyperlink"/>
                <w:noProof/>
              </w:rPr>
              <w:t>6.</w:t>
            </w:r>
            <w:r w:rsidR="00506C8F">
              <w:rPr>
                <w:rFonts w:asciiTheme="minorHAnsi" w:eastAsiaTheme="minorEastAsia" w:hAnsiTheme="minorHAnsi" w:cstheme="minorBidi"/>
                <w:noProof/>
                <w:kern w:val="2"/>
                <w:sz w:val="24"/>
                <w:szCs w:val="24"/>
                <w:lang w:val="en-US"/>
                <w14:ligatures w14:val="standardContextual"/>
              </w:rPr>
              <w:tab/>
            </w:r>
            <w:r w:rsidR="00506C8F" w:rsidRPr="00013E79">
              <w:rPr>
                <w:rStyle w:val="Hyperlink"/>
                <w:noProof/>
              </w:rPr>
              <w:t>To-Code Savings</w:t>
            </w:r>
            <w:r w:rsidR="00506C8F">
              <w:rPr>
                <w:noProof/>
                <w:webHidden/>
              </w:rPr>
              <w:tab/>
            </w:r>
            <w:r w:rsidR="00506C8F">
              <w:rPr>
                <w:noProof/>
                <w:webHidden/>
              </w:rPr>
              <w:fldChar w:fldCharType="begin"/>
            </w:r>
            <w:r w:rsidR="00506C8F">
              <w:rPr>
                <w:noProof/>
                <w:webHidden/>
              </w:rPr>
              <w:instrText xml:space="preserve"> PAGEREF _Toc174365033 \h </w:instrText>
            </w:r>
            <w:r w:rsidR="00506C8F">
              <w:rPr>
                <w:noProof/>
                <w:webHidden/>
              </w:rPr>
            </w:r>
            <w:r w:rsidR="00506C8F">
              <w:rPr>
                <w:noProof/>
                <w:webHidden/>
              </w:rPr>
              <w:fldChar w:fldCharType="separate"/>
            </w:r>
            <w:r w:rsidR="00506C8F">
              <w:rPr>
                <w:noProof/>
                <w:webHidden/>
              </w:rPr>
              <w:t>12</w:t>
            </w:r>
            <w:r w:rsidR="00506C8F">
              <w:rPr>
                <w:noProof/>
                <w:webHidden/>
              </w:rPr>
              <w:fldChar w:fldCharType="end"/>
            </w:r>
          </w:hyperlink>
        </w:p>
        <w:p w14:paraId="67377CD4" w14:textId="3F6F1C57" w:rsidR="00506C8F" w:rsidRDefault="00355C21">
          <w:pPr>
            <w:pStyle w:val="TOC2"/>
            <w:tabs>
              <w:tab w:val="left" w:pos="720"/>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34" w:history="1">
            <w:r w:rsidR="00506C8F" w:rsidRPr="00013E79">
              <w:rPr>
                <w:rStyle w:val="Hyperlink"/>
                <w:noProof/>
              </w:rPr>
              <w:t>7.</w:t>
            </w:r>
            <w:r w:rsidR="00506C8F">
              <w:rPr>
                <w:rFonts w:asciiTheme="minorHAnsi" w:eastAsiaTheme="minorEastAsia" w:hAnsiTheme="minorHAnsi" w:cstheme="minorBidi"/>
                <w:noProof/>
                <w:kern w:val="2"/>
                <w:sz w:val="24"/>
                <w:szCs w:val="24"/>
                <w:lang w:val="en-US"/>
                <w14:ligatures w14:val="standardContextual"/>
              </w:rPr>
              <w:tab/>
            </w:r>
            <w:r w:rsidR="00506C8F" w:rsidRPr="00013E79">
              <w:rPr>
                <w:rStyle w:val="Hyperlink"/>
                <w:noProof/>
              </w:rPr>
              <w:t>Pilots</w:t>
            </w:r>
            <w:r w:rsidR="00506C8F">
              <w:rPr>
                <w:noProof/>
                <w:webHidden/>
              </w:rPr>
              <w:tab/>
            </w:r>
            <w:r w:rsidR="00506C8F">
              <w:rPr>
                <w:noProof/>
                <w:webHidden/>
              </w:rPr>
              <w:fldChar w:fldCharType="begin"/>
            </w:r>
            <w:r w:rsidR="00506C8F">
              <w:rPr>
                <w:noProof/>
                <w:webHidden/>
              </w:rPr>
              <w:instrText xml:space="preserve"> PAGEREF _Toc174365034 \h </w:instrText>
            </w:r>
            <w:r w:rsidR="00506C8F">
              <w:rPr>
                <w:noProof/>
                <w:webHidden/>
              </w:rPr>
            </w:r>
            <w:r w:rsidR="00506C8F">
              <w:rPr>
                <w:noProof/>
                <w:webHidden/>
              </w:rPr>
              <w:fldChar w:fldCharType="separate"/>
            </w:r>
            <w:r w:rsidR="00506C8F">
              <w:rPr>
                <w:noProof/>
                <w:webHidden/>
              </w:rPr>
              <w:t>12</w:t>
            </w:r>
            <w:r w:rsidR="00506C8F">
              <w:rPr>
                <w:noProof/>
                <w:webHidden/>
              </w:rPr>
              <w:fldChar w:fldCharType="end"/>
            </w:r>
          </w:hyperlink>
        </w:p>
        <w:p w14:paraId="56BCD15E" w14:textId="103E4F45" w:rsidR="00506C8F" w:rsidRDefault="00355C21">
          <w:pPr>
            <w:pStyle w:val="TOC2"/>
            <w:tabs>
              <w:tab w:val="left" w:pos="720"/>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35" w:history="1">
            <w:r w:rsidR="00506C8F" w:rsidRPr="00013E79">
              <w:rPr>
                <w:rStyle w:val="Hyperlink"/>
                <w:noProof/>
              </w:rPr>
              <w:t>8.</w:t>
            </w:r>
            <w:r w:rsidR="00506C8F">
              <w:rPr>
                <w:rFonts w:asciiTheme="minorHAnsi" w:eastAsiaTheme="minorEastAsia" w:hAnsiTheme="minorHAnsi" w:cstheme="minorBidi"/>
                <w:noProof/>
                <w:kern w:val="2"/>
                <w:sz w:val="24"/>
                <w:szCs w:val="24"/>
                <w:lang w:val="en-US"/>
                <w14:ligatures w14:val="standardContextual"/>
              </w:rPr>
              <w:tab/>
            </w:r>
            <w:r w:rsidR="00506C8F" w:rsidRPr="00013E79">
              <w:rPr>
                <w:rStyle w:val="Hyperlink"/>
                <w:noProof/>
              </w:rPr>
              <w:t>Workforce Education and Training</w:t>
            </w:r>
            <w:r w:rsidR="00506C8F">
              <w:rPr>
                <w:noProof/>
                <w:webHidden/>
              </w:rPr>
              <w:tab/>
            </w:r>
            <w:r w:rsidR="00506C8F">
              <w:rPr>
                <w:noProof/>
                <w:webHidden/>
              </w:rPr>
              <w:fldChar w:fldCharType="begin"/>
            </w:r>
            <w:r w:rsidR="00506C8F">
              <w:rPr>
                <w:noProof/>
                <w:webHidden/>
              </w:rPr>
              <w:instrText xml:space="preserve"> PAGEREF _Toc174365035 \h </w:instrText>
            </w:r>
            <w:r w:rsidR="00506C8F">
              <w:rPr>
                <w:noProof/>
                <w:webHidden/>
              </w:rPr>
            </w:r>
            <w:r w:rsidR="00506C8F">
              <w:rPr>
                <w:noProof/>
                <w:webHidden/>
              </w:rPr>
              <w:fldChar w:fldCharType="separate"/>
            </w:r>
            <w:r w:rsidR="00506C8F">
              <w:rPr>
                <w:noProof/>
                <w:webHidden/>
              </w:rPr>
              <w:t>12</w:t>
            </w:r>
            <w:r w:rsidR="00506C8F">
              <w:rPr>
                <w:noProof/>
                <w:webHidden/>
              </w:rPr>
              <w:fldChar w:fldCharType="end"/>
            </w:r>
          </w:hyperlink>
        </w:p>
        <w:p w14:paraId="24B8E2C2" w14:textId="1AB5C86E" w:rsidR="00506C8F" w:rsidRDefault="00355C21">
          <w:pPr>
            <w:pStyle w:val="TOC2"/>
            <w:tabs>
              <w:tab w:val="left" w:pos="720"/>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36" w:history="1">
            <w:r w:rsidR="00506C8F" w:rsidRPr="00013E79">
              <w:rPr>
                <w:rStyle w:val="Hyperlink"/>
                <w:noProof/>
              </w:rPr>
              <w:t>9.</w:t>
            </w:r>
            <w:r w:rsidR="00506C8F">
              <w:rPr>
                <w:rFonts w:asciiTheme="minorHAnsi" w:eastAsiaTheme="minorEastAsia" w:hAnsiTheme="minorHAnsi" w:cstheme="minorBidi"/>
                <w:noProof/>
                <w:kern w:val="2"/>
                <w:sz w:val="24"/>
                <w:szCs w:val="24"/>
                <w:lang w:val="en-US"/>
                <w14:ligatures w14:val="standardContextual"/>
              </w:rPr>
              <w:tab/>
            </w:r>
            <w:r w:rsidR="00506C8F" w:rsidRPr="00013E79">
              <w:rPr>
                <w:rStyle w:val="Hyperlink"/>
                <w:noProof/>
              </w:rPr>
              <w:t>Workforce Standards</w:t>
            </w:r>
            <w:r w:rsidR="00506C8F">
              <w:rPr>
                <w:noProof/>
                <w:webHidden/>
              </w:rPr>
              <w:tab/>
            </w:r>
            <w:r w:rsidR="00506C8F">
              <w:rPr>
                <w:noProof/>
                <w:webHidden/>
              </w:rPr>
              <w:fldChar w:fldCharType="begin"/>
            </w:r>
            <w:r w:rsidR="00506C8F">
              <w:rPr>
                <w:noProof/>
                <w:webHidden/>
              </w:rPr>
              <w:instrText xml:space="preserve"> PAGEREF _Toc174365036 \h </w:instrText>
            </w:r>
            <w:r w:rsidR="00506C8F">
              <w:rPr>
                <w:noProof/>
                <w:webHidden/>
              </w:rPr>
            </w:r>
            <w:r w:rsidR="00506C8F">
              <w:rPr>
                <w:noProof/>
                <w:webHidden/>
              </w:rPr>
              <w:fldChar w:fldCharType="separate"/>
            </w:r>
            <w:r w:rsidR="00506C8F">
              <w:rPr>
                <w:noProof/>
                <w:webHidden/>
              </w:rPr>
              <w:t>12</w:t>
            </w:r>
            <w:r w:rsidR="00506C8F">
              <w:rPr>
                <w:noProof/>
                <w:webHidden/>
              </w:rPr>
              <w:fldChar w:fldCharType="end"/>
            </w:r>
          </w:hyperlink>
        </w:p>
        <w:p w14:paraId="63DFFD9F" w14:textId="41A7AACC" w:rsidR="00506C8F" w:rsidRDefault="00355C21">
          <w:pPr>
            <w:pStyle w:val="TOC3"/>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37" w:history="1">
            <w:r w:rsidR="00506C8F" w:rsidRPr="00013E79">
              <w:rPr>
                <w:rStyle w:val="Hyperlink"/>
                <w:rFonts w:cs="Arial"/>
                <w:noProof/>
              </w:rPr>
              <w:t>General Workforce Standards</w:t>
            </w:r>
            <w:r w:rsidR="00506C8F">
              <w:rPr>
                <w:noProof/>
                <w:webHidden/>
              </w:rPr>
              <w:tab/>
            </w:r>
            <w:r w:rsidR="00506C8F">
              <w:rPr>
                <w:noProof/>
                <w:webHidden/>
              </w:rPr>
              <w:fldChar w:fldCharType="begin"/>
            </w:r>
            <w:r w:rsidR="00506C8F">
              <w:rPr>
                <w:noProof/>
                <w:webHidden/>
              </w:rPr>
              <w:instrText xml:space="preserve"> PAGEREF _Toc174365037 \h </w:instrText>
            </w:r>
            <w:r w:rsidR="00506C8F">
              <w:rPr>
                <w:noProof/>
                <w:webHidden/>
              </w:rPr>
            </w:r>
            <w:r w:rsidR="00506C8F">
              <w:rPr>
                <w:noProof/>
                <w:webHidden/>
              </w:rPr>
              <w:fldChar w:fldCharType="separate"/>
            </w:r>
            <w:r w:rsidR="00506C8F">
              <w:rPr>
                <w:noProof/>
                <w:webHidden/>
              </w:rPr>
              <w:t>12</w:t>
            </w:r>
            <w:r w:rsidR="00506C8F">
              <w:rPr>
                <w:noProof/>
                <w:webHidden/>
              </w:rPr>
              <w:fldChar w:fldCharType="end"/>
            </w:r>
          </w:hyperlink>
        </w:p>
        <w:p w14:paraId="2311B21A" w14:textId="3EFF4D89" w:rsidR="00506C8F" w:rsidRDefault="00355C21">
          <w:pPr>
            <w:pStyle w:val="TOC3"/>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38" w:history="1">
            <w:r w:rsidR="00506C8F" w:rsidRPr="00013E79">
              <w:rPr>
                <w:rStyle w:val="Hyperlink"/>
                <w:rFonts w:cs="Arial"/>
                <w:noProof/>
              </w:rPr>
              <w:t>Workforce Standards for Heating, Ventilation, and Air Conditioning (“HVAC”) and Advanced Lighting Control Programs or Projects</w:t>
            </w:r>
            <w:r w:rsidR="00506C8F">
              <w:rPr>
                <w:noProof/>
                <w:webHidden/>
              </w:rPr>
              <w:tab/>
            </w:r>
            <w:r w:rsidR="00506C8F">
              <w:rPr>
                <w:noProof/>
                <w:webHidden/>
              </w:rPr>
              <w:fldChar w:fldCharType="begin"/>
            </w:r>
            <w:r w:rsidR="00506C8F">
              <w:rPr>
                <w:noProof/>
                <w:webHidden/>
              </w:rPr>
              <w:instrText xml:space="preserve"> PAGEREF _Toc174365038 \h </w:instrText>
            </w:r>
            <w:r w:rsidR="00506C8F">
              <w:rPr>
                <w:noProof/>
                <w:webHidden/>
              </w:rPr>
            </w:r>
            <w:r w:rsidR="00506C8F">
              <w:rPr>
                <w:noProof/>
                <w:webHidden/>
              </w:rPr>
              <w:fldChar w:fldCharType="separate"/>
            </w:r>
            <w:r w:rsidR="00506C8F">
              <w:rPr>
                <w:noProof/>
                <w:webHidden/>
              </w:rPr>
              <w:t>13</w:t>
            </w:r>
            <w:r w:rsidR="00506C8F">
              <w:rPr>
                <w:noProof/>
                <w:webHidden/>
              </w:rPr>
              <w:fldChar w:fldCharType="end"/>
            </w:r>
          </w:hyperlink>
        </w:p>
        <w:p w14:paraId="78EA5427" w14:textId="5F9AADAE" w:rsidR="00506C8F" w:rsidRDefault="00355C21">
          <w:pPr>
            <w:pStyle w:val="TOC2"/>
            <w:tabs>
              <w:tab w:val="left" w:pos="960"/>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39" w:history="1">
            <w:r w:rsidR="00506C8F" w:rsidRPr="00013E79">
              <w:rPr>
                <w:rStyle w:val="Hyperlink"/>
                <w:noProof/>
              </w:rPr>
              <w:t>10.</w:t>
            </w:r>
            <w:r w:rsidR="00506C8F">
              <w:rPr>
                <w:rFonts w:asciiTheme="minorHAnsi" w:eastAsiaTheme="minorEastAsia" w:hAnsiTheme="minorHAnsi" w:cstheme="minorBidi"/>
                <w:noProof/>
                <w:kern w:val="2"/>
                <w:sz w:val="24"/>
                <w:szCs w:val="24"/>
                <w:lang w:val="en-US"/>
                <w14:ligatures w14:val="standardContextual"/>
              </w:rPr>
              <w:tab/>
            </w:r>
            <w:r w:rsidR="00506C8F" w:rsidRPr="00013E79">
              <w:rPr>
                <w:rStyle w:val="Hyperlink"/>
                <w:noProof/>
              </w:rPr>
              <w:t>Disadvantaged Worker Plan</w:t>
            </w:r>
            <w:r w:rsidR="00506C8F">
              <w:rPr>
                <w:noProof/>
                <w:webHidden/>
              </w:rPr>
              <w:tab/>
            </w:r>
            <w:r w:rsidR="00506C8F">
              <w:rPr>
                <w:noProof/>
                <w:webHidden/>
              </w:rPr>
              <w:fldChar w:fldCharType="begin"/>
            </w:r>
            <w:r w:rsidR="00506C8F">
              <w:rPr>
                <w:noProof/>
                <w:webHidden/>
              </w:rPr>
              <w:instrText xml:space="preserve"> PAGEREF _Toc174365039 \h </w:instrText>
            </w:r>
            <w:r w:rsidR="00506C8F">
              <w:rPr>
                <w:noProof/>
                <w:webHidden/>
              </w:rPr>
            </w:r>
            <w:r w:rsidR="00506C8F">
              <w:rPr>
                <w:noProof/>
                <w:webHidden/>
              </w:rPr>
              <w:fldChar w:fldCharType="separate"/>
            </w:r>
            <w:r w:rsidR="00506C8F">
              <w:rPr>
                <w:noProof/>
                <w:webHidden/>
              </w:rPr>
              <w:t>13</w:t>
            </w:r>
            <w:r w:rsidR="00506C8F">
              <w:rPr>
                <w:noProof/>
                <w:webHidden/>
              </w:rPr>
              <w:fldChar w:fldCharType="end"/>
            </w:r>
          </w:hyperlink>
        </w:p>
        <w:p w14:paraId="50AB4BA9" w14:textId="7D242AAE" w:rsidR="00506C8F" w:rsidRDefault="00355C21">
          <w:pPr>
            <w:pStyle w:val="TOC2"/>
            <w:tabs>
              <w:tab w:val="left" w:pos="960"/>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40" w:history="1">
            <w:r w:rsidR="00506C8F" w:rsidRPr="00013E79">
              <w:rPr>
                <w:rStyle w:val="Hyperlink"/>
                <w:noProof/>
              </w:rPr>
              <w:t>11.</w:t>
            </w:r>
            <w:r w:rsidR="00506C8F">
              <w:rPr>
                <w:rFonts w:asciiTheme="minorHAnsi" w:eastAsiaTheme="minorEastAsia" w:hAnsiTheme="minorHAnsi" w:cstheme="minorBidi"/>
                <w:noProof/>
                <w:kern w:val="2"/>
                <w:sz w:val="24"/>
                <w:szCs w:val="24"/>
                <w:lang w:val="en-US"/>
                <w14:ligatures w14:val="standardContextual"/>
              </w:rPr>
              <w:tab/>
            </w:r>
            <w:r w:rsidR="00506C8F" w:rsidRPr="00013E79">
              <w:rPr>
                <w:rStyle w:val="Hyperlink"/>
                <w:noProof/>
              </w:rPr>
              <w:t>Additional information</w:t>
            </w:r>
            <w:r w:rsidR="00506C8F">
              <w:rPr>
                <w:noProof/>
                <w:webHidden/>
              </w:rPr>
              <w:tab/>
            </w:r>
            <w:r w:rsidR="00506C8F">
              <w:rPr>
                <w:noProof/>
                <w:webHidden/>
              </w:rPr>
              <w:fldChar w:fldCharType="begin"/>
            </w:r>
            <w:r w:rsidR="00506C8F">
              <w:rPr>
                <w:noProof/>
                <w:webHidden/>
              </w:rPr>
              <w:instrText xml:space="preserve"> PAGEREF _Toc174365040 \h </w:instrText>
            </w:r>
            <w:r w:rsidR="00506C8F">
              <w:rPr>
                <w:noProof/>
                <w:webHidden/>
              </w:rPr>
            </w:r>
            <w:r w:rsidR="00506C8F">
              <w:rPr>
                <w:noProof/>
                <w:webHidden/>
              </w:rPr>
              <w:fldChar w:fldCharType="separate"/>
            </w:r>
            <w:r w:rsidR="00506C8F">
              <w:rPr>
                <w:noProof/>
                <w:webHidden/>
              </w:rPr>
              <w:t>13</w:t>
            </w:r>
            <w:r w:rsidR="00506C8F">
              <w:rPr>
                <w:noProof/>
                <w:webHidden/>
              </w:rPr>
              <w:fldChar w:fldCharType="end"/>
            </w:r>
          </w:hyperlink>
        </w:p>
        <w:p w14:paraId="56827706" w14:textId="6B7D88D5" w:rsidR="00506C8F" w:rsidRDefault="00355C21">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41" w:history="1">
            <w:r w:rsidR="00506C8F" w:rsidRPr="00013E79">
              <w:rPr>
                <w:rStyle w:val="Hyperlink"/>
                <w:noProof/>
              </w:rPr>
              <w:t>Supporting Documents</w:t>
            </w:r>
            <w:r w:rsidR="00506C8F">
              <w:rPr>
                <w:noProof/>
                <w:webHidden/>
              </w:rPr>
              <w:tab/>
            </w:r>
            <w:r w:rsidR="00506C8F">
              <w:rPr>
                <w:noProof/>
                <w:webHidden/>
              </w:rPr>
              <w:fldChar w:fldCharType="begin"/>
            </w:r>
            <w:r w:rsidR="00506C8F">
              <w:rPr>
                <w:noProof/>
                <w:webHidden/>
              </w:rPr>
              <w:instrText xml:space="preserve"> PAGEREF _Toc174365041 \h </w:instrText>
            </w:r>
            <w:r w:rsidR="00506C8F">
              <w:rPr>
                <w:noProof/>
                <w:webHidden/>
              </w:rPr>
            </w:r>
            <w:r w:rsidR="00506C8F">
              <w:rPr>
                <w:noProof/>
                <w:webHidden/>
              </w:rPr>
              <w:fldChar w:fldCharType="separate"/>
            </w:r>
            <w:r w:rsidR="00506C8F">
              <w:rPr>
                <w:noProof/>
                <w:webHidden/>
              </w:rPr>
              <w:t>14</w:t>
            </w:r>
            <w:r w:rsidR="00506C8F">
              <w:rPr>
                <w:noProof/>
                <w:webHidden/>
              </w:rPr>
              <w:fldChar w:fldCharType="end"/>
            </w:r>
          </w:hyperlink>
        </w:p>
        <w:p w14:paraId="661CF8D8" w14:textId="78882204" w:rsidR="00506C8F" w:rsidRDefault="00355C21">
          <w:pPr>
            <w:pStyle w:val="TOC2"/>
            <w:tabs>
              <w:tab w:val="left" w:pos="720"/>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42" w:history="1">
            <w:r w:rsidR="00506C8F" w:rsidRPr="00013E79">
              <w:rPr>
                <w:rStyle w:val="Hyperlink"/>
                <w:noProof/>
              </w:rPr>
              <w:t>1.</w:t>
            </w:r>
            <w:r w:rsidR="00506C8F">
              <w:rPr>
                <w:rFonts w:asciiTheme="minorHAnsi" w:eastAsiaTheme="minorEastAsia" w:hAnsiTheme="minorHAnsi" w:cstheme="minorBidi"/>
                <w:noProof/>
                <w:kern w:val="2"/>
                <w:sz w:val="24"/>
                <w:szCs w:val="24"/>
                <w:lang w:val="en-US"/>
                <w14:ligatures w14:val="standardContextual"/>
              </w:rPr>
              <w:tab/>
            </w:r>
            <w:r w:rsidR="00506C8F" w:rsidRPr="00013E79">
              <w:rPr>
                <w:rStyle w:val="Hyperlink"/>
                <w:noProof/>
              </w:rPr>
              <w:t>Program Manuals and Program Rules</w:t>
            </w:r>
            <w:r w:rsidR="00506C8F">
              <w:rPr>
                <w:noProof/>
                <w:webHidden/>
              </w:rPr>
              <w:tab/>
            </w:r>
            <w:r w:rsidR="00506C8F">
              <w:rPr>
                <w:noProof/>
                <w:webHidden/>
              </w:rPr>
              <w:fldChar w:fldCharType="begin"/>
            </w:r>
            <w:r w:rsidR="00506C8F">
              <w:rPr>
                <w:noProof/>
                <w:webHidden/>
              </w:rPr>
              <w:instrText xml:space="preserve"> PAGEREF _Toc174365042 \h </w:instrText>
            </w:r>
            <w:r w:rsidR="00506C8F">
              <w:rPr>
                <w:noProof/>
                <w:webHidden/>
              </w:rPr>
            </w:r>
            <w:r w:rsidR="00506C8F">
              <w:rPr>
                <w:noProof/>
                <w:webHidden/>
              </w:rPr>
              <w:fldChar w:fldCharType="separate"/>
            </w:r>
            <w:r w:rsidR="00506C8F">
              <w:rPr>
                <w:noProof/>
                <w:webHidden/>
              </w:rPr>
              <w:t>14</w:t>
            </w:r>
            <w:r w:rsidR="00506C8F">
              <w:rPr>
                <w:noProof/>
                <w:webHidden/>
              </w:rPr>
              <w:fldChar w:fldCharType="end"/>
            </w:r>
          </w:hyperlink>
        </w:p>
        <w:p w14:paraId="0083643E" w14:textId="305CBCBC" w:rsidR="00506C8F" w:rsidRDefault="00355C21">
          <w:pPr>
            <w:pStyle w:val="TOC2"/>
            <w:tabs>
              <w:tab w:val="left" w:pos="720"/>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43" w:history="1">
            <w:r w:rsidR="00506C8F" w:rsidRPr="00013E79">
              <w:rPr>
                <w:rStyle w:val="Hyperlink"/>
                <w:noProof/>
              </w:rPr>
              <w:t>2.</w:t>
            </w:r>
            <w:r w:rsidR="00506C8F">
              <w:rPr>
                <w:rFonts w:asciiTheme="minorHAnsi" w:eastAsiaTheme="minorEastAsia" w:hAnsiTheme="minorHAnsi" w:cstheme="minorBidi"/>
                <w:noProof/>
                <w:kern w:val="2"/>
                <w:sz w:val="24"/>
                <w:szCs w:val="24"/>
                <w:lang w:val="en-US"/>
                <w14:ligatures w14:val="standardContextual"/>
              </w:rPr>
              <w:tab/>
            </w:r>
            <w:r w:rsidR="00506C8F" w:rsidRPr="00013E79">
              <w:rPr>
                <w:rStyle w:val="Hyperlink"/>
                <w:noProof/>
              </w:rPr>
              <w:t>Program Theory and Program Logic Model</w:t>
            </w:r>
            <w:r w:rsidR="00506C8F">
              <w:rPr>
                <w:noProof/>
                <w:webHidden/>
              </w:rPr>
              <w:tab/>
            </w:r>
            <w:r w:rsidR="00506C8F">
              <w:rPr>
                <w:noProof/>
                <w:webHidden/>
              </w:rPr>
              <w:fldChar w:fldCharType="begin"/>
            </w:r>
            <w:r w:rsidR="00506C8F">
              <w:rPr>
                <w:noProof/>
                <w:webHidden/>
              </w:rPr>
              <w:instrText xml:space="preserve"> PAGEREF _Toc174365043 \h </w:instrText>
            </w:r>
            <w:r w:rsidR="00506C8F">
              <w:rPr>
                <w:noProof/>
                <w:webHidden/>
              </w:rPr>
            </w:r>
            <w:r w:rsidR="00506C8F">
              <w:rPr>
                <w:noProof/>
                <w:webHidden/>
              </w:rPr>
              <w:fldChar w:fldCharType="separate"/>
            </w:r>
            <w:r w:rsidR="00506C8F">
              <w:rPr>
                <w:noProof/>
                <w:webHidden/>
              </w:rPr>
              <w:t>14</w:t>
            </w:r>
            <w:r w:rsidR="00506C8F">
              <w:rPr>
                <w:noProof/>
                <w:webHidden/>
              </w:rPr>
              <w:fldChar w:fldCharType="end"/>
            </w:r>
          </w:hyperlink>
        </w:p>
        <w:p w14:paraId="4BA955F8" w14:textId="554539F1" w:rsidR="00506C8F" w:rsidRDefault="00355C21">
          <w:pPr>
            <w:pStyle w:val="TOC2"/>
            <w:tabs>
              <w:tab w:val="left" w:pos="720"/>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44" w:history="1">
            <w:r w:rsidR="00506C8F" w:rsidRPr="00013E79">
              <w:rPr>
                <w:rStyle w:val="Hyperlink"/>
                <w:noProof/>
              </w:rPr>
              <w:t>3.</w:t>
            </w:r>
            <w:r w:rsidR="00506C8F">
              <w:rPr>
                <w:rFonts w:asciiTheme="minorHAnsi" w:eastAsiaTheme="minorEastAsia" w:hAnsiTheme="minorHAnsi" w:cstheme="minorBidi"/>
                <w:noProof/>
                <w:kern w:val="2"/>
                <w:sz w:val="24"/>
                <w:szCs w:val="24"/>
                <w:lang w:val="en-US"/>
                <w14:ligatures w14:val="standardContextual"/>
              </w:rPr>
              <w:tab/>
            </w:r>
            <w:r w:rsidR="00506C8F" w:rsidRPr="00013E79">
              <w:rPr>
                <w:rStyle w:val="Hyperlink"/>
                <w:noProof/>
              </w:rPr>
              <w:t>Process Flow Chart</w:t>
            </w:r>
            <w:r w:rsidR="00506C8F">
              <w:rPr>
                <w:noProof/>
                <w:webHidden/>
              </w:rPr>
              <w:tab/>
            </w:r>
            <w:r w:rsidR="00506C8F">
              <w:rPr>
                <w:noProof/>
                <w:webHidden/>
              </w:rPr>
              <w:fldChar w:fldCharType="begin"/>
            </w:r>
            <w:r w:rsidR="00506C8F">
              <w:rPr>
                <w:noProof/>
                <w:webHidden/>
              </w:rPr>
              <w:instrText xml:space="preserve"> PAGEREF _Toc174365044 \h </w:instrText>
            </w:r>
            <w:r w:rsidR="00506C8F">
              <w:rPr>
                <w:noProof/>
                <w:webHidden/>
              </w:rPr>
            </w:r>
            <w:r w:rsidR="00506C8F">
              <w:rPr>
                <w:noProof/>
                <w:webHidden/>
              </w:rPr>
              <w:fldChar w:fldCharType="separate"/>
            </w:r>
            <w:r w:rsidR="00506C8F">
              <w:rPr>
                <w:noProof/>
                <w:webHidden/>
              </w:rPr>
              <w:t>15</w:t>
            </w:r>
            <w:r w:rsidR="00506C8F">
              <w:rPr>
                <w:noProof/>
                <w:webHidden/>
              </w:rPr>
              <w:fldChar w:fldCharType="end"/>
            </w:r>
          </w:hyperlink>
        </w:p>
        <w:p w14:paraId="3A53F4D2" w14:textId="54704830" w:rsidR="00506C8F" w:rsidRDefault="00355C21">
          <w:pPr>
            <w:pStyle w:val="TOC2"/>
            <w:tabs>
              <w:tab w:val="left" w:pos="720"/>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45" w:history="1">
            <w:r w:rsidR="00506C8F" w:rsidRPr="00013E79">
              <w:rPr>
                <w:rStyle w:val="Hyperlink"/>
                <w:noProof/>
              </w:rPr>
              <w:t>4.</w:t>
            </w:r>
            <w:r w:rsidR="00506C8F">
              <w:rPr>
                <w:rFonts w:asciiTheme="minorHAnsi" w:eastAsiaTheme="minorEastAsia" w:hAnsiTheme="minorHAnsi" w:cstheme="minorBidi"/>
                <w:noProof/>
                <w:kern w:val="2"/>
                <w:sz w:val="24"/>
                <w:szCs w:val="24"/>
                <w:lang w:val="en-US"/>
                <w14:ligatures w14:val="standardContextual"/>
              </w:rPr>
              <w:tab/>
            </w:r>
            <w:r w:rsidR="00506C8F" w:rsidRPr="00013E79">
              <w:rPr>
                <w:rStyle w:val="Hyperlink"/>
                <w:noProof/>
              </w:rPr>
              <w:t>Incentive Tables, Workpapers, Software Tools</w:t>
            </w:r>
            <w:r w:rsidR="00506C8F">
              <w:rPr>
                <w:noProof/>
                <w:webHidden/>
              </w:rPr>
              <w:tab/>
            </w:r>
            <w:r w:rsidR="00506C8F">
              <w:rPr>
                <w:noProof/>
                <w:webHidden/>
              </w:rPr>
              <w:fldChar w:fldCharType="begin"/>
            </w:r>
            <w:r w:rsidR="00506C8F">
              <w:rPr>
                <w:noProof/>
                <w:webHidden/>
              </w:rPr>
              <w:instrText xml:space="preserve"> PAGEREF _Toc174365045 \h </w:instrText>
            </w:r>
            <w:r w:rsidR="00506C8F">
              <w:rPr>
                <w:noProof/>
                <w:webHidden/>
              </w:rPr>
            </w:r>
            <w:r w:rsidR="00506C8F">
              <w:rPr>
                <w:noProof/>
                <w:webHidden/>
              </w:rPr>
              <w:fldChar w:fldCharType="separate"/>
            </w:r>
            <w:r w:rsidR="00506C8F">
              <w:rPr>
                <w:noProof/>
                <w:webHidden/>
              </w:rPr>
              <w:t>15</w:t>
            </w:r>
            <w:r w:rsidR="00506C8F">
              <w:rPr>
                <w:noProof/>
                <w:webHidden/>
              </w:rPr>
              <w:fldChar w:fldCharType="end"/>
            </w:r>
          </w:hyperlink>
        </w:p>
        <w:p w14:paraId="41E3E68B" w14:textId="54CDDDB4" w:rsidR="00506C8F" w:rsidRDefault="00355C21">
          <w:pPr>
            <w:pStyle w:val="TOC2"/>
            <w:tabs>
              <w:tab w:val="left" w:pos="720"/>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46" w:history="1">
            <w:r w:rsidR="00506C8F" w:rsidRPr="00013E79">
              <w:rPr>
                <w:rStyle w:val="Hyperlink"/>
                <w:noProof/>
              </w:rPr>
              <w:t>5.</w:t>
            </w:r>
            <w:r w:rsidR="00506C8F">
              <w:rPr>
                <w:rFonts w:asciiTheme="minorHAnsi" w:eastAsiaTheme="minorEastAsia" w:hAnsiTheme="minorHAnsi" w:cstheme="minorBidi"/>
                <w:noProof/>
                <w:kern w:val="2"/>
                <w:sz w:val="24"/>
                <w:szCs w:val="24"/>
                <w:lang w:val="en-US"/>
                <w14:ligatures w14:val="standardContextual"/>
              </w:rPr>
              <w:tab/>
            </w:r>
            <w:r w:rsidR="00506C8F" w:rsidRPr="00013E79">
              <w:rPr>
                <w:rStyle w:val="Hyperlink"/>
                <w:noProof/>
              </w:rPr>
              <w:t>Diagram of Program</w:t>
            </w:r>
            <w:r w:rsidR="00506C8F">
              <w:rPr>
                <w:noProof/>
                <w:webHidden/>
              </w:rPr>
              <w:tab/>
            </w:r>
            <w:r w:rsidR="00506C8F">
              <w:rPr>
                <w:noProof/>
                <w:webHidden/>
              </w:rPr>
              <w:fldChar w:fldCharType="begin"/>
            </w:r>
            <w:r w:rsidR="00506C8F">
              <w:rPr>
                <w:noProof/>
                <w:webHidden/>
              </w:rPr>
              <w:instrText xml:space="preserve"> PAGEREF _Toc174365046 \h </w:instrText>
            </w:r>
            <w:r w:rsidR="00506C8F">
              <w:rPr>
                <w:noProof/>
                <w:webHidden/>
              </w:rPr>
            </w:r>
            <w:r w:rsidR="00506C8F">
              <w:rPr>
                <w:noProof/>
                <w:webHidden/>
              </w:rPr>
              <w:fldChar w:fldCharType="separate"/>
            </w:r>
            <w:r w:rsidR="00506C8F">
              <w:rPr>
                <w:noProof/>
                <w:webHidden/>
              </w:rPr>
              <w:t>16</w:t>
            </w:r>
            <w:r w:rsidR="00506C8F">
              <w:rPr>
                <w:noProof/>
                <w:webHidden/>
              </w:rPr>
              <w:fldChar w:fldCharType="end"/>
            </w:r>
          </w:hyperlink>
        </w:p>
        <w:p w14:paraId="5F103C8F" w14:textId="78920F92" w:rsidR="00506C8F" w:rsidRDefault="00355C21">
          <w:pPr>
            <w:pStyle w:val="TOC2"/>
            <w:tabs>
              <w:tab w:val="left" w:pos="720"/>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47" w:history="1">
            <w:r w:rsidR="00506C8F" w:rsidRPr="00013E79">
              <w:rPr>
                <w:rStyle w:val="Hyperlink"/>
                <w:noProof/>
              </w:rPr>
              <w:t>6.</w:t>
            </w:r>
            <w:r w:rsidR="00506C8F">
              <w:rPr>
                <w:rFonts w:asciiTheme="minorHAnsi" w:eastAsiaTheme="minorEastAsia" w:hAnsiTheme="minorHAnsi" w:cstheme="minorBidi"/>
                <w:noProof/>
                <w:kern w:val="2"/>
                <w:sz w:val="24"/>
                <w:szCs w:val="24"/>
                <w:lang w:val="en-US"/>
                <w14:ligatures w14:val="standardContextual"/>
              </w:rPr>
              <w:tab/>
            </w:r>
            <w:r w:rsidR="00506C8F" w:rsidRPr="00013E79">
              <w:rPr>
                <w:rStyle w:val="Hyperlink"/>
                <w:noProof/>
              </w:rPr>
              <w:t>Evaluation, Measurement &amp; Verification (EM&amp;V)</w:t>
            </w:r>
            <w:r w:rsidR="00506C8F">
              <w:rPr>
                <w:noProof/>
                <w:webHidden/>
              </w:rPr>
              <w:tab/>
            </w:r>
            <w:r w:rsidR="00506C8F">
              <w:rPr>
                <w:noProof/>
                <w:webHidden/>
              </w:rPr>
              <w:fldChar w:fldCharType="begin"/>
            </w:r>
            <w:r w:rsidR="00506C8F">
              <w:rPr>
                <w:noProof/>
                <w:webHidden/>
              </w:rPr>
              <w:instrText xml:space="preserve"> PAGEREF _Toc174365047 \h </w:instrText>
            </w:r>
            <w:r w:rsidR="00506C8F">
              <w:rPr>
                <w:noProof/>
                <w:webHidden/>
              </w:rPr>
            </w:r>
            <w:r w:rsidR="00506C8F">
              <w:rPr>
                <w:noProof/>
                <w:webHidden/>
              </w:rPr>
              <w:fldChar w:fldCharType="separate"/>
            </w:r>
            <w:r w:rsidR="00506C8F">
              <w:rPr>
                <w:noProof/>
                <w:webHidden/>
              </w:rPr>
              <w:t>16</w:t>
            </w:r>
            <w:r w:rsidR="00506C8F">
              <w:rPr>
                <w:noProof/>
                <w:webHidden/>
              </w:rPr>
              <w:fldChar w:fldCharType="end"/>
            </w:r>
          </w:hyperlink>
        </w:p>
        <w:p w14:paraId="0CF02088" w14:textId="5697F8CE" w:rsidR="00506C8F" w:rsidRDefault="00355C21">
          <w:pPr>
            <w:pStyle w:val="TOC2"/>
            <w:tabs>
              <w:tab w:val="left" w:pos="720"/>
              <w:tab w:val="right" w:leader="dot" w:pos="9350"/>
            </w:tabs>
            <w:rPr>
              <w:rFonts w:asciiTheme="minorHAnsi" w:eastAsiaTheme="minorEastAsia" w:hAnsiTheme="minorHAnsi" w:cstheme="minorBidi"/>
              <w:noProof/>
              <w:kern w:val="2"/>
              <w:sz w:val="24"/>
              <w:szCs w:val="24"/>
              <w:lang w:val="en-US"/>
              <w14:ligatures w14:val="standardContextual"/>
            </w:rPr>
          </w:pPr>
          <w:hyperlink w:anchor="_Toc174365048" w:history="1">
            <w:r w:rsidR="00506C8F" w:rsidRPr="00013E79">
              <w:rPr>
                <w:rStyle w:val="Hyperlink"/>
                <w:noProof/>
              </w:rPr>
              <w:t>7.</w:t>
            </w:r>
            <w:r w:rsidR="00506C8F">
              <w:rPr>
                <w:rFonts w:asciiTheme="minorHAnsi" w:eastAsiaTheme="minorEastAsia" w:hAnsiTheme="minorHAnsi" w:cstheme="minorBidi"/>
                <w:noProof/>
                <w:kern w:val="2"/>
                <w:sz w:val="24"/>
                <w:szCs w:val="24"/>
                <w:lang w:val="en-US"/>
                <w14:ligatures w14:val="standardContextual"/>
              </w:rPr>
              <w:tab/>
            </w:r>
            <w:r w:rsidR="00506C8F" w:rsidRPr="00013E79">
              <w:rPr>
                <w:rStyle w:val="Hyperlink"/>
                <w:noProof/>
              </w:rPr>
              <w:t>Normalized Metered Energy Consumption (NMEC)</w:t>
            </w:r>
            <w:r w:rsidR="00506C8F">
              <w:rPr>
                <w:noProof/>
                <w:webHidden/>
              </w:rPr>
              <w:tab/>
            </w:r>
            <w:r w:rsidR="00506C8F">
              <w:rPr>
                <w:noProof/>
                <w:webHidden/>
              </w:rPr>
              <w:fldChar w:fldCharType="begin"/>
            </w:r>
            <w:r w:rsidR="00506C8F">
              <w:rPr>
                <w:noProof/>
                <w:webHidden/>
              </w:rPr>
              <w:instrText xml:space="preserve"> PAGEREF _Toc174365048 \h </w:instrText>
            </w:r>
            <w:r w:rsidR="00506C8F">
              <w:rPr>
                <w:noProof/>
                <w:webHidden/>
              </w:rPr>
            </w:r>
            <w:r w:rsidR="00506C8F">
              <w:rPr>
                <w:noProof/>
                <w:webHidden/>
              </w:rPr>
              <w:fldChar w:fldCharType="separate"/>
            </w:r>
            <w:r w:rsidR="00506C8F">
              <w:rPr>
                <w:noProof/>
                <w:webHidden/>
              </w:rPr>
              <w:t>16</w:t>
            </w:r>
            <w:r w:rsidR="00506C8F">
              <w:rPr>
                <w:noProof/>
                <w:webHidden/>
              </w:rPr>
              <w:fldChar w:fldCharType="end"/>
            </w:r>
          </w:hyperlink>
        </w:p>
        <w:p w14:paraId="166C66B6" w14:textId="731CA811" w:rsidR="008751B0" w:rsidRPr="00546EEC" w:rsidRDefault="008751B0" w:rsidP="00546EEC">
          <w:pPr>
            <w:spacing w:before="0" w:after="100" w:line="240" w:lineRule="auto"/>
            <w:rPr>
              <w:rFonts w:cs="Arial"/>
            </w:rPr>
          </w:pPr>
          <w:r w:rsidRPr="00546EEC">
            <w:rPr>
              <w:rFonts w:cs="Arial"/>
              <w:b/>
              <w:bCs/>
              <w:noProof/>
            </w:rPr>
            <w:fldChar w:fldCharType="end"/>
          </w:r>
        </w:p>
      </w:sdtContent>
    </w:sdt>
    <w:p w14:paraId="0C547D11" w14:textId="77777777" w:rsidR="00546EEC" w:rsidRDefault="00546EEC">
      <w:pPr>
        <w:rPr>
          <w:rFonts w:cs="Arial"/>
          <w:color w:val="1F497D" w:themeColor="text2"/>
          <w:sz w:val="40"/>
          <w:szCs w:val="40"/>
        </w:rPr>
      </w:pPr>
      <w:bookmarkStart w:id="2" w:name="_ghg1ivdrs22x" w:colFirst="0" w:colLast="0"/>
      <w:bookmarkStart w:id="3" w:name="_hy1is5mehgf6" w:colFirst="0" w:colLast="0"/>
      <w:bookmarkStart w:id="4" w:name="_ioxx3txsfjm8" w:colFirst="0" w:colLast="0"/>
      <w:bookmarkStart w:id="5" w:name="_8yqr466kl6og" w:colFirst="0" w:colLast="0"/>
      <w:bookmarkStart w:id="6" w:name="_928hlf31lym9" w:colFirst="0" w:colLast="0"/>
      <w:bookmarkStart w:id="7" w:name="_php3lt9jr6pa" w:colFirst="0" w:colLast="0"/>
      <w:bookmarkStart w:id="8" w:name="_un6b1tz1fprv" w:colFirst="0" w:colLast="0"/>
      <w:bookmarkStart w:id="9" w:name="_fj2l3bsiuy14" w:colFirst="0" w:colLast="0"/>
      <w:bookmarkStart w:id="10" w:name="_tbdz14kxoo4l" w:colFirst="0" w:colLast="0"/>
      <w:bookmarkStart w:id="11" w:name="_dew6tuejc801" w:colFirst="0" w:colLast="0"/>
      <w:bookmarkStart w:id="12" w:name="_mphx30nq3vc7" w:colFirst="0" w:colLast="0"/>
      <w:bookmarkEnd w:id="2"/>
      <w:bookmarkEnd w:id="3"/>
      <w:bookmarkEnd w:id="4"/>
      <w:bookmarkEnd w:id="5"/>
      <w:bookmarkEnd w:id="6"/>
      <w:bookmarkEnd w:id="7"/>
      <w:bookmarkEnd w:id="8"/>
      <w:bookmarkEnd w:id="9"/>
      <w:bookmarkEnd w:id="10"/>
      <w:bookmarkEnd w:id="11"/>
      <w:bookmarkEnd w:id="12"/>
      <w:r>
        <w:rPr>
          <w:rFonts w:cs="Arial"/>
          <w:color w:val="1F497D" w:themeColor="text2"/>
          <w:sz w:val="40"/>
          <w:szCs w:val="40"/>
        </w:rPr>
        <w:br w:type="page"/>
      </w:r>
    </w:p>
    <w:p w14:paraId="5077E33B" w14:textId="310EA1F0" w:rsidR="00C5222B" w:rsidRPr="00D42A69" w:rsidRDefault="001E1358" w:rsidP="003C394D">
      <w:pPr>
        <w:widowControl w:val="0"/>
        <w:tabs>
          <w:tab w:val="left" w:pos="1041"/>
        </w:tabs>
        <w:spacing w:before="240" w:after="100" w:afterAutospacing="1"/>
        <w:rPr>
          <w:rFonts w:cs="Arial"/>
          <w:color w:val="222222"/>
          <w:sz w:val="40"/>
          <w:szCs w:val="40"/>
        </w:rPr>
      </w:pPr>
      <w:r w:rsidRPr="00D42A69">
        <w:rPr>
          <w:rFonts w:cs="Arial"/>
          <w:color w:val="222222"/>
          <w:sz w:val="40"/>
          <w:szCs w:val="40"/>
        </w:rPr>
        <w:lastRenderedPageBreak/>
        <w:t xml:space="preserve">PG&amp;E </w:t>
      </w:r>
      <w:r w:rsidR="00B8731A" w:rsidRPr="00D42A69">
        <w:rPr>
          <w:rFonts w:cs="Arial"/>
          <w:color w:val="222222"/>
          <w:sz w:val="40"/>
          <w:szCs w:val="40"/>
        </w:rPr>
        <w:t xml:space="preserve">Measured Savings Program </w:t>
      </w:r>
      <w:r w:rsidR="001162AA" w:rsidRPr="00D42A69">
        <w:rPr>
          <w:rFonts w:cs="Arial"/>
          <w:color w:val="222222"/>
          <w:sz w:val="40"/>
          <w:szCs w:val="40"/>
        </w:rPr>
        <w:t>f</w:t>
      </w:r>
      <w:r w:rsidR="00B8731A" w:rsidRPr="00D42A69">
        <w:rPr>
          <w:rFonts w:cs="Arial"/>
          <w:color w:val="222222"/>
          <w:sz w:val="40"/>
          <w:szCs w:val="40"/>
        </w:rPr>
        <w:t>or Summer Reliability</w:t>
      </w:r>
    </w:p>
    <w:p w14:paraId="22553E27" w14:textId="65698D02" w:rsidR="00C5222B" w:rsidRPr="003C394D" w:rsidRDefault="001E1358" w:rsidP="003C394D">
      <w:pPr>
        <w:pStyle w:val="Heading1"/>
      </w:pPr>
      <w:bookmarkStart w:id="13" w:name="_Toc174365019"/>
      <w:r w:rsidRPr="003C394D">
        <w:t>Program Overview</w:t>
      </w:r>
      <w:bookmarkEnd w:id="13"/>
    </w:p>
    <w:p w14:paraId="4B8FEAE2" w14:textId="77777777" w:rsidR="001D522E" w:rsidRPr="003C394D" w:rsidRDefault="001D522E" w:rsidP="00D55586">
      <w:pPr>
        <w:widowControl w:val="0"/>
        <w:tabs>
          <w:tab w:val="left" w:pos="1041"/>
        </w:tabs>
        <w:spacing w:before="14"/>
        <w:rPr>
          <w:rFonts w:cs="Arial"/>
        </w:rPr>
      </w:pPr>
    </w:p>
    <w:p w14:paraId="3B3E3157" w14:textId="64DE9F3E" w:rsidR="00C5222B" w:rsidRPr="003C394D" w:rsidRDefault="001E1358" w:rsidP="003C394D">
      <w:pPr>
        <w:pStyle w:val="Heading2"/>
      </w:pPr>
      <w:bookmarkStart w:id="14" w:name="_Toc174365020"/>
      <w:r w:rsidRPr="003C394D">
        <w:t>Program Budget and Savings</w:t>
      </w:r>
      <w:bookmarkEnd w:id="14"/>
    </w:p>
    <w:p w14:paraId="0A43D601" w14:textId="77777777" w:rsidR="001E4FF3" w:rsidRPr="005F49A1" w:rsidRDefault="001E1358" w:rsidP="00CD6210">
      <w:pPr>
        <w:pStyle w:val="ListParagraph"/>
        <w:widowControl w:val="0"/>
        <w:numPr>
          <w:ilvl w:val="0"/>
          <w:numId w:val="25"/>
        </w:numPr>
        <w:tabs>
          <w:tab w:val="left" w:pos="90"/>
          <w:tab w:val="left" w:pos="360"/>
        </w:tabs>
        <w:spacing w:before="125"/>
        <w:rPr>
          <w:rFonts w:eastAsia="Maven Pro" w:cs="Arial"/>
          <w:b/>
          <w:bCs/>
          <w:u w:val="single"/>
        </w:rPr>
      </w:pPr>
      <w:r w:rsidRPr="005F49A1">
        <w:rPr>
          <w:rFonts w:cs="Arial"/>
          <w:b/>
          <w:u w:val="single"/>
        </w:rPr>
        <w:t xml:space="preserve">Program and/or Sub-Program Name: </w:t>
      </w:r>
    </w:p>
    <w:p w14:paraId="5BF7A1E8" w14:textId="24552072" w:rsidR="00C5222B" w:rsidRDefault="00EA616A" w:rsidP="005F49A1">
      <w:pPr>
        <w:pStyle w:val="ListParagraph"/>
        <w:widowControl w:val="0"/>
        <w:tabs>
          <w:tab w:val="left" w:pos="90"/>
          <w:tab w:val="left" w:pos="360"/>
        </w:tabs>
        <w:spacing w:before="125"/>
        <w:rPr>
          <w:rFonts w:cs="Arial"/>
          <w:bCs/>
        </w:rPr>
      </w:pPr>
      <w:r>
        <w:rPr>
          <w:rFonts w:cs="Arial"/>
        </w:rPr>
        <w:t xml:space="preserve">Program: </w:t>
      </w:r>
      <w:r w:rsidR="00035568" w:rsidRPr="005F49A1">
        <w:rPr>
          <w:rFonts w:cs="Arial"/>
        </w:rPr>
        <w:t>Measured Savings Program for Summer Reliability</w:t>
      </w:r>
      <w:r w:rsidR="001E4FF3" w:rsidRPr="005F49A1">
        <w:rPr>
          <w:rFonts w:cs="Arial"/>
          <w:bCs/>
        </w:rPr>
        <w:t xml:space="preserve"> (MSSR)</w:t>
      </w:r>
    </w:p>
    <w:p w14:paraId="6CBF32DC" w14:textId="19E1E2A9" w:rsidR="00250BD9" w:rsidRPr="00155714" w:rsidRDefault="00EA616A" w:rsidP="005F49A1">
      <w:pPr>
        <w:pStyle w:val="ListParagraph"/>
        <w:widowControl w:val="0"/>
        <w:tabs>
          <w:tab w:val="left" w:pos="90"/>
          <w:tab w:val="left" w:pos="360"/>
        </w:tabs>
        <w:spacing w:before="125"/>
        <w:rPr>
          <w:rFonts w:eastAsia="Maven Pro" w:cs="Arial"/>
        </w:rPr>
      </w:pPr>
      <w:r>
        <w:rPr>
          <w:rFonts w:cs="Arial"/>
          <w:bCs/>
        </w:rPr>
        <w:t xml:space="preserve">Subprograms: </w:t>
      </w:r>
      <w:r w:rsidR="00250BD9">
        <w:rPr>
          <w:rFonts w:cs="Arial"/>
          <w:bCs/>
        </w:rPr>
        <w:t>Commercial and Residential</w:t>
      </w:r>
      <w:r>
        <w:rPr>
          <w:rStyle w:val="FootnoteReference"/>
          <w:rFonts w:cs="Arial"/>
          <w:bCs/>
        </w:rPr>
        <w:footnoteReference w:id="2"/>
      </w:r>
      <w:r w:rsidR="00250BD9">
        <w:rPr>
          <w:rFonts w:cs="Arial"/>
          <w:bCs/>
        </w:rPr>
        <w:t xml:space="preserve"> </w:t>
      </w:r>
    </w:p>
    <w:p w14:paraId="011B1EE7" w14:textId="77777777" w:rsidR="001E4FF3" w:rsidRPr="005F49A1" w:rsidRDefault="001E1358" w:rsidP="00CD6210">
      <w:pPr>
        <w:pStyle w:val="ListParagraph"/>
        <w:widowControl w:val="0"/>
        <w:numPr>
          <w:ilvl w:val="0"/>
          <w:numId w:val="25"/>
        </w:numPr>
        <w:tabs>
          <w:tab w:val="left" w:pos="90"/>
          <w:tab w:val="left" w:pos="360"/>
        </w:tabs>
        <w:spacing w:before="14"/>
        <w:rPr>
          <w:rFonts w:eastAsia="Maven Pro" w:cs="Arial"/>
          <w:b/>
          <w:bCs/>
          <w:u w:val="single"/>
        </w:rPr>
      </w:pPr>
      <w:r w:rsidRPr="005F49A1">
        <w:rPr>
          <w:rFonts w:cs="Arial"/>
          <w:b/>
          <w:u w:val="single"/>
        </w:rPr>
        <w:t xml:space="preserve">Program / Sub-Program ID number: </w:t>
      </w:r>
    </w:p>
    <w:p w14:paraId="460B302D" w14:textId="196747CF" w:rsidR="00C5222B" w:rsidRPr="00155714" w:rsidRDefault="00B339A7" w:rsidP="005F49A1">
      <w:pPr>
        <w:pStyle w:val="ListParagraph"/>
        <w:widowControl w:val="0"/>
        <w:tabs>
          <w:tab w:val="left" w:pos="90"/>
          <w:tab w:val="left" w:pos="360"/>
        </w:tabs>
        <w:spacing w:before="14"/>
        <w:rPr>
          <w:rFonts w:eastAsia="Maven Pro" w:cs="Arial"/>
        </w:rPr>
      </w:pPr>
      <w:r w:rsidRPr="005F49A1">
        <w:rPr>
          <w:rFonts w:cs="Arial"/>
        </w:rPr>
        <w:t>Com_006</w:t>
      </w:r>
    </w:p>
    <w:p w14:paraId="1E8B69B8" w14:textId="4687864F" w:rsidR="00250BD9" w:rsidRPr="00B54114" w:rsidRDefault="001E1358" w:rsidP="00250BD9">
      <w:pPr>
        <w:pStyle w:val="ListParagraph"/>
        <w:widowControl w:val="0"/>
        <w:numPr>
          <w:ilvl w:val="0"/>
          <w:numId w:val="25"/>
        </w:numPr>
        <w:tabs>
          <w:tab w:val="left" w:pos="90"/>
          <w:tab w:val="left" w:pos="360"/>
        </w:tabs>
        <w:spacing w:before="20"/>
        <w:rPr>
          <w:rFonts w:cs="Arial"/>
          <w:b/>
          <w:u w:val="single"/>
        </w:rPr>
      </w:pPr>
      <w:r w:rsidRPr="005F49A1">
        <w:rPr>
          <w:rFonts w:cs="Arial"/>
          <w:b/>
          <w:u w:val="single"/>
        </w:rPr>
        <w:t>Program / Sub-program Budget Table:</w:t>
      </w:r>
      <w:r w:rsidRPr="005F49A1">
        <w:rPr>
          <w:rFonts w:cs="Arial"/>
          <w:b/>
          <w:color w:val="0000FF"/>
          <w:u w:val="single"/>
        </w:rPr>
        <w:t xml:space="preserve"> </w:t>
      </w:r>
    </w:p>
    <w:p w14:paraId="6B062699" w14:textId="30CA2CC5" w:rsidR="00250BD9" w:rsidRPr="00B54114" w:rsidRDefault="00250BD9" w:rsidP="00B54114">
      <w:pPr>
        <w:widowControl w:val="0"/>
        <w:tabs>
          <w:tab w:val="left" w:pos="90"/>
          <w:tab w:val="left" w:pos="360"/>
        </w:tabs>
        <w:spacing w:before="20"/>
        <w:rPr>
          <w:rFonts w:cs="Arial"/>
          <w:b/>
        </w:rPr>
      </w:pPr>
      <w:r w:rsidRPr="00B54114">
        <w:rPr>
          <w:rFonts w:cs="Arial"/>
          <w:b/>
        </w:rPr>
        <w:t>Commercial Subprogram</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785"/>
        <w:gridCol w:w="1355"/>
        <w:gridCol w:w="1355"/>
        <w:gridCol w:w="1440"/>
        <w:gridCol w:w="1355"/>
        <w:gridCol w:w="1265"/>
        <w:gridCol w:w="1460"/>
      </w:tblGrid>
      <w:tr w:rsidR="003D4172" w:rsidRPr="00155714" w14:paraId="5D2DFAE7" w14:textId="77777777" w:rsidTr="0016653F">
        <w:trPr>
          <w:trHeight w:val="20"/>
          <w:jc w:val="center"/>
        </w:trPr>
        <w:tc>
          <w:tcPr>
            <w:tcW w:w="1785" w:type="dxa"/>
            <w:shd w:val="clear" w:color="auto" w:fill="008080"/>
            <w:tcMar>
              <w:top w:w="100" w:type="dxa"/>
              <w:left w:w="100" w:type="dxa"/>
              <w:bottom w:w="100" w:type="dxa"/>
              <w:right w:w="100" w:type="dxa"/>
            </w:tcMar>
          </w:tcPr>
          <w:p w14:paraId="7E1CF5A8" w14:textId="70F6A5C8" w:rsidR="003D4172" w:rsidRPr="0016653F" w:rsidRDefault="00724CE5">
            <w:pPr>
              <w:widowControl w:val="0"/>
              <w:pBdr>
                <w:top w:val="nil"/>
                <w:left w:val="nil"/>
                <w:bottom w:val="nil"/>
                <w:right w:val="nil"/>
                <w:between w:val="nil"/>
              </w:pBdr>
              <w:spacing w:before="0" w:line="240" w:lineRule="auto"/>
              <w:rPr>
                <w:rFonts w:cs="Arial"/>
                <w:b/>
                <w:color w:val="FFFFFF" w:themeColor="background1"/>
                <w:sz w:val="24"/>
                <w:szCs w:val="24"/>
              </w:rPr>
            </w:pPr>
            <w:r w:rsidRPr="0016653F">
              <w:rPr>
                <w:rFonts w:cs="Arial"/>
                <w:b/>
                <w:color w:val="FFFFFF" w:themeColor="background1"/>
                <w:sz w:val="24"/>
                <w:szCs w:val="24"/>
              </w:rPr>
              <w:t>Costs ($)</w:t>
            </w:r>
          </w:p>
        </w:tc>
        <w:tc>
          <w:tcPr>
            <w:tcW w:w="1355" w:type="dxa"/>
            <w:shd w:val="clear" w:color="auto" w:fill="008080"/>
            <w:tcMar>
              <w:top w:w="100" w:type="dxa"/>
              <w:left w:w="100" w:type="dxa"/>
              <w:bottom w:w="100" w:type="dxa"/>
              <w:right w:w="100" w:type="dxa"/>
            </w:tcMar>
          </w:tcPr>
          <w:p w14:paraId="38092312" w14:textId="7BD3D670" w:rsidR="003D4172" w:rsidRPr="0016653F" w:rsidRDefault="003D4172">
            <w:pPr>
              <w:widowControl w:val="0"/>
              <w:tabs>
                <w:tab w:val="left" w:pos="1041"/>
              </w:tabs>
              <w:spacing w:before="0" w:line="240" w:lineRule="auto"/>
              <w:jc w:val="center"/>
              <w:rPr>
                <w:rFonts w:cs="Arial"/>
                <w:b/>
                <w:color w:val="FFFFFF" w:themeColor="background1"/>
                <w:sz w:val="24"/>
                <w:szCs w:val="24"/>
              </w:rPr>
            </w:pPr>
            <w:r w:rsidRPr="0016653F">
              <w:rPr>
                <w:rFonts w:cs="Arial"/>
                <w:b/>
                <w:color w:val="FFFFFF" w:themeColor="background1"/>
                <w:sz w:val="24"/>
                <w:szCs w:val="24"/>
              </w:rPr>
              <w:t>2024</w:t>
            </w:r>
          </w:p>
        </w:tc>
        <w:tc>
          <w:tcPr>
            <w:tcW w:w="1355" w:type="dxa"/>
            <w:shd w:val="clear" w:color="auto" w:fill="008080"/>
          </w:tcPr>
          <w:p w14:paraId="519338E3" w14:textId="77777777" w:rsidR="003D4172" w:rsidRPr="0016653F" w:rsidRDefault="003D4172">
            <w:pPr>
              <w:widowControl w:val="0"/>
              <w:tabs>
                <w:tab w:val="left" w:pos="1041"/>
              </w:tabs>
              <w:spacing w:before="0" w:line="240" w:lineRule="auto"/>
              <w:jc w:val="center"/>
              <w:rPr>
                <w:rFonts w:cs="Arial"/>
                <w:b/>
                <w:color w:val="FFFFFF" w:themeColor="background1"/>
                <w:sz w:val="24"/>
                <w:szCs w:val="24"/>
              </w:rPr>
            </w:pPr>
            <w:r w:rsidRPr="0016653F">
              <w:rPr>
                <w:rFonts w:cs="Arial"/>
                <w:b/>
                <w:color w:val="FFFFFF" w:themeColor="background1"/>
                <w:sz w:val="24"/>
                <w:szCs w:val="24"/>
              </w:rPr>
              <w:t>2025</w:t>
            </w:r>
          </w:p>
        </w:tc>
        <w:tc>
          <w:tcPr>
            <w:tcW w:w="1440" w:type="dxa"/>
            <w:shd w:val="clear" w:color="auto" w:fill="008080"/>
          </w:tcPr>
          <w:p w14:paraId="17FA4405" w14:textId="77777777" w:rsidR="003D4172" w:rsidRPr="0016653F" w:rsidRDefault="003D4172">
            <w:pPr>
              <w:widowControl w:val="0"/>
              <w:tabs>
                <w:tab w:val="left" w:pos="1041"/>
              </w:tabs>
              <w:spacing w:before="0" w:line="240" w:lineRule="auto"/>
              <w:jc w:val="center"/>
              <w:rPr>
                <w:rFonts w:cs="Arial"/>
                <w:b/>
                <w:color w:val="FFFFFF" w:themeColor="background1"/>
                <w:sz w:val="24"/>
                <w:szCs w:val="24"/>
              </w:rPr>
            </w:pPr>
            <w:r w:rsidRPr="0016653F">
              <w:rPr>
                <w:rFonts w:cs="Arial"/>
                <w:b/>
                <w:color w:val="FFFFFF" w:themeColor="background1"/>
                <w:sz w:val="24"/>
                <w:szCs w:val="24"/>
              </w:rPr>
              <w:t>2026</w:t>
            </w:r>
          </w:p>
        </w:tc>
        <w:tc>
          <w:tcPr>
            <w:tcW w:w="1355" w:type="dxa"/>
            <w:shd w:val="clear" w:color="auto" w:fill="008080"/>
          </w:tcPr>
          <w:p w14:paraId="77102857" w14:textId="77777777" w:rsidR="003D4172" w:rsidRPr="0016653F" w:rsidRDefault="003D4172">
            <w:pPr>
              <w:widowControl w:val="0"/>
              <w:tabs>
                <w:tab w:val="left" w:pos="1041"/>
              </w:tabs>
              <w:spacing w:before="0" w:line="240" w:lineRule="auto"/>
              <w:jc w:val="center"/>
              <w:rPr>
                <w:rFonts w:cs="Arial"/>
                <w:b/>
                <w:color w:val="FFFFFF" w:themeColor="background1"/>
                <w:sz w:val="24"/>
                <w:szCs w:val="24"/>
              </w:rPr>
            </w:pPr>
            <w:r w:rsidRPr="0016653F">
              <w:rPr>
                <w:rFonts w:cs="Arial"/>
                <w:b/>
                <w:color w:val="FFFFFF" w:themeColor="background1"/>
                <w:sz w:val="24"/>
                <w:szCs w:val="24"/>
              </w:rPr>
              <w:t>2027</w:t>
            </w:r>
          </w:p>
        </w:tc>
        <w:tc>
          <w:tcPr>
            <w:tcW w:w="1265" w:type="dxa"/>
            <w:shd w:val="clear" w:color="auto" w:fill="008080"/>
          </w:tcPr>
          <w:p w14:paraId="41E8781C" w14:textId="77777777" w:rsidR="003D4172" w:rsidRPr="0016653F" w:rsidRDefault="003D4172">
            <w:pPr>
              <w:widowControl w:val="0"/>
              <w:tabs>
                <w:tab w:val="left" w:pos="1041"/>
              </w:tabs>
              <w:spacing w:before="0" w:line="240" w:lineRule="auto"/>
              <w:jc w:val="center"/>
              <w:rPr>
                <w:rFonts w:cs="Arial"/>
                <w:b/>
                <w:color w:val="FFFFFF" w:themeColor="background1"/>
                <w:sz w:val="24"/>
                <w:szCs w:val="24"/>
              </w:rPr>
            </w:pPr>
            <w:r w:rsidRPr="0016653F">
              <w:rPr>
                <w:rFonts w:cs="Arial"/>
                <w:b/>
                <w:color w:val="FFFFFF" w:themeColor="background1"/>
                <w:sz w:val="24"/>
                <w:szCs w:val="24"/>
              </w:rPr>
              <w:t>2028</w:t>
            </w:r>
          </w:p>
        </w:tc>
        <w:tc>
          <w:tcPr>
            <w:tcW w:w="1460" w:type="dxa"/>
            <w:shd w:val="clear" w:color="auto" w:fill="008080"/>
          </w:tcPr>
          <w:p w14:paraId="0E54903C" w14:textId="77777777" w:rsidR="003D4172" w:rsidRPr="0016653F" w:rsidRDefault="003D4172">
            <w:pPr>
              <w:widowControl w:val="0"/>
              <w:tabs>
                <w:tab w:val="left" w:pos="1041"/>
              </w:tabs>
              <w:spacing w:before="0" w:line="240" w:lineRule="auto"/>
              <w:jc w:val="center"/>
              <w:rPr>
                <w:rFonts w:cs="Arial"/>
                <w:b/>
                <w:color w:val="FFFFFF" w:themeColor="background1"/>
                <w:sz w:val="24"/>
                <w:szCs w:val="24"/>
              </w:rPr>
            </w:pPr>
            <w:r w:rsidRPr="0016653F">
              <w:rPr>
                <w:rFonts w:cs="Arial"/>
                <w:b/>
                <w:color w:val="FFFFFF" w:themeColor="background1"/>
                <w:sz w:val="24"/>
                <w:szCs w:val="24"/>
              </w:rPr>
              <w:t>Program Total</w:t>
            </w:r>
          </w:p>
        </w:tc>
      </w:tr>
      <w:tr w:rsidR="00441446" w:rsidRPr="00155714" w14:paraId="2D8A54A2" w14:textId="77777777" w:rsidTr="00B54114">
        <w:trPr>
          <w:trHeight w:val="107"/>
          <w:jc w:val="center"/>
        </w:trPr>
        <w:tc>
          <w:tcPr>
            <w:tcW w:w="1785" w:type="dxa"/>
            <w:tcMar>
              <w:top w:w="100" w:type="dxa"/>
              <w:left w:w="100" w:type="dxa"/>
              <w:bottom w:w="100" w:type="dxa"/>
              <w:right w:w="100" w:type="dxa"/>
            </w:tcMar>
          </w:tcPr>
          <w:p w14:paraId="47FF5718" w14:textId="77777777" w:rsidR="00441446" w:rsidRPr="00155714" w:rsidRDefault="00441446" w:rsidP="00441446">
            <w:pPr>
              <w:widowControl w:val="0"/>
              <w:tabs>
                <w:tab w:val="left" w:pos="1041"/>
              </w:tabs>
              <w:spacing w:before="0" w:line="240" w:lineRule="auto"/>
              <w:rPr>
                <w:rFonts w:cs="Arial"/>
              </w:rPr>
            </w:pPr>
            <w:r w:rsidRPr="00155714">
              <w:rPr>
                <w:rFonts w:cs="Arial"/>
              </w:rPr>
              <w:t>Administration</w:t>
            </w:r>
          </w:p>
        </w:tc>
        <w:tc>
          <w:tcPr>
            <w:tcW w:w="1355" w:type="dxa"/>
            <w:tcMar>
              <w:top w:w="100" w:type="dxa"/>
              <w:left w:w="100" w:type="dxa"/>
              <w:bottom w:w="100" w:type="dxa"/>
              <w:right w:w="100" w:type="dxa"/>
            </w:tcMar>
          </w:tcPr>
          <w:p w14:paraId="29BD1221" w14:textId="14AC19BD" w:rsidR="00441446" w:rsidRPr="00155714" w:rsidRDefault="00441446" w:rsidP="00441446">
            <w:pPr>
              <w:widowControl w:val="0"/>
              <w:tabs>
                <w:tab w:val="left" w:pos="1041"/>
              </w:tabs>
              <w:spacing w:before="0" w:line="240" w:lineRule="auto"/>
              <w:jc w:val="center"/>
              <w:rPr>
                <w:rFonts w:cs="Arial"/>
              </w:rPr>
            </w:pPr>
            <w:r w:rsidRPr="00142D23">
              <w:t>$43,309</w:t>
            </w:r>
          </w:p>
        </w:tc>
        <w:tc>
          <w:tcPr>
            <w:tcW w:w="1355" w:type="dxa"/>
          </w:tcPr>
          <w:p w14:paraId="556D50BB" w14:textId="296428B3" w:rsidR="00441446" w:rsidRDefault="00441446" w:rsidP="00441446">
            <w:pPr>
              <w:widowControl w:val="0"/>
              <w:tabs>
                <w:tab w:val="left" w:pos="1041"/>
              </w:tabs>
              <w:spacing w:before="0" w:line="240" w:lineRule="auto"/>
              <w:jc w:val="center"/>
              <w:rPr>
                <w:rFonts w:cs="Arial"/>
              </w:rPr>
            </w:pPr>
            <w:r w:rsidRPr="00142D23">
              <w:t>$14,052</w:t>
            </w:r>
          </w:p>
        </w:tc>
        <w:tc>
          <w:tcPr>
            <w:tcW w:w="1440" w:type="dxa"/>
          </w:tcPr>
          <w:p w14:paraId="5DBF007B" w14:textId="027A27FC" w:rsidR="00441446" w:rsidRDefault="00441446" w:rsidP="00441446">
            <w:pPr>
              <w:widowControl w:val="0"/>
              <w:tabs>
                <w:tab w:val="left" w:pos="1041"/>
              </w:tabs>
              <w:spacing w:before="0" w:line="240" w:lineRule="auto"/>
              <w:jc w:val="center"/>
              <w:rPr>
                <w:rFonts w:cs="Arial"/>
              </w:rPr>
            </w:pPr>
            <w:r w:rsidRPr="00142D23">
              <w:t>$14,052</w:t>
            </w:r>
          </w:p>
        </w:tc>
        <w:tc>
          <w:tcPr>
            <w:tcW w:w="1355" w:type="dxa"/>
          </w:tcPr>
          <w:p w14:paraId="038253C4" w14:textId="235C9091" w:rsidR="00441446" w:rsidRDefault="00441446" w:rsidP="00441446">
            <w:pPr>
              <w:widowControl w:val="0"/>
              <w:tabs>
                <w:tab w:val="left" w:pos="1041"/>
              </w:tabs>
              <w:spacing w:before="0" w:line="240" w:lineRule="auto"/>
              <w:jc w:val="center"/>
              <w:rPr>
                <w:rFonts w:cs="Arial"/>
              </w:rPr>
            </w:pPr>
            <w:r w:rsidRPr="00142D23">
              <w:t>$12,292</w:t>
            </w:r>
          </w:p>
        </w:tc>
        <w:tc>
          <w:tcPr>
            <w:tcW w:w="1265" w:type="dxa"/>
          </w:tcPr>
          <w:p w14:paraId="39D43AF4" w14:textId="3B808EC5" w:rsidR="00441446" w:rsidRDefault="00441446" w:rsidP="00441446">
            <w:pPr>
              <w:widowControl w:val="0"/>
              <w:tabs>
                <w:tab w:val="left" w:pos="1041"/>
              </w:tabs>
              <w:spacing w:before="0" w:line="240" w:lineRule="auto"/>
              <w:jc w:val="center"/>
              <w:rPr>
                <w:rFonts w:cs="Arial"/>
              </w:rPr>
            </w:pPr>
            <w:r w:rsidRPr="00142D23">
              <w:t>$3,135</w:t>
            </w:r>
          </w:p>
        </w:tc>
        <w:tc>
          <w:tcPr>
            <w:tcW w:w="1460" w:type="dxa"/>
          </w:tcPr>
          <w:p w14:paraId="1DE677B0" w14:textId="4DF1F70E" w:rsidR="00441446" w:rsidRDefault="00441446" w:rsidP="00441446">
            <w:pPr>
              <w:widowControl w:val="0"/>
              <w:tabs>
                <w:tab w:val="left" w:pos="1041"/>
              </w:tabs>
              <w:spacing w:before="0" w:line="240" w:lineRule="auto"/>
              <w:jc w:val="center"/>
              <w:rPr>
                <w:rFonts w:cs="Arial"/>
              </w:rPr>
            </w:pPr>
            <w:r w:rsidRPr="00B1560A">
              <w:t>$86,840</w:t>
            </w:r>
          </w:p>
        </w:tc>
      </w:tr>
      <w:tr w:rsidR="00441446" w:rsidRPr="00155714" w14:paraId="49C0A6B7" w14:textId="77777777" w:rsidTr="00B54114">
        <w:trPr>
          <w:trHeight w:val="107"/>
          <w:jc w:val="center"/>
        </w:trPr>
        <w:tc>
          <w:tcPr>
            <w:tcW w:w="1785" w:type="dxa"/>
            <w:tcMar>
              <w:top w:w="100" w:type="dxa"/>
              <w:left w:w="100" w:type="dxa"/>
              <w:bottom w:w="100" w:type="dxa"/>
              <w:right w:w="100" w:type="dxa"/>
            </w:tcMar>
          </w:tcPr>
          <w:p w14:paraId="2EDD9F72" w14:textId="77777777" w:rsidR="00441446" w:rsidRPr="00155714" w:rsidRDefault="00441446" w:rsidP="00441446">
            <w:pPr>
              <w:widowControl w:val="0"/>
              <w:tabs>
                <w:tab w:val="left" w:pos="1041"/>
              </w:tabs>
              <w:spacing w:before="0" w:line="240" w:lineRule="auto"/>
              <w:rPr>
                <w:rFonts w:cs="Arial"/>
              </w:rPr>
            </w:pPr>
            <w:r w:rsidRPr="00155714">
              <w:rPr>
                <w:rFonts w:cs="Arial"/>
              </w:rPr>
              <w:t>Marketing, Education, and Outreach</w:t>
            </w:r>
          </w:p>
        </w:tc>
        <w:tc>
          <w:tcPr>
            <w:tcW w:w="1355" w:type="dxa"/>
            <w:tcMar>
              <w:top w:w="100" w:type="dxa"/>
              <w:left w:w="100" w:type="dxa"/>
              <w:bottom w:w="100" w:type="dxa"/>
              <w:right w:w="100" w:type="dxa"/>
            </w:tcMar>
          </w:tcPr>
          <w:p w14:paraId="073AB507" w14:textId="569FA59B" w:rsidR="00441446" w:rsidRPr="00155714" w:rsidRDefault="00441446" w:rsidP="00441446">
            <w:pPr>
              <w:widowControl w:val="0"/>
              <w:tabs>
                <w:tab w:val="left" w:pos="1041"/>
              </w:tabs>
              <w:spacing w:before="0" w:line="240" w:lineRule="auto"/>
              <w:jc w:val="center"/>
              <w:rPr>
                <w:rFonts w:cs="Arial"/>
              </w:rPr>
            </w:pPr>
            <w:r w:rsidRPr="00142D23">
              <w:t>$85,375</w:t>
            </w:r>
          </w:p>
        </w:tc>
        <w:tc>
          <w:tcPr>
            <w:tcW w:w="1355" w:type="dxa"/>
          </w:tcPr>
          <w:p w14:paraId="723F947F" w14:textId="45A11D20" w:rsidR="00441446" w:rsidRDefault="00441446" w:rsidP="00441446">
            <w:pPr>
              <w:widowControl w:val="0"/>
              <w:tabs>
                <w:tab w:val="left" w:pos="1041"/>
              </w:tabs>
              <w:spacing w:before="0" w:line="240" w:lineRule="auto"/>
              <w:jc w:val="center"/>
              <w:rPr>
                <w:rFonts w:cs="Arial"/>
              </w:rPr>
            </w:pPr>
            <w:r w:rsidRPr="00142D23">
              <w:t>$89,229</w:t>
            </w:r>
          </w:p>
        </w:tc>
        <w:tc>
          <w:tcPr>
            <w:tcW w:w="1440" w:type="dxa"/>
          </w:tcPr>
          <w:p w14:paraId="0C30CCDE" w14:textId="50E72B17" w:rsidR="00441446" w:rsidRDefault="00441446" w:rsidP="00441446">
            <w:pPr>
              <w:widowControl w:val="0"/>
              <w:tabs>
                <w:tab w:val="left" w:pos="1041"/>
              </w:tabs>
              <w:spacing w:before="0" w:line="240" w:lineRule="auto"/>
              <w:jc w:val="center"/>
              <w:rPr>
                <w:rFonts w:cs="Arial"/>
              </w:rPr>
            </w:pPr>
            <w:r w:rsidRPr="00142D23">
              <w:t>$84,466</w:t>
            </w:r>
          </w:p>
        </w:tc>
        <w:tc>
          <w:tcPr>
            <w:tcW w:w="1355" w:type="dxa"/>
          </w:tcPr>
          <w:p w14:paraId="47301686" w14:textId="4F6D02B9" w:rsidR="00441446" w:rsidRDefault="00441446" w:rsidP="00441446">
            <w:pPr>
              <w:widowControl w:val="0"/>
              <w:tabs>
                <w:tab w:val="left" w:pos="1041"/>
              </w:tabs>
              <w:spacing w:before="0" w:line="240" w:lineRule="auto"/>
              <w:jc w:val="center"/>
              <w:rPr>
                <w:rFonts w:cs="Arial"/>
              </w:rPr>
            </w:pPr>
            <w:r w:rsidRPr="00142D23">
              <w:t>$25,944</w:t>
            </w:r>
          </w:p>
        </w:tc>
        <w:tc>
          <w:tcPr>
            <w:tcW w:w="1265" w:type="dxa"/>
          </w:tcPr>
          <w:p w14:paraId="1ADCDD29" w14:textId="52A902CD" w:rsidR="00441446" w:rsidRDefault="00441446" w:rsidP="00441446">
            <w:pPr>
              <w:widowControl w:val="0"/>
              <w:tabs>
                <w:tab w:val="left" w:pos="1041"/>
              </w:tabs>
              <w:spacing w:before="0" w:line="240" w:lineRule="auto"/>
              <w:jc w:val="center"/>
              <w:rPr>
                <w:rFonts w:cs="Arial"/>
              </w:rPr>
            </w:pPr>
            <w:r w:rsidRPr="00142D23">
              <w:t>$0</w:t>
            </w:r>
          </w:p>
        </w:tc>
        <w:tc>
          <w:tcPr>
            <w:tcW w:w="1460" w:type="dxa"/>
          </w:tcPr>
          <w:p w14:paraId="261D3681" w14:textId="38DD433F" w:rsidR="00441446" w:rsidRDefault="00441446" w:rsidP="00441446">
            <w:pPr>
              <w:widowControl w:val="0"/>
              <w:tabs>
                <w:tab w:val="left" w:pos="1041"/>
              </w:tabs>
              <w:spacing w:before="0" w:line="240" w:lineRule="auto"/>
              <w:jc w:val="center"/>
              <w:rPr>
                <w:rFonts w:cs="Arial"/>
              </w:rPr>
            </w:pPr>
            <w:r w:rsidRPr="00B1560A">
              <w:t>$285,014</w:t>
            </w:r>
          </w:p>
        </w:tc>
      </w:tr>
      <w:tr w:rsidR="00441446" w:rsidRPr="00155714" w14:paraId="4B09A350" w14:textId="77777777" w:rsidTr="00B54114">
        <w:trPr>
          <w:trHeight w:val="98"/>
          <w:jc w:val="center"/>
        </w:trPr>
        <w:tc>
          <w:tcPr>
            <w:tcW w:w="1785" w:type="dxa"/>
            <w:tcMar>
              <w:top w:w="100" w:type="dxa"/>
              <w:left w:w="100" w:type="dxa"/>
              <w:bottom w:w="100" w:type="dxa"/>
              <w:right w:w="100" w:type="dxa"/>
            </w:tcMar>
          </w:tcPr>
          <w:p w14:paraId="7EC888A1" w14:textId="77777777" w:rsidR="00441446" w:rsidRPr="00155714" w:rsidRDefault="00441446" w:rsidP="00441446">
            <w:pPr>
              <w:widowControl w:val="0"/>
              <w:tabs>
                <w:tab w:val="left" w:pos="1041"/>
              </w:tabs>
              <w:spacing w:before="0" w:line="240" w:lineRule="auto"/>
              <w:rPr>
                <w:rFonts w:cs="Arial"/>
              </w:rPr>
            </w:pPr>
            <w:r w:rsidRPr="00155714">
              <w:rPr>
                <w:rFonts w:cs="Arial"/>
              </w:rPr>
              <w:t>Implementation (Direct Implementation Non-Incentive)</w:t>
            </w:r>
          </w:p>
        </w:tc>
        <w:tc>
          <w:tcPr>
            <w:tcW w:w="1355" w:type="dxa"/>
            <w:tcMar>
              <w:top w:w="100" w:type="dxa"/>
              <w:left w:w="100" w:type="dxa"/>
              <w:bottom w:w="100" w:type="dxa"/>
              <w:right w:w="100" w:type="dxa"/>
            </w:tcMar>
          </w:tcPr>
          <w:p w14:paraId="6E2E73A2" w14:textId="1B699A63" w:rsidR="00441446" w:rsidRPr="00155714" w:rsidRDefault="00441446" w:rsidP="00441446">
            <w:pPr>
              <w:widowControl w:val="0"/>
              <w:tabs>
                <w:tab w:val="left" w:pos="1041"/>
              </w:tabs>
              <w:spacing w:before="0" w:line="240" w:lineRule="auto"/>
              <w:jc w:val="center"/>
              <w:rPr>
                <w:rFonts w:cs="Arial"/>
              </w:rPr>
            </w:pPr>
            <w:r w:rsidRPr="00142D23">
              <w:t>$770,799</w:t>
            </w:r>
          </w:p>
        </w:tc>
        <w:tc>
          <w:tcPr>
            <w:tcW w:w="1355" w:type="dxa"/>
          </w:tcPr>
          <w:p w14:paraId="07170478" w14:textId="3D547AEB" w:rsidR="00441446" w:rsidRDefault="00441446" w:rsidP="00441446">
            <w:pPr>
              <w:widowControl w:val="0"/>
              <w:tabs>
                <w:tab w:val="left" w:pos="1041"/>
              </w:tabs>
              <w:spacing w:before="0" w:line="240" w:lineRule="auto"/>
              <w:jc w:val="center"/>
              <w:rPr>
                <w:rFonts w:cs="Arial"/>
              </w:rPr>
            </w:pPr>
            <w:r w:rsidRPr="00142D23">
              <w:t>$2,055,867</w:t>
            </w:r>
          </w:p>
        </w:tc>
        <w:tc>
          <w:tcPr>
            <w:tcW w:w="1440" w:type="dxa"/>
          </w:tcPr>
          <w:p w14:paraId="19131164" w14:textId="6CFC50A0" w:rsidR="00441446" w:rsidRDefault="00441446" w:rsidP="00441446">
            <w:pPr>
              <w:widowControl w:val="0"/>
              <w:tabs>
                <w:tab w:val="left" w:pos="1041"/>
              </w:tabs>
              <w:spacing w:before="0" w:line="240" w:lineRule="auto"/>
              <w:jc w:val="center"/>
              <w:rPr>
                <w:rFonts w:cs="Arial"/>
              </w:rPr>
            </w:pPr>
            <w:r w:rsidRPr="00142D23">
              <w:t>$2,065,660</w:t>
            </w:r>
          </w:p>
        </w:tc>
        <w:tc>
          <w:tcPr>
            <w:tcW w:w="1355" w:type="dxa"/>
          </w:tcPr>
          <w:p w14:paraId="0B8ED9BC" w14:textId="4037691C" w:rsidR="00441446" w:rsidRDefault="00441446" w:rsidP="00441446">
            <w:pPr>
              <w:widowControl w:val="0"/>
              <w:tabs>
                <w:tab w:val="left" w:pos="1041"/>
              </w:tabs>
              <w:spacing w:before="0" w:line="240" w:lineRule="auto"/>
              <w:jc w:val="center"/>
              <w:rPr>
                <w:rFonts w:cs="Arial"/>
              </w:rPr>
            </w:pPr>
            <w:r w:rsidRPr="00142D23">
              <w:t>$1,214,664</w:t>
            </w:r>
          </w:p>
        </w:tc>
        <w:tc>
          <w:tcPr>
            <w:tcW w:w="1265" w:type="dxa"/>
          </w:tcPr>
          <w:p w14:paraId="0243C1D0" w14:textId="28C83835" w:rsidR="00441446" w:rsidRDefault="00441446" w:rsidP="00441446">
            <w:pPr>
              <w:widowControl w:val="0"/>
              <w:tabs>
                <w:tab w:val="left" w:pos="1041"/>
              </w:tabs>
              <w:spacing w:before="0" w:line="240" w:lineRule="auto"/>
              <w:jc w:val="center"/>
              <w:rPr>
                <w:rFonts w:cs="Arial"/>
              </w:rPr>
            </w:pPr>
            <w:r w:rsidRPr="00142D23">
              <w:t>$156,254</w:t>
            </w:r>
          </w:p>
        </w:tc>
        <w:tc>
          <w:tcPr>
            <w:tcW w:w="1460" w:type="dxa"/>
          </w:tcPr>
          <w:p w14:paraId="7C6F0B18" w14:textId="24210559" w:rsidR="00441446" w:rsidRDefault="00441446" w:rsidP="00441446">
            <w:pPr>
              <w:widowControl w:val="0"/>
              <w:tabs>
                <w:tab w:val="left" w:pos="1041"/>
              </w:tabs>
              <w:spacing w:before="0" w:line="240" w:lineRule="auto"/>
              <w:jc w:val="center"/>
              <w:rPr>
                <w:rFonts w:cs="Arial"/>
              </w:rPr>
            </w:pPr>
            <w:r w:rsidRPr="00B1560A">
              <w:t>$6,263,244</w:t>
            </w:r>
          </w:p>
        </w:tc>
      </w:tr>
      <w:tr w:rsidR="00441446" w:rsidRPr="00155714" w14:paraId="17434083" w14:textId="77777777" w:rsidTr="005F49A1">
        <w:trPr>
          <w:trHeight w:val="16"/>
          <w:jc w:val="center"/>
        </w:trPr>
        <w:tc>
          <w:tcPr>
            <w:tcW w:w="1785" w:type="dxa"/>
            <w:tcMar>
              <w:top w:w="100" w:type="dxa"/>
              <w:left w:w="100" w:type="dxa"/>
              <w:bottom w:w="100" w:type="dxa"/>
              <w:right w:w="100" w:type="dxa"/>
            </w:tcMar>
          </w:tcPr>
          <w:p w14:paraId="4BCB0DC0" w14:textId="77777777" w:rsidR="00441446" w:rsidRPr="00155714" w:rsidRDefault="00441446" w:rsidP="00441446">
            <w:pPr>
              <w:widowControl w:val="0"/>
              <w:tabs>
                <w:tab w:val="left" w:pos="1041"/>
              </w:tabs>
              <w:spacing w:before="0" w:line="240" w:lineRule="auto"/>
              <w:rPr>
                <w:rFonts w:cs="Arial"/>
              </w:rPr>
            </w:pPr>
            <w:r w:rsidRPr="00155714">
              <w:rPr>
                <w:rFonts w:cs="Arial"/>
              </w:rPr>
              <w:t>Incentives</w:t>
            </w:r>
            <w:r>
              <w:rPr>
                <w:rStyle w:val="FootnoteReference"/>
                <w:rFonts w:cs="Arial"/>
              </w:rPr>
              <w:footnoteReference w:id="3"/>
            </w:r>
          </w:p>
        </w:tc>
        <w:tc>
          <w:tcPr>
            <w:tcW w:w="1355" w:type="dxa"/>
            <w:tcMar>
              <w:top w:w="100" w:type="dxa"/>
              <w:left w:w="100" w:type="dxa"/>
              <w:bottom w:w="100" w:type="dxa"/>
              <w:right w:w="100" w:type="dxa"/>
            </w:tcMar>
          </w:tcPr>
          <w:p w14:paraId="47DB68D9" w14:textId="21D6F4BC" w:rsidR="00441446" w:rsidRPr="00155714" w:rsidRDefault="00441446" w:rsidP="00441446">
            <w:pPr>
              <w:widowControl w:val="0"/>
              <w:tabs>
                <w:tab w:val="left" w:pos="1041"/>
              </w:tabs>
              <w:spacing w:before="0" w:line="240" w:lineRule="auto"/>
              <w:jc w:val="center"/>
              <w:rPr>
                <w:rFonts w:cs="Arial"/>
              </w:rPr>
            </w:pPr>
            <w:r w:rsidRPr="00142D23">
              <w:t>$3,330,710</w:t>
            </w:r>
          </w:p>
        </w:tc>
        <w:tc>
          <w:tcPr>
            <w:tcW w:w="1355" w:type="dxa"/>
          </w:tcPr>
          <w:p w14:paraId="47522E77" w14:textId="4E779C20" w:rsidR="00441446" w:rsidRDefault="00441446" w:rsidP="00441446">
            <w:pPr>
              <w:widowControl w:val="0"/>
              <w:tabs>
                <w:tab w:val="left" w:pos="1041"/>
              </w:tabs>
              <w:spacing w:before="0" w:line="240" w:lineRule="auto"/>
              <w:jc w:val="center"/>
              <w:rPr>
                <w:rFonts w:cs="Arial"/>
              </w:rPr>
            </w:pPr>
            <w:r w:rsidRPr="00142D23">
              <w:t>$7,267,526</w:t>
            </w:r>
          </w:p>
        </w:tc>
        <w:tc>
          <w:tcPr>
            <w:tcW w:w="1440" w:type="dxa"/>
          </w:tcPr>
          <w:p w14:paraId="36CD58B5" w14:textId="5DAD4A92" w:rsidR="00441446" w:rsidRDefault="00441446" w:rsidP="00441446">
            <w:pPr>
              <w:widowControl w:val="0"/>
              <w:tabs>
                <w:tab w:val="left" w:pos="1041"/>
              </w:tabs>
              <w:spacing w:before="0" w:line="240" w:lineRule="auto"/>
              <w:jc w:val="center"/>
              <w:rPr>
                <w:rFonts w:cs="Arial"/>
              </w:rPr>
            </w:pPr>
            <w:r w:rsidRPr="00142D23">
              <w:t>$7,857,518</w:t>
            </w:r>
          </w:p>
        </w:tc>
        <w:tc>
          <w:tcPr>
            <w:tcW w:w="1355" w:type="dxa"/>
          </w:tcPr>
          <w:p w14:paraId="7ED0EA8C" w14:textId="5C129FCD" w:rsidR="00441446" w:rsidRDefault="00441446" w:rsidP="00441446">
            <w:pPr>
              <w:widowControl w:val="0"/>
              <w:tabs>
                <w:tab w:val="left" w:pos="1041"/>
              </w:tabs>
              <w:spacing w:before="0" w:line="240" w:lineRule="auto"/>
              <w:jc w:val="center"/>
              <w:rPr>
                <w:rFonts w:cs="Arial"/>
              </w:rPr>
            </w:pPr>
            <w:r w:rsidRPr="00142D23">
              <w:t>$3,909,048</w:t>
            </w:r>
          </w:p>
        </w:tc>
        <w:tc>
          <w:tcPr>
            <w:tcW w:w="1265" w:type="dxa"/>
          </w:tcPr>
          <w:p w14:paraId="2FC2F20C" w14:textId="5189505E" w:rsidR="00441446" w:rsidRDefault="00441446" w:rsidP="00441446">
            <w:pPr>
              <w:widowControl w:val="0"/>
              <w:tabs>
                <w:tab w:val="left" w:pos="1041"/>
              </w:tabs>
              <w:spacing w:before="0" w:line="240" w:lineRule="auto"/>
              <w:jc w:val="center"/>
              <w:rPr>
                <w:rFonts w:cs="Arial"/>
              </w:rPr>
            </w:pPr>
            <w:r w:rsidRPr="00142D23">
              <w:t>$0</w:t>
            </w:r>
          </w:p>
        </w:tc>
        <w:tc>
          <w:tcPr>
            <w:tcW w:w="1460" w:type="dxa"/>
          </w:tcPr>
          <w:p w14:paraId="64CC937E" w14:textId="1BDCF846" w:rsidR="00441446" w:rsidRDefault="00441446" w:rsidP="00441446">
            <w:pPr>
              <w:widowControl w:val="0"/>
              <w:tabs>
                <w:tab w:val="left" w:pos="1041"/>
              </w:tabs>
              <w:spacing w:before="0" w:line="240" w:lineRule="auto"/>
              <w:jc w:val="center"/>
              <w:rPr>
                <w:rFonts w:cs="Arial"/>
              </w:rPr>
            </w:pPr>
            <w:r w:rsidRPr="00B1560A">
              <w:t>$22,364,802</w:t>
            </w:r>
          </w:p>
        </w:tc>
      </w:tr>
      <w:tr w:rsidR="003431CE" w:rsidRPr="00155714" w14:paraId="3F7AE1BC" w14:textId="77777777" w:rsidTr="00B54114">
        <w:trPr>
          <w:trHeight w:val="16"/>
          <w:jc w:val="center"/>
        </w:trPr>
        <w:tc>
          <w:tcPr>
            <w:tcW w:w="1785" w:type="dxa"/>
            <w:tcMar>
              <w:top w:w="100" w:type="dxa"/>
              <w:left w:w="100" w:type="dxa"/>
              <w:bottom w:w="100" w:type="dxa"/>
              <w:right w:w="100" w:type="dxa"/>
            </w:tcMar>
          </w:tcPr>
          <w:p w14:paraId="0A0E9F1C" w14:textId="77777777" w:rsidR="003431CE" w:rsidRPr="00155714" w:rsidRDefault="003431CE" w:rsidP="003431CE">
            <w:pPr>
              <w:widowControl w:val="0"/>
              <w:tabs>
                <w:tab w:val="left" w:pos="1041"/>
              </w:tabs>
              <w:spacing w:before="0" w:line="240" w:lineRule="auto"/>
              <w:rPr>
                <w:rFonts w:cs="Arial"/>
              </w:rPr>
            </w:pPr>
            <w:r w:rsidRPr="00155714">
              <w:rPr>
                <w:rFonts w:cs="Arial"/>
              </w:rPr>
              <w:t>Total</w:t>
            </w:r>
          </w:p>
        </w:tc>
        <w:tc>
          <w:tcPr>
            <w:tcW w:w="1355" w:type="dxa"/>
            <w:tcMar>
              <w:top w:w="100" w:type="dxa"/>
              <w:left w:w="100" w:type="dxa"/>
              <w:bottom w:w="100" w:type="dxa"/>
              <w:right w:w="100" w:type="dxa"/>
            </w:tcMar>
          </w:tcPr>
          <w:p w14:paraId="6DFAAD84" w14:textId="072D4BE8" w:rsidR="003431CE" w:rsidRPr="00155714" w:rsidRDefault="003431CE" w:rsidP="003431CE">
            <w:pPr>
              <w:widowControl w:val="0"/>
              <w:tabs>
                <w:tab w:val="left" w:pos="1041"/>
              </w:tabs>
              <w:spacing w:before="0" w:line="240" w:lineRule="auto"/>
              <w:jc w:val="center"/>
              <w:rPr>
                <w:rFonts w:cs="Arial"/>
              </w:rPr>
            </w:pPr>
            <w:r w:rsidRPr="00142D23">
              <w:t>$4,230,193</w:t>
            </w:r>
          </w:p>
        </w:tc>
        <w:tc>
          <w:tcPr>
            <w:tcW w:w="1355" w:type="dxa"/>
          </w:tcPr>
          <w:p w14:paraId="44DF9192" w14:textId="6FC5B8C7" w:rsidR="003431CE" w:rsidRDefault="003431CE" w:rsidP="003431CE">
            <w:pPr>
              <w:widowControl w:val="0"/>
              <w:tabs>
                <w:tab w:val="left" w:pos="1041"/>
              </w:tabs>
              <w:spacing w:before="0" w:line="240" w:lineRule="auto"/>
              <w:jc w:val="center"/>
              <w:rPr>
                <w:rFonts w:cs="Arial"/>
              </w:rPr>
            </w:pPr>
            <w:r w:rsidRPr="00142D23">
              <w:t>$9,426,674</w:t>
            </w:r>
          </w:p>
        </w:tc>
        <w:tc>
          <w:tcPr>
            <w:tcW w:w="1440" w:type="dxa"/>
          </w:tcPr>
          <w:p w14:paraId="4FE0682D" w14:textId="0F4E9EA9" w:rsidR="003431CE" w:rsidRDefault="003431CE" w:rsidP="003431CE">
            <w:pPr>
              <w:widowControl w:val="0"/>
              <w:tabs>
                <w:tab w:val="left" w:pos="1041"/>
              </w:tabs>
              <w:spacing w:before="0" w:line="240" w:lineRule="auto"/>
              <w:jc w:val="center"/>
              <w:rPr>
                <w:rFonts w:cs="Arial"/>
              </w:rPr>
            </w:pPr>
            <w:r w:rsidRPr="00142D23">
              <w:t>$10,021,696</w:t>
            </w:r>
          </w:p>
        </w:tc>
        <w:tc>
          <w:tcPr>
            <w:tcW w:w="1355" w:type="dxa"/>
          </w:tcPr>
          <w:p w14:paraId="6F0973E4" w14:textId="56297051" w:rsidR="003431CE" w:rsidRDefault="003431CE" w:rsidP="003431CE">
            <w:pPr>
              <w:widowControl w:val="0"/>
              <w:tabs>
                <w:tab w:val="left" w:pos="1041"/>
              </w:tabs>
              <w:spacing w:before="0" w:line="240" w:lineRule="auto"/>
              <w:jc w:val="center"/>
              <w:rPr>
                <w:rFonts w:cs="Arial"/>
              </w:rPr>
            </w:pPr>
            <w:r w:rsidRPr="00142D23">
              <w:t>$5,161,948</w:t>
            </w:r>
          </w:p>
        </w:tc>
        <w:tc>
          <w:tcPr>
            <w:tcW w:w="1265" w:type="dxa"/>
          </w:tcPr>
          <w:p w14:paraId="58AFE118" w14:textId="0EC6B2BD" w:rsidR="003431CE" w:rsidRDefault="003431CE" w:rsidP="003431CE">
            <w:pPr>
              <w:widowControl w:val="0"/>
              <w:tabs>
                <w:tab w:val="left" w:pos="1041"/>
              </w:tabs>
              <w:spacing w:before="0" w:line="240" w:lineRule="auto"/>
              <w:jc w:val="center"/>
              <w:rPr>
                <w:rFonts w:cs="Arial"/>
              </w:rPr>
            </w:pPr>
            <w:r w:rsidRPr="00142D23">
              <w:t>$159,389</w:t>
            </w:r>
          </w:p>
        </w:tc>
        <w:tc>
          <w:tcPr>
            <w:tcW w:w="1460" w:type="dxa"/>
          </w:tcPr>
          <w:p w14:paraId="6E5B4BE1" w14:textId="77C3B1EE" w:rsidR="003431CE" w:rsidRPr="00155714" w:rsidRDefault="003431CE" w:rsidP="003431CE">
            <w:pPr>
              <w:widowControl w:val="0"/>
              <w:tabs>
                <w:tab w:val="left" w:pos="1041"/>
              </w:tabs>
              <w:spacing w:before="0" w:line="240" w:lineRule="auto"/>
              <w:jc w:val="center"/>
              <w:rPr>
                <w:rFonts w:cs="Arial"/>
              </w:rPr>
            </w:pPr>
            <w:r w:rsidRPr="00780A24">
              <w:t>$</w:t>
            </w:r>
            <w:r w:rsidR="00441446">
              <w:t>28,999,900</w:t>
            </w:r>
          </w:p>
        </w:tc>
      </w:tr>
    </w:tbl>
    <w:p w14:paraId="4EB2A226" w14:textId="08041A7C" w:rsidR="00C5222B" w:rsidRDefault="00C5222B">
      <w:pPr>
        <w:widowControl w:val="0"/>
        <w:tabs>
          <w:tab w:val="left" w:pos="1041"/>
        </w:tabs>
        <w:spacing w:before="20"/>
        <w:rPr>
          <w:rFonts w:cs="Arial"/>
        </w:rPr>
      </w:pPr>
    </w:p>
    <w:p w14:paraId="28A22174" w14:textId="4DD5CC60" w:rsidR="00CC5E02" w:rsidRPr="00C3692E" w:rsidRDefault="00CC5E02" w:rsidP="00CC5E02">
      <w:pPr>
        <w:widowControl w:val="0"/>
        <w:tabs>
          <w:tab w:val="left" w:pos="90"/>
          <w:tab w:val="left" w:pos="360"/>
        </w:tabs>
        <w:spacing w:before="20"/>
        <w:rPr>
          <w:rFonts w:cs="Arial"/>
          <w:b/>
        </w:rPr>
      </w:pPr>
      <w:r>
        <w:rPr>
          <w:rFonts w:cs="Arial"/>
          <w:b/>
        </w:rPr>
        <w:t>Residentia</w:t>
      </w:r>
      <w:r w:rsidRPr="00C3692E">
        <w:rPr>
          <w:rFonts w:cs="Arial"/>
          <w:b/>
        </w:rPr>
        <w:t>l Subprogram</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785"/>
        <w:gridCol w:w="1355"/>
        <w:gridCol w:w="1355"/>
        <w:gridCol w:w="1440"/>
        <w:gridCol w:w="1355"/>
        <w:gridCol w:w="1265"/>
        <w:gridCol w:w="1460"/>
      </w:tblGrid>
      <w:tr w:rsidR="00CC5E02" w:rsidRPr="00155714" w14:paraId="5C0053BE" w14:textId="77777777">
        <w:trPr>
          <w:trHeight w:val="20"/>
          <w:jc w:val="center"/>
        </w:trPr>
        <w:tc>
          <w:tcPr>
            <w:tcW w:w="1785" w:type="dxa"/>
            <w:shd w:val="clear" w:color="auto" w:fill="008080"/>
            <w:tcMar>
              <w:top w:w="100" w:type="dxa"/>
              <w:left w:w="100" w:type="dxa"/>
              <w:bottom w:w="100" w:type="dxa"/>
              <w:right w:w="100" w:type="dxa"/>
            </w:tcMar>
          </w:tcPr>
          <w:p w14:paraId="6EEA2E6A" w14:textId="77777777" w:rsidR="00CC5E02" w:rsidRPr="0016653F" w:rsidRDefault="00CC5E02">
            <w:pPr>
              <w:widowControl w:val="0"/>
              <w:pBdr>
                <w:top w:val="nil"/>
                <w:left w:val="nil"/>
                <w:bottom w:val="nil"/>
                <w:right w:val="nil"/>
                <w:between w:val="nil"/>
              </w:pBdr>
              <w:spacing w:before="0" w:line="240" w:lineRule="auto"/>
              <w:rPr>
                <w:rFonts w:cs="Arial"/>
                <w:b/>
                <w:color w:val="FFFFFF" w:themeColor="background1"/>
                <w:sz w:val="24"/>
                <w:szCs w:val="24"/>
              </w:rPr>
            </w:pPr>
            <w:r w:rsidRPr="0016653F">
              <w:rPr>
                <w:rFonts w:cs="Arial"/>
                <w:b/>
                <w:color w:val="FFFFFF" w:themeColor="background1"/>
                <w:sz w:val="24"/>
                <w:szCs w:val="24"/>
              </w:rPr>
              <w:t>Costs ($)</w:t>
            </w:r>
          </w:p>
        </w:tc>
        <w:tc>
          <w:tcPr>
            <w:tcW w:w="1355" w:type="dxa"/>
            <w:shd w:val="clear" w:color="auto" w:fill="008080"/>
            <w:tcMar>
              <w:top w:w="100" w:type="dxa"/>
              <w:left w:w="100" w:type="dxa"/>
              <w:bottom w:w="100" w:type="dxa"/>
              <w:right w:w="100" w:type="dxa"/>
            </w:tcMar>
          </w:tcPr>
          <w:p w14:paraId="29037918" w14:textId="77777777" w:rsidR="00CC5E02" w:rsidRPr="0016653F" w:rsidRDefault="00CC5E02">
            <w:pPr>
              <w:widowControl w:val="0"/>
              <w:tabs>
                <w:tab w:val="left" w:pos="1041"/>
              </w:tabs>
              <w:spacing w:before="0" w:line="240" w:lineRule="auto"/>
              <w:jc w:val="center"/>
              <w:rPr>
                <w:rFonts w:cs="Arial"/>
                <w:b/>
                <w:color w:val="FFFFFF" w:themeColor="background1"/>
                <w:sz w:val="24"/>
                <w:szCs w:val="24"/>
              </w:rPr>
            </w:pPr>
            <w:r w:rsidRPr="0016653F">
              <w:rPr>
                <w:rFonts w:cs="Arial"/>
                <w:b/>
                <w:color w:val="FFFFFF" w:themeColor="background1"/>
                <w:sz w:val="24"/>
                <w:szCs w:val="24"/>
              </w:rPr>
              <w:t>2024</w:t>
            </w:r>
          </w:p>
        </w:tc>
        <w:tc>
          <w:tcPr>
            <w:tcW w:w="1355" w:type="dxa"/>
            <w:shd w:val="clear" w:color="auto" w:fill="008080"/>
          </w:tcPr>
          <w:p w14:paraId="05494672" w14:textId="77777777" w:rsidR="00CC5E02" w:rsidRPr="0016653F" w:rsidRDefault="00CC5E02">
            <w:pPr>
              <w:widowControl w:val="0"/>
              <w:tabs>
                <w:tab w:val="left" w:pos="1041"/>
              </w:tabs>
              <w:spacing w:before="0" w:line="240" w:lineRule="auto"/>
              <w:jc w:val="center"/>
              <w:rPr>
                <w:rFonts w:cs="Arial"/>
                <w:b/>
                <w:color w:val="FFFFFF" w:themeColor="background1"/>
                <w:sz w:val="24"/>
                <w:szCs w:val="24"/>
              </w:rPr>
            </w:pPr>
            <w:r w:rsidRPr="0016653F">
              <w:rPr>
                <w:rFonts w:cs="Arial"/>
                <w:b/>
                <w:color w:val="FFFFFF" w:themeColor="background1"/>
                <w:sz w:val="24"/>
                <w:szCs w:val="24"/>
              </w:rPr>
              <w:t>2025</w:t>
            </w:r>
          </w:p>
        </w:tc>
        <w:tc>
          <w:tcPr>
            <w:tcW w:w="1440" w:type="dxa"/>
            <w:shd w:val="clear" w:color="auto" w:fill="008080"/>
          </w:tcPr>
          <w:p w14:paraId="672023C8" w14:textId="77777777" w:rsidR="00CC5E02" w:rsidRPr="0016653F" w:rsidRDefault="00CC5E02">
            <w:pPr>
              <w:widowControl w:val="0"/>
              <w:tabs>
                <w:tab w:val="left" w:pos="1041"/>
              </w:tabs>
              <w:spacing w:before="0" w:line="240" w:lineRule="auto"/>
              <w:jc w:val="center"/>
              <w:rPr>
                <w:rFonts w:cs="Arial"/>
                <w:b/>
                <w:color w:val="FFFFFF" w:themeColor="background1"/>
                <w:sz w:val="24"/>
                <w:szCs w:val="24"/>
              </w:rPr>
            </w:pPr>
            <w:r w:rsidRPr="0016653F">
              <w:rPr>
                <w:rFonts w:cs="Arial"/>
                <w:b/>
                <w:color w:val="FFFFFF" w:themeColor="background1"/>
                <w:sz w:val="24"/>
                <w:szCs w:val="24"/>
              </w:rPr>
              <w:t>2026</w:t>
            </w:r>
          </w:p>
        </w:tc>
        <w:tc>
          <w:tcPr>
            <w:tcW w:w="1355" w:type="dxa"/>
            <w:shd w:val="clear" w:color="auto" w:fill="008080"/>
          </w:tcPr>
          <w:p w14:paraId="57099B7A" w14:textId="77777777" w:rsidR="00CC5E02" w:rsidRPr="0016653F" w:rsidRDefault="00CC5E02">
            <w:pPr>
              <w:widowControl w:val="0"/>
              <w:tabs>
                <w:tab w:val="left" w:pos="1041"/>
              </w:tabs>
              <w:spacing w:before="0" w:line="240" w:lineRule="auto"/>
              <w:jc w:val="center"/>
              <w:rPr>
                <w:rFonts w:cs="Arial"/>
                <w:b/>
                <w:color w:val="FFFFFF" w:themeColor="background1"/>
                <w:sz w:val="24"/>
                <w:szCs w:val="24"/>
              </w:rPr>
            </w:pPr>
            <w:r w:rsidRPr="0016653F">
              <w:rPr>
                <w:rFonts w:cs="Arial"/>
                <w:b/>
                <w:color w:val="FFFFFF" w:themeColor="background1"/>
                <w:sz w:val="24"/>
                <w:szCs w:val="24"/>
              </w:rPr>
              <w:t>2027</w:t>
            </w:r>
          </w:p>
        </w:tc>
        <w:tc>
          <w:tcPr>
            <w:tcW w:w="1265" w:type="dxa"/>
            <w:shd w:val="clear" w:color="auto" w:fill="008080"/>
          </w:tcPr>
          <w:p w14:paraId="269E7FC6" w14:textId="77777777" w:rsidR="00CC5E02" w:rsidRPr="0016653F" w:rsidRDefault="00CC5E02">
            <w:pPr>
              <w:widowControl w:val="0"/>
              <w:tabs>
                <w:tab w:val="left" w:pos="1041"/>
              </w:tabs>
              <w:spacing w:before="0" w:line="240" w:lineRule="auto"/>
              <w:jc w:val="center"/>
              <w:rPr>
                <w:rFonts w:cs="Arial"/>
                <w:b/>
                <w:color w:val="FFFFFF" w:themeColor="background1"/>
                <w:sz w:val="24"/>
                <w:szCs w:val="24"/>
              </w:rPr>
            </w:pPr>
            <w:r w:rsidRPr="0016653F">
              <w:rPr>
                <w:rFonts w:cs="Arial"/>
                <w:b/>
                <w:color w:val="FFFFFF" w:themeColor="background1"/>
                <w:sz w:val="24"/>
                <w:szCs w:val="24"/>
              </w:rPr>
              <w:t>2028</w:t>
            </w:r>
          </w:p>
        </w:tc>
        <w:tc>
          <w:tcPr>
            <w:tcW w:w="1460" w:type="dxa"/>
            <w:shd w:val="clear" w:color="auto" w:fill="008080"/>
          </w:tcPr>
          <w:p w14:paraId="29988A59" w14:textId="77777777" w:rsidR="00CC5E02" w:rsidRPr="0016653F" w:rsidRDefault="00CC5E02">
            <w:pPr>
              <w:widowControl w:val="0"/>
              <w:tabs>
                <w:tab w:val="left" w:pos="1041"/>
              </w:tabs>
              <w:spacing w:before="0" w:line="240" w:lineRule="auto"/>
              <w:jc w:val="center"/>
              <w:rPr>
                <w:rFonts w:cs="Arial"/>
                <w:b/>
                <w:color w:val="FFFFFF" w:themeColor="background1"/>
                <w:sz w:val="24"/>
                <w:szCs w:val="24"/>
              </w:rPr>
            </w:pPr>
            <w:r w:rsidRPr="0016653F">
              <w:rPr>
                <w:rFonts w:cs="Arial"/>
                <w:b/>
                <w:color w:val="FFFFFF" w:themeColor="background1"/>
                <w:sz w:val="24"/>
                <w:szCs w:val="24"/>
              </w:rPr>
              <w:t>Program Total</w:t>
            </w:r>
          </w:p>
        </w:tc>
      </w:tr>
      <w:tr w:rsidR="005E795C" w:rsidRPr="00155714" w14:paraId="747E6BD9" w14:textId="77777777">
        <w:trPr>
          <w:trHeight w:val="107"/>
          <w:jc w:val="center"/>
        </w:trPr>
        <w:tc>
          <w:tcPr>
            <w:tcW w:w="1785" w:type="dxa"/>
            <w:tcMar>
              <w:top w:w="100" w:type="dxa"/>
              <w:left w:w="100" w:type="dxa"/>
              <w:bottom w:w="100" w:type="dxa"/>
              <w:right w:w="100" w:type="dxa"/>
            </w:tcMar>
          </w:tcPr>
          <w:p w14:paraId="139990F2" w14:textId="77777777" w:rsidR="005E795C" w:rsidRPr="00155714" w:rsidRDefault="005E795C" w:rsidP="005E795C">
            <w:pPr>
              <w:widowControl w:val="0"/>
              <w:tabs>
                <w:tab w:val="left" w:pos="1041"/>
              </w:tabs>
              <w:spacing w:before="0" w:line="240" w:lineRule="auto"/>
              <w:rPr>
                <w:rFonts w:cs="Arial"/>
              </w:rPr>
            </w:pPr>
            <w:r w:rsidRPr="00155714">
              <w:rPr>
                <w:rFonts w:cs="Arial"/>
              </w:rPr>
              <w:t>Administration</w:t>
            </w:r>
          </w:p>
        </w:tc>
        <w:tc>
          <w:tcPr>
            <w:tcW w:w="1355" w:type="dxa"/>
            <w:tcMar>
              <w:top w:w="100" w:type="dxa"/>
              <w:left w:w="100" w:type="dxa"/>
              <w:bottom w:w="100" w:type="dxa"/>
              <w:right w:w="100" w:type="dxa"/>
            </w:tcMar>
          </w:tcPr>
          <w:p w14:paraId="055A3D21" w14:textId="7D84B48F" w:rsidR="005E795C" w:rsidRPr="00155714" w:rsidRDefault="005E795C" w:rsidP="005E795C">
            <w:pPr>
              <w:widowControl w:val="0"/>
              <w:tabs>
                <w:tab w:val="left" w:pos="1041"/>
              </w:tabs>
              <w:spacing w:before="0" w:line="240" w:lineRule="auto"/>
              <w:jc w:val="center"/>
              <w:rPr>
                <w:rFonts w:cs="Arial"/>
              </w:rPr>
            </w:pPr>
            <w:r w:rsidRPr="00A82F08">
              <w:t>$10,160</w:t>
            </w:r>
          </w:p>
        </w:tc>
        <w:tc>
          <w:tcPr>
            <w:tcW w:w="1355" w:type="dxa"/>
          </w:tcPr>
          <w:p w14:paraId="71E7CAB7" w14:textId="67177BCE" w:rsidR="005E795C" w:rsidRDefault="005E795C" w:rsidP="005E795C">
            <w:pPr>
              <w:widowControl w:val="0"/>
              <w:tabs>
                <w:tab w:val="left" w:pos="1041"/>
              </w:tabs>
              <w:spacing w:before="0" w:line="240" w:lineRule="auto"/>
              <w:jc w:val="center"/>
              <w:rPr>
                <w:rFonts w:cs="Arial"/>
              </w:rPr>
            </w:pPr>
            <w:r w:rsidRPr="00A82F08">
              <w:t>$9,137</w:t>
            </w:r>
          </w:p>
        </w:tc>
        <w:tc>
          <w:tcPr>
            <w:tcW w:w="1440" w:type="dxa"/>
          </w:tcPr>
          <w:p w14:paraId="6458C35E" w14:textId="051B3810" w:rsidR="005E795C" w:rsidRDefault="005E795C" w:rsidP="005E795C">
            <w:pPr>
              <w:widowControl w:val="0"/>
              <w:tabs>
                <w:tab w:val="left" w:pos="1041"/>
              </w:tabs>
              <w:spacing w:before="0" w:line="240" w:lineRule="auto"/>
              <w:jc w:val="center"/>
              <w:rPr>
                <w:rFonts w:cs="Arial"/>
              </w:rPr>
            </w:pPr>
            <w:r w:rsidRPr="00A82F08">
              <w:t>$387</w:t>
            </w:r>
          </w:p>
        </w:tc>
        <w:tc>
          <w:tcPr>
            <w:tcW w:w="1355" w:type="dxa"/>
          </w:tcPr>
          <w:p w14:paraId="3C4BD4C6" w14:textId="12CCB55B" w:rsidR="005E795C" w:rsidRDefault="005E795C" w:rsidP="005E795C">
            <w:pPr>
              <w:widowControl w:val="0"/>
              <w:tabs>
                <w:tab w:val="left" w:pos="1041"/>
              </w:tabs>
              <w:spacing w:before="0" w:line="240" w:lineRule="auto"/>
              <w:jc w:val="center"/>
              <w:rPr>
                <w:rFonts w:cs="Arial"/>
              </w:rPr>
            </w:pPr>
            <w:r w:rsidRPr="00A82F08">
              <w:t>$328</w:t>
            </w:r>
          </w:p>
        </w:tc>
        <w:tc>
          <w:tcPr>
            <w:tcW w:w="1265" w:type="dxa"/>
          </w:tcPr>
          <w:p w14:paraId="442E91C9" w14:textId="4D3352E7" w:rsidR="005E795C" w:rsidRDefault="005E795C" w:rsidP="005E795C">
            <w:pPr>
              <w:widowControl w:val="0"/>
              <w:tabs>
                <w:tab w:val="left" w:pos="1041"/>
              </w:tabs>
              <w:spacing w:before="0" w:line="240" w:lineRule="auto"/>
              <w:jc w:val="center"/>
              <w:rPr>
                <w:rFonts w:cs="Arial"/>
              </w:rPr>
            </w:pPr>
            <w:r w:rsidRPr="00A82F08">
              <w:t>$105</w:t>
            </w:r>
          </w:p>
        </w:tc>
        <w:tc>
          <w:tcPr>
            <w:tcW w:w="1460" w:type="dxa"/>
          </w:tcPr>
          <w:p w14:paraId="499BAE66" w14:textId="3512CAB8" w:rsidR="005E795C" w:rsidRDefault="005E795C" w:rsidP="005E795C">
            <w:pPr>
              <w:widowControl w:val="0"/>
              <w:tabs>
                <w:tab w:val="left" w:pos="1041"/>
              </w:tabs>
              <w:spacing w:before="0" w:line="240" w:lineRule="auto"/>
              <w:jc w:val="center"/>
              <w:rPr>
                <w:rFonts w:cs="Arial"/>
              </w:rPr>
            </w:pPr>
            <w:r w:rsidRPr="00A82F08">
              <w:t>$20,117</w:t>
            </w:r>
          </w:p>
        </w:tc>
      </w:tr>
      <w:tr w:rsidR="005E795C" w:rsidRPr="00155714" w14:paraId="7E02BF72" w14:textId="77777777">
        <w:trPr>
          <w:trHeight w:val="107"/>
          <w:jc w:val="center"/>
        </w:trPr>
        <w:tc>
          <w:tcPr>
            <w:tcW w:w="1785" w:type="dxa"/>
            <w:tcMar>
              <w:top w:w="100" w:type="dxa"/>
              <w:left w:w="100" w:type="dxa"/>
              <w:bottom w:w="100" w:type="dxa"/>
              <w:right w:w="100" w:type="dxa"/>
            </w:tcMar>
          </w:tcPr>
          <w:p w14:paraId="30FC5A25" w14:textId="77777777" w:rsidR="005E795C" w:rsidRPr="00155714" w:rsidRDefault="005E795C" w:rsidP="005E795C">
            <w:pPr>
              <w:widowControl w:val="0"/>
              <w:tabs>
                <w:tab w:val="left" w:pos="1041"/>
              </w:tabs>
              <w:spacing w:before="0" w:line="240" w:lineRule="auto"/>
              <w:rPr>
                <w:rFonts w:cs="Arial"/>
              </w:rPr>
            </w:pPr>
            <w:r w:rsidRPr="00155714">
              <w:rPr>
                <w:rFonts w:cs="Arial"/>
              </w:rPr>
              <w:t>Marketing, Education, and Outreach</w:t>
            </w:r>
          </w:p>
        </w:tc>
        <w:tc>
          <w:tcPr>
            <w:tcW w:w="1355" w:type="dxa"/>
            <w:tcMar>
              <w:top w:w="100" w:type="dxa"/>
              <w:left w:w="100" w:type="dxa"/>
              <w:bottom w:w="100" w:type="dxa"/>
              <w:right w:w="100" w:type="dxa"/>
            </w:tcMar>
          </w:tcPr>
          <w:p w14:paraId="5C1B1016" w14:textId="3964E563" w:rsidR="005E795C" w:rsidRPr="00155714" w:rsidRDefault="005E795C" w:rsidP="005E795C">
            <w:pPr>
              <w:widowControl w:val="0"/>
              <w:tabs>
                <w:tab w:val="left" w:pos="1041"/>
              </w:tabs>
              <w:spacing w:before="0" w:line="240" w:lineRule="auto"/>
              <w:jc w:val="center"/>
              <w:rPr>
                <w:rFonts w:cs="Arial"/>
              </w:rPr>
            </w:pPr>
            <w:r w:rsidRPr="00A82F08">
              <w:t>$7,166</w:t>
            </w:r>
          </w:p>
        </w:tc>
        <w:tc>
          <w:tcPr>
            <w:tcW w:w="1355" w:type="dxa"/>
          </w:tcPr>
          <w:p w14:paraId="1545033F" w14:textId="752FF687" w:rsidR="005E795C" w:rsidRDefault="005E795C" w:rsidP="005E795C">
            <w:pPr>
              <w:widowControl w:val="0"/>
              <w:tabs>
                <w:tab w:val="left" w:pos="1041"/>
              </w:tabs>
              <w:spacing w:before="0" w:line="240" w:lineRule="auto"/>
              <w:jc w:val="center"/>
              <w:rPr>
                <w:rFonts w:cs="Arial"/>
              </w:rPr>
            </w:pPr>
            <w:r w:rsidRPr="00A82F08">
              <w:t>$7,224</w:t>
            </w:r>
          </w:p>
        </w:tc>
        <w:tc>
          <w:tcPr>
            <w:tcW w:w="1440" w:type="dxa"/>
          </w:tcPr>
          <w:p w14:paraId="139A46E8" w14:textId="57B87416" w:rsidR="005E795C" w:rsidRDefault="005E795C" w:rsidP="005E795C">
            <w:pPr>
              <w:widowControl w:val="0"/>
              <w:tabs>
                <w:tab w:val="left" w:pos="1041"/>
              </w:tabs>
              <w:spacing w:before="0" w:line="240" w:lineRule="auto"/>
              <w:jc w:val="center"/>
              <w:rPr>
                <w:rFonts w:cs="Arial"/>
              </w:rPr>
            </w:pPr>
            <w:r w:rsidRPr="00A82F08">
              <w:t>$2,690</w:t>
            </w:r>
          </w:p>
        </w:tc>
        <w:tc>
          <w:tcPr>
            <w:tcW w:w="1355" w:type="dxa"/>
          </w:tcPr>
          <w:p w14:paraId="209EDC8B" w14:textId="6DDCEF1C" w:rsidR="005E795C" w:rsidRDefault="005E795C" w:rsidP="005E795C">
            <w:pPr>
              <w:widowControl w:val="0"/>
              <w:tabs>
                <w:tab w:val="left" w:pos="1041"/>
              </w:tabs>
              <w:spacing w:before="0" w:line="240" w:lineRule="auto"/>
              <w:jc w:val="center"/>
              <w:rPr>
                <w:rFonts w:cs="Arial"/>
              </w:rPr>
            </w:pPr>
            <w:r w:rsidRPr="00A82F08">
              <w:t>$727</w:t>
            </w:r>
          </w:p>
        </w:tc>
        <w:tc>
          <w:tcPr>
            <w:tcW w:w="1265" w:type="dxa"/>
          </w:tcPr>
          <w:p w14:paraId="097F850F" w14:textId="2CC27048" w:rsidR="005E795C" w:rsidRDefault="005E795C" w:rsidP="005E795C">
            <w:pPr>
              <w:widowControl w:val="0"/>
              <w:tabs>
                <w:tab w:val="left" w:pos="1041"/>
              </w:tabs>
              <w:spacing w:before="0" w:line="240" w:lineRule="auto"/>
              <w:jc w:val="center"/>
              <w:rPr>
                <w:rFonts w:cs="Arial"/>
              </w:rPr>
            </w:pPr>
            <w:r w:rsidRPr="00A82F08">
              <w:t>$0</w:t>
            </w:r>
          </w:p>
        </w:tc>
        <w:tc>
          <w:tcPr>
            <w:tcW w:w="1460" w:type="dxa"/>
          </w:tcPr>
          <w:p w14:paraId="7C204BA4" w14:textId="35C855A5" w:rsidR="005E795C" w:rsidRDefault="005E795C" w:rsidP="005E795C">
            <w:pPr>
              <w:widowControl w:val="0"/>
              <w:tabs>
                <w:tab w:val="left" w:pos="1041"/>
              </w:tabs>
              <w:spacing w:before="0" w:line="240" w:lineRule="auto"/>
              <w:jc w:val="center"/>
              <w:rPr>
                <w:rFonts w:cs="Arial"/>
              </w:rPr>
            </w:pPr>
            <w:r w:rsidRPr="00A82F08">
              <w:t>$17,807</w:t>
            </w:r>
          </w:p>
        </w:tc>
      </w:tr>
      <w:tr w:rsidR="005E795C" w:rsidRPr="00155714" w14:paraId="47B6E971" w14:textId="77777777">
        <w:trPr>
          <w:trHeight w:val="98"/>
          <w:jc w:val="center"/>
        </w:trPr>
        <w:tc>
          <w:tcPr>
            <w:tcW w:w="1785" w:type="dxa"/>
            <w:tcMar>
              <w:top w:w="100" w:type="dxa"/>
              <w:left w:w="100" w:type="dxa"/>
              <w:bottom w:w="100" w:type="dxa"/>
              <w:right w:w="100" w:type="dxa"/>
            </w:tcMar>
          </w:tcPr>
          <w:p w14:paraId="4A7775C5" w14:textId="77777777" w:rsidR="005E795C" w:rsidRPr="00155714" w:rsidRDefault="005E795C" w:rsidP="005E795C">
            <w:pPr>
              <w:widowControl w:val="0"/>
              <w:tabs>
                <w:tab w:val="left" w:pos="1041"/>
              </w:tabs>
              <w:spacing w:before="0" w:line="240" w:lineRule="auto"/>
              <w:rPr>
                <w:rFonts w:cs="Arial"/>
              </w:rPr>
            </w:pPr>
            <w:r w:rsidRPr="00155714">
              <w:rPr>
                <w:rFonts w:cs="Arial"/>
              </w:rPr>
              <w:lastRenderedPageBreak/>
              <w:t>Implementation (Direct Implementation Non-Incentive)</w:t>
            </w:r>
          </w:p>
        </w:tc>
        <w:tc>
          <w:tcPr>
            <w:tcW w:w="1355" w:type="dxa"/>
            <w:tcMar>
              <w:top w:w="100" w:type="dxa"/>
              <w:left w:w="100" w:type="dxa"/>
              <w:bottom w:w="100" w:type="dxa"/>
              <w:right w:w="100" w:type="dxa"/>
            </w:tcMar>
          </w:tcPr>
          <w:p w14:paraId="63EDDC0F" w14:textId="1921BDA6" w:rsidR="005E795C" w:rsidRPr="00155714" w:rsidRDefault="005E795C" w:rsidP="005E795C">
            <w:pPr>
              <w:widowControl w:val="0"/>
              <w:tabs>
                <w:tab w:val="left" w:pos="1041"/>
              </w:tabs>
              <w:spacing w:before="0" w:line="240" w:lineRule="auto"/>
              <w:jc w:val="center"/>
              <w:rPr>
                <w:rFonts w:cs="Arial"/>
              </w:rPr>
            </w:pPr>
            <w:r w:rsidRPr="00A82F08">
              <w:t>$94,776</w:t>
            </w:r>
          </w:p>
        </w:tc>
        <w:tc>
          <w:tcPr>
            <w:tcW w:w="1355" w:type="dxa"/>
          </w:tcPr>
          <w:p w14:paraId="37200EF4" w14:textId="336A2DAA" w:rsidR="005E795C" w:rsidRDefault="005E795C" w:rsidP="005E795C">
            <w:pPr>
              <w:widowControl w:val="0"/>
              <w:tabs>
                <w:tab w:val="left" w:pos="1041"/>
              </w:tabs>
              <w:spacing w:before="0" w:line="240" w:lineRule="auto"/>
              <w:jc w:val="center"/>
              <w:rPr>
                <w:rFonts w:cs="Arial"/>
              </w:rPr>
            </w:pPr>
            <w:r w:rsidRPr="00A82F08">
              <w:t>$140,538</w:t>
            </w:r>
          </w:p>
        </w:tc>
        <w:tc>
          <w:tcPr>
            <w:tcW w:w="1440" w:type="dxa"/>
          </w:tcPr>
          <w:p w14:paraId="63EA88DF" w14:textId="7BC4A917" w:rsidR="005E795C" w:rsidRDefault="005E795C" w:rsidP="005E795C">
            <w:pPr>
              <w:widowControl w:val="0"/>
              <w:tabs>
                <w:tab w:val="left" w:pos="1041"/>
              </w:tabs>
              <w:spacing w:before="0" w:line="240" w:lineRule="auto"/>
              <w:jc w:val="center"/>
              <w:rPr>
                <w:rFonts w:cs="Arial"/>
              </w:rPr>
            </w:pPr>
            <w:r w:rsidRPr="00A82F08">
              <w:t>$71,490</w:t>
            </w:r>
          </w:p>
        </w:tc>
        <w:tc>
          <w:tcPr>
            <w:tcW w:w="1355" w:type="dxa"/>
          </w:tcPr>
          <w:p w14:paraId="3791B1DF" w14:textId="533B9D0B" w:rsidR="005E795C" w:rsidRDefault="005E795C" w:rsidP="005E795C">
            <w:pPr>
              <w:widowControl w:val="0"/>
              <w:tabs>
                <w:tab w:val="left" w:pos="1041"/>
              </w:tabs>
              <w:spacing w:before="0" w:line="240" w:lineRule="auto"/>
              <w:jc w:val="center"/>
              <w:rPr>
                <w:rFonts w:cs="Arial"/>
              </w:rPr>
            </w:pPr>
            <w:r w:rsidRPr="00A82F08">
              <w:t>$49,893</w:t>
            </w:r>
          </w:p>
        </w:tc>
        <w:tc>
          <w:tcPr>
            <w:tcW w:w="1265" w:type="dxa"/>
          </w:tcPr>
          <w:p w14:paraId="6B619033" w14:textId="14F6F772" w:rsidR="005E795C" w:rsidRDefault="005E795C" w:rsidP="005E795C">
            <w:pPr>
              <w:widowControl w:val="0"/>
              <w:tabs>
                <w:tab w:val="left" w:pos="1041"/>
              </w:tabs>
              <w:spacing w:before="0" w:line="240" w:lineRule="auto"/>
              <w:jc w:val="center"/>
              <w:rPr>
                <w:rFonts w:cs="Arial"/>
              </w:rPr>
            </w:pPr>
            <w:r w:rsidRPr="00A82F08">
              <w:t>$5,236</w:t>
            </w:r>
          </w:p>
        </w:tc>
        <w:tc>
          <w:tcPr>
            <w:tcW w:w="1460" w:type="dxa"/>
          </w:tcPr>
          <w:p w14:paraId="18E5ECB7" w14:textId="73D3F4EB" w:rsidR="005E795C" w:rsidRDefault="005E795C" w:rsidP="005E795C">
            <w:pPr>
              <w:widowControl w:val="0"/>
              <w:tabs>
                <w:tab w:val="left" w:pos="1041"/>
              </w:tabs>
              <w:spacing w:before="0" w:line="240" w:lineRule="auto"/>
              <w:jc w:val="center"/>
              <w:rPr>
                <w:rFonts w:cs="Arial"/>
              </w:rPr>
            </w:pPr>
            <w:r w:rsidRPr="00A82F08">
              <w:t>$361,933</w:t>
            </w:r>
          </w:p>
        </w:tc>
      </w:tr>
      <w:tr w:rsidR="005E795C" w:rsidRPr="00155714" w14:paraId="1620651E" w14:textId="77777777">
        <w:trPr>
          <w:trHeight w:val="16"/>
          <w:jc w:val="center"/>
        </w:trPr>
        <w:tc>
          <w:tcPr>
            <w:tcW w:w="1785" w:type="dxa"/>
            <w:tcMar>
              <w:top w:w="100" w:type="dxa"/>
              <w:left w:w="100" w:type="dxa"/>
              <w:bottom w:w="100" w:type="dxa"/>
              <w:right w:w="100" w:type="dxa"/>
            </w:tcMar>
          </w:tcPr>
          <w:p w14:paraId="4F268066" w14:textId="381BA899" w:rsidR="005E795C" w:rsidRPr="00155714" w:rsidRDefault="005E795C" w:rsidP="005E795C">
            <w:pPr>
              <w:widowControl w:val="0"/>
              <w:tabs>
                <w:tab w:val="left" w:pos="1041"/>
              </w:tabs>
              <w:spacing w:before="0" w:line="240" w:lineRule="auto"/>
              <w:rPr>
                <w:rFonts w:cs="Arial"/>
              </w:rPr>
            </w:pPr>
            <w:r w:rsidRPr="00155714">
              <w:rPr>
                <w:rFonts w:cs="Arial"/>
              </w:rPr>
              <w:t>Incentives</w:t>
            </w:r>
          </w:p>
        </w:tc>
        <w:tc>
          <w:tcPr>
            <w:tcW w:w="1355" w:type="dxa"/>
            <w:tcMar>
              <w:top w:w="100" w:type="dxa"/>
              <w:left w:w="100" w:type="dxa"/>
              <w:bottom w:w="100" w:type="dxa"/>
              <w:right w:w="100" w:type="dxa"/>
            </w:tcMar>
          </w:tcPr>
          <w:p w14:paraId="1318958F" w14:textId="1D597CFA" w:rsidR="005E795C" w:rsidRPr="00155714" w:rsidRDefault="005E795C" w:rsidP="005E795C">
            <w:pPr>
              <w:widowControl w:val="0"/>
              <w:tabs>
                <w:tab w:val="left" w:pos="1041"/>
              </w:tabs>
              <w:spacing w:before="0" w:line="240" w:lineRule="auto"/>
              <w:jc w:val="center"/>
              <w:rPr>
                <w:rFonts w:cs="Arial"/>
              </w:rPr>
            </w:pPr>
            <w:r w:rsidRPr="00A82F08">
              <w:t>$52,997</w:t>
            </w:r>
          </w:p>
        </w:tc>
        <w:tc>
          <w:tcPr>
            <w:tcW w:w="1355" w:type="dxa"/>
          </w:tcPr>
          <w:p w14:paraId="312E53E2" w14:textId="0E6472E6" w:rsidR="005E795C" w:rsidRDefault="005E795C" w:rsidP="005E795C">
            <w:pPr>
              <w:widowControl w:val="0"/>
              <w:tabs>
                <w:tab w:val="left" w:pos="1041"/>
              </w:tabs>
              <w:spacing w:before="0" w:line="240" w:lineRule="auto"/>
              <w:jc w:val="center"/>
              <w:rPr>
                <w:rFonts w:cs="Arial"/>
              </w:rPr>
            </w:pPr>
            <w:r w:rsidRPr="00A82F08">
              <w:t>$193,847</w:t>
            </w:r>
          </w:p>
        </w:tc>
        <w:tc>
          <w:tcPr>
            <w:tcW w:w="1440" w:type="dxa"/>
          </w:tcPr>
          <w:p w14:paraId="5954E323" w14:textId="7CAE9BB0" w:rsidR="005E795C" w:rsidRDefault="005E795C" w:rsidP="005E795C">
            <w:pPr>
              <w:widowControl w:val="0"/>
              <w:tabs>
                <w:tab w:val="left" w:pos="1041"/>
              </w:tabs>
              <w:spacing w:before="0" w:line="240" w:lineRule="auto"/>
              <w:jc w:val="center"/>
              <w:rPr>
                <w:rFonts w:cs="Arial"/>
              </w:rPr>
            </w:pPr>
            <w:r w:rsidRPr="00A82F08">
              <w:t>$210,947</w:t>
            </w:r>
          </w:p>
        </w:tc>
        <w:tc>
          <w:tcPr>
            <w:tcW w:w="1355" w:type="dxa"/>
          </w:tcPr>
          <w:p w14:paraId="289A8DFB" w14:textId="4534D23C" w:rsidR="005E795C" w:rsidRDefault="005E795C" w:rsidP="005E795C">
            <w:pPr>
              <w:widowControl w:val="0"/>
              <w:tabs>
                <w:tab w:val="left" w:pos="1041"/>
              </w:tabs>
              <w:spacing w:before="0" w:line="240" w:lineRule="auto"/>
              <w:jc w:val="center"/>
              <w:rPr>
                <w:rFonts w:cs="Arial"/>
              </w:rPr>
            </w:pPr>
            <w:r w:rsidRPr="00A82F08">
              <w:t>$142,452</w:t>
            </w:r>
          </w:p>
        </w:tc>
        <w:tc>
          <w:tcPr>
            <w:tcW w:w="1265" w:type="dxa"/>
          </w:tcPr>
          <w:p w14:paraId="4C45AEF9" w14:textId="31BDF031" w:rsidR="005E795C" w:rsidRDefault="005E795C" w:rsidP="005E795C">
            <w:pPr>
              <w:widowControl w:val="0"/>
              <w:tabs>
                <w:tab w:val="left" w:pos="1041"/>
              </w:tabs>
              <w:spacing w:before="0" w:line="240" w:lineRule="auto"/>
              <w:jc w:val="center"/>
              <w:rPr>
                <w:rFonts w:cs="Arial"/>
              </w:rPr>
            </w:pPr>
            <w:r w:rsidRPr="00A82F08">
              <w:t>$0</w:t>
            </w:r>
          </w:p>
        </w:tc>
        <w:tc>
          <w:tcPr>
            <w:tcW w:w="1460" w:type="dxa"/>
          </w:tcPr>
          <w:p w14:paraId="285669AA" w14:textId="483B0BF3" w:rsidR="005E795C" w:rsidRDefault="005E795C" w:rsidP="005E795C">
            <w:pPr>
              <w:widowControl w:val="0"/>
              <w:tabs>
                <w:tab w:val="left" w:pos="1041"/>
              </w:tabs>
              <w:spacing w:before="0" w:line="240" w:lineRule="auto"/>
              <w:jc w:val="center"/>
              <w:rPr>
                <w:rFonts w:cs="Arial"/>
              </w:rPr>
            </w:pPr>
            <w:r w:rsidRPr="00A82F08">
              <w:t>$600,243</w:t>
            </w:r>
          </w:p>
        </w:tc>
      </w:tr>
      <w:tr w:rsidR="005E795C" w:rsidRPr="00155714" w14:paraId="3C75941E" w14:textId="77777777">
        <w:trPr>
          <w:trHeight w:val="16"/>
          <w:jc w:val="center"/>
        </w:trPr>
        <w:tc>
          <w:tcPr>
            <w:tcW w:w="1785" w:type="dxa"/>
            <w:tcMar>
              <w:top w:w="100" w:type="dxa"/>
              <w:left w:w="100" w:type="dxa"/>
              <w:bottom w:w="100" w:type="dxa"/>
              <w:right w:w="100" w:type="dxa"/>
            </w:tcMar>
          </w:tcPr>
          <w:p w14:paraId="73D3F8E0" w14:textId="77777777" w:rsidR="005E795C" w:rsidRPr="00155714" w:rsidRDefault="005E795C" w:rsidP="005E795C">
            <w:pPr>
              <w:widowControl w:val="0"/>
              <w:tabs>
                <w:tab w:val="left" w:pos="1041"/>
              </w:tabs>
              <w:spacing w:before="0" w:line="240" w:lineRule="auto"/>
              <w:rPr>
                <w:rFonts w:cs="Arial"/>
              </w:rPr>
            </w:pPr>
            <w:r w:rsidRPr="00155714">
              <w:rPr>
                <w:rFonts w:cs="Arial"/>
              </w:rPr>
              <w:t>Total</w:t>
            </w:r>
          </w:p>
        </w:tc>
        <w:tc>
          <w:tcPr>
            <w:tcW w:w="1355" w:type="dxa"/>
            <w:tcMar>
              <w:top w:w="100" w:type="dxa"/>
              <w:left w:w="100" w:type="dxa"/>
              <w:bottom w:w="100" w:type="dxa"/>
              <w:right w:w="100" w:type="dxa"/>
            </w:tcMar>
          </w:tcPr>
          <w:p w14:paraId="25FFA66F" w14:textId="4ECBC498" w:rsidR="005E795C" w:rsidRPr="00155714" w:rsidRDefault="005E795C" w:rsidP="005E795C">
            <w:pPr>
              <w:widowControl w:val="0"/>
              <w:tabs>
                <w:tab w:val="left" w:pos="1041"/>
              </w:tabs>
              <w:spacing w:before="0" w:line="240" w:lineRule="auto"/>
              <w:jc w:val="center"/>
              <w:rPr>
                <w:rFonts w:cs="Arial"/>
              </w:rPr>
            </w:pPr>
            <w:r w:rsidRPr="00A82F08">
              <w:t>$165,099</w:t>
            </w:r>
          </w:p>
        </w:tc>
        <w:tc>
          <w:tcPr>
            <w:tcW w:w="1355" w:type="dxa"/>
          </w:tcPr>
          <w:p w14:paraId="5BA0A9F1" w14:textId="4D912FD9" w:rsidR="005E795C" w:rsidRDefault="005E795C" w:rsidP="005E795C">
            <w:pPr>
              <w:widowControl w:val="0"/>
              <w:tabs>
                <w:tab w:val="left" w:pos="1041"/>
              </w:tabs>
              <w:spacing w:before="0" w:line="240" w:lineRule="auto"/>
              <w:jc w:val="center"/>
              <w:rPr>
                <w:rFonts w:cs="Arial"/>
              </w:rPr>
            </w:pPr>
            <w:r w:rsidRPr="00A82F08">
              <w:t>$350,746</w:t>
            </w:r>
          </w:p>
        </w:tc>
        <w:tc>
          <w:tcPr>
            <w:tcW w:w="1440" w:type="dxa"/>
          </w:tcPr>
          <w:p w14:paraId="3DA4768A" w14:textId="6149027F" w:rsidR="005E795C" w:rsidRDefault="005E795C" w:rsidP="005E795C">
            <w:pPr>
              <w:widowControl w:val="0"/>
              <w:tabs>
                <w:tab w:val="left" w:pos="1041"/>
              </w:tabs>
              <w:spacing w:before="0" w:line="240" w:lineRule="auto"/>
              <w:jc w:val="center"/>
              <w:rPr>
                <w:rFonts w:cs="Arial"/>
              </w:rPr>
            </w:pPr>
            <w:r w:rsidRPr="00A82F08">
              <w:t>$285,514</w:t>
            </w:r>
          </w:p>
        </w:tc>
        <w:tc>
          <w:tcPr>
            <w:tcW w:w="1355" w:type="dxa"/>
          </w:tcPr>
          <w:p w14:paraId="69646CDD" w14:textId="791ECA4C" w:rsidR="005E795C" w:rsidRDefault="005E795C" w:rsidP="005E795C">
            <w:pPr>
              <w:widowControl w:val="0"/>
              <w:tabs>
                <w:tab w:val="left" w:pos="1041"/>
              </w:tabs>
              <w:spacing w:before="0" w:line="240" w:lineRule="auto"/>
              <w:jc w:val="center"/>
              <w:rPr>
                <w:rFonts w:cs="Arial"/>
              </w:rPr>
            </w:pPr>
            <w:r w:rsidRPr="00A82F08">
              <w:t>$193,400</w:t>
            </w:r>
          </w:p>
        </w:tc>
        <w:tc>
          <w:tcPr>
            <w:tcW w:w="1265" w:type="dxa"/>
          </w:tcPr>
          <w:p w14:paraId="4CB1473B" w14:textId="1C368C3E" w:rsidR="005E795C" w:rsidRDefault="005E795C" w:rsidP="005E795C">
            <w:pPr>
              <w:widowControl w:val="0"/>
              <w:tabs>
                <w:tab w:val="left" w:pos="1041"/>
              </w:tabs>
              <w:spacing w:before="0" w:line="240" w:lineRule="auto"/>
              <w:jc w:val="center"/>
              <w:rPr>
                <w:rFonts w:cs="Arial"/>
              </w:rPr>
            </w:pPr>
            <w:r w:rsidRPr="00A82F08">
              <w:t>$5,341</w:t>
            </w:r>
          </w:p>
        </w:tc>
        <w:tc>
          <w:tcPr>
            <w:tcW w:w="1460" w:type="dxa"/>
          </w:tcPr>
          <w:p w14:paraId="48068052" w14:textId="5AC6BC4F" w:rsidR="005E795C" w:rsidRPr="00155714" w:rsidRDefault="005E795C" w:rsidP="005E795C">
            <w:pPr>
              <w:widowControl w:val="0"/>
              <w:tabs>
                <w:tab w:val="left" w:pos="1041"/>
              </w:tabs>
              <w:spacing w:before="0" w:line="240" w:lineRule="auto"/>
              <w:jc w:val="center"/>
              <w:rPr>
                <w:rFonts w:cs="Arial"/>
              </w:rPr>
            </w:pPr>
            <w:r w:rsidRPr="00A82F08">
              <w:t>$1,000,100</w:t>
            </w:r>
          </w:p>
        </w:tc>
      </w:tr>
    </w:tbl>
    <w:p w14:paraId="3948E397" w14:textId="77777777" w:rsidR="00CC5E02" w:rsidRPr="00155714" w:rsidRDefault="00CC5E02">
      <w:pPr>
        <w:widowControl w:val="0"/>
        <w:tabs>
          <w:tab w:val="left" w:pos="1041"/>
        </w:tabs>
        <w:spacing w:before="20"/>
        <w:rPr>
          <w:rFonts w:cs="Arial"/>
        </w:rPr>
      </w:pPr>
    </w:p>
    <w:p w14:paraId="3DD1E06C" w14:textId="45A8CF36" w:rsidR="00C5222B" w:rsidRDefault="001E1358" w:rsidP="00767C7C">
      <w:pPr>
        <w:pStyle w:val="ListParagraph"/>
        <w:widowControl w:val="0"/>
        <w:numPr>
          <w:ilvl w:val="0"/>
          <w:numId w:val="25"/>
        </w:numPr>
        <w:tabs>
          <w:tab w:val="left" w:pos="90"/>
          <w:tab w:val="left" w:pos="360"/>
          <w:tab w:val="left" w:pos="1041"/>
        </w:tabs>
        <w:spacing w:before="20"/>
        <w:rPr>
          <w:rFonts w:cs="Arial"/>
          <w:b/>
          <w:u w:val="single"/>
        </w:rPr>
      </w:pPr>
      <w:r w:rsidRPr="005F49A1">
        <w:rPr>
          <w:rFonts w:cs="Arial"/>
          <w:b/>
          <w:u w:val="single"/>
        </w:rPr>
        <w:t xml:space="preserve">Program / Sub-program Impacts Table: </w:t>
      </w:r>
    </w:p>
    <w:p w14:paraId="7FE7FD95" w14:textId="61E886B6" w:rsidR="00612AA5" w:rsidRPr="00B54114" w:rsidRDefault="00612AA5" w:rsidP="00B54114">
      <w:pPr>
        <w:widowControl w:val="0"/>
        <w:tabs>
          <w:tab w:val="left" w:pos="90"/>
          <w:tab w:val="left" w:pos="360"/>
          <w:tab w:val="left" w:pos="1041"/>
        </w:tabs>
        <w:spacing w:before="20"/>
        <w:rPr>
          <w:rFonts w:cs="Arial"/>
          <w:b/>
        </w:rPr>
      </w:pPr>
      <w:r>
        <w:rPr>
          <w:rFonts w:cs="Arial"/>
          <w:b/>
        </w:rPr>
        <w:t>Commercial Sub-Program</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616"/>
        <w:gridCol w:w="1354"/>
        <w:gridCol w:w="1524"/>
        <w:gridCol w:w="1438"/>
        <w:gridCol w:w="1528"/>
        <w:gridCol w:w="1079"/>
        <w:gridCol w:w="1557"/>
      </w:tblGrid>
      <w:tr w:rsidR="000613F6" w:rsidRPr="00155714" w14:paraId="6D057E65" w14:textId="77777777" w:rsidTr="007B19EB">
        <w:trPr>
          <w:trHeight w:val="87"/>
          <w:jc w:val="center"/>
        </w:trPr>
        <w:tc>
          <w:tcPr>
            <w:tcW w:w="1616" w:type="dxa"/>
            <w:tcBorders>
              <w:top w:val="single" w:sz="4" w:space="0" w:color="auto"/>
              <w:left w:val="single" w:sz="4" w:space="0" w:color="auto"/>
              <w:bottom w:val="single" w:sz="4" w:space="0" w:color="auto"/>
              <w:right w:val="single" w:sz="4" w:space="0" w:color="auto"/>
            </w:tcBorders>
            <w:shd w:val="clear" w:color="auto" w:fill="008080"/>
            <w:tcMar>
              <w:top w:w="100" w:type="dxa"/>
              <w:left w:w="100" w:type="dxa"/>
              <w:bottom w:w="100" w:type="dxa"/>
              <w:right w:w="100" w:type="dxa"/>
            </w:tcMar>
          </w:tcPr>
          <w:p w14:paraId="6F73137E" w14:textId="62238019" w:rsidR="001162AA" w:rsidRPr="007B19EB" w:rsidRDefault="00724CE5">
            <w:pPr>
              <w:widowControl w:val="0"/>
              <w:spacing w:before="0" w:line="240" w:lineRule="auto"/>
              <w:jc w:val="center"/>
              <w:rPr>
                <w:rFonts w:cs="Arial"/>
                <w:b/>
                <w:color w:val="FFFFFF" w:themeColor="background1"/>
              </w:rPr>
            </w:pPr>
            <w:r w:rsidRPr="007B19EB">
              <w:rPr>
                <w:rFonts w:cs="Arial"/>
                <w:b/>
                <w:color w:val="FFFFFF" w:themeColor="background1"/>
              </w:rPr>
              <w:t>Year</w:t>
            </w:r>
          </w:p>
        </w:tc>
        <w:tc>
          <w:tcPr>
            <w:tcW w:w="1354" w:type="dxa"/>
            <w:tcBorders>
              <w:top w:val="single" w:sz="4" w:space="0" w:color="auto"/>
              <w:left w:val="single" w:sz="4" w:space="0" w:color="auto"/>
              <w:bottom w:val="single" w:sz="4" w:space="0" w:color="auto"/>
              <w:right w:val="single" w:sz="4" w:space="0" w:color="auto"/>
            </w:tcBorders>
            <w:shd w:val="clear" w:color="auto" w:fill="008080"/>
            <w:tcMar>
              <w:top w:w="100" w:type="dxa"/>
              <w:left w:w="100" w:type="dxa"/>
              <w:bottom w:w="100" w:type="dxa"/>
              <w:right w:w="100" w:type="dxa"/>
            </w:tcMar>
          </w:tcPr>
          <w:p w14:paraId="2CBFB605" w14:textId="77777777" w:rsidR="001162AA" w:rsidRPr="007B19EB" w:rsidRDefault="001162AA">
            <w:pPr>
              <w:widowControl w:val="0"/>
              <w:tabs>
                <w:tab w:val="left" w:pos="1041"/>
              </w:tabs>
              <w:spacing w:before="0" w:line="240" w:lineRule="auto"/>
              <w:jc w:val="right"/>
              <w:rPr>
                <w:rFonts w:cs="Arial"/>
                <w:b/>
                <w:color w:val="FFFFFF" w:themeColor="background1"/>
              </w:rPr>
            </w:pPr>
            <w:r w:rsidRPr="007B19EB">
              <w:rPr>
                <w:rFonts w:cs="Arial"/>
                <w:b/>
                <w:color w:val="FFFFFF" w:themeColor="background1"/>
              </w:rPr>
              <w:t>2024</w:t>
            </w:r>
          </w:p>
        </w:tc>
        <w:tc>
          <w:tcPr>
            <w:tcW w:w="1525" w:type="dxa"/>
            <w:tcBorders>
              <w:top w:val="single" w:sz="4" w:space="0" w:color="auto"/>
              <w:left w:val="single" w:sz="4" w:space="0" w:color="auto"/>
              <w:bottom w:val="single" w:sz="4" w:space="0" w:color="auto"/>
              <w:right w:val="single" w:sz="4" w:space="0" w:color="auto"/>
            </w:tcBorders>
            <w:shd w:val="clear" w:color="auto" w:fill="008080"/>
          </w:tcPr>
          <w:p w14:paraId="51B6B15C" w14:textId="77777777" w:rsidR="001162AA" w:rsidRPr="007B19EB" w:rsidRDefault="001162AA">
            <w:pPr>
              <w:widowControl w:val="0"/>
              <w:tabs>
                <w:tab w:val="left" w:pos="1041"/>
              </w:tabs>
              <w:spacing w:before="0" w:line="240" w:lineRule="auto"/>
              <w:jc w:val="right"/>
              <w:rPr>
                <w:rFonts w:cs="Arial"/>
                <w:b/>
                <w:color w:val="FFFFFF" w:themeColor="background1"/>
              </w:rPr>
            </w:pPr>
            <w:r w:rsidRPr="007B19EB">
              <w:rPr>
                <w:rFonts w:cs="Arial"/>
                <w:b/>
                <w:color w:val="FFFFFF" w:themeColor="background1"/>
              </w:rPr>
              <w:t>2025</w:t>
            </w:r>
          </w:p>
        </w:tc>
        <w:tc>
          <w:tcPr>
            <w:tcW w:w="1439" w:type="dxa"/>
            <w:tcBorders>
              <w:top w:val="single" w:sz="4" w:space="0" w:color="auto"/>
              <w:left w:val="single" w:sz="4" w:space="0" w:color="auto"/>
              <w:bottom w:val="single" w:sz="4" w:space="0" w:color="auto"/>
              <w:right w:val="single" w:sz="4" w:space="0" w:color="auto"/>
            </w:tcBorders>
            <w:shd w:val="clear" w:color="auto" w:fill="008080"/>
          </w:tcPr>
          <w:p w14:paraId="68BF0490" w14:textId="77777777" w:rsidR="001162AA" w:rsidRPr="007B19EB" w:rsidRDefault="001162AA">
            <w:pPr>
              <w:widowControl w:val="0"/>
              <w:tabs>
                <w:tab w:val="left" w:pos="1041"/>
              </w:tabs>
              <w:spacing w:before="0" w:line="240" w:lineRule="auto"/>
              <w:jc w:val="right"/>
              <w:rPr>
                <w:rFonts w:cs="Arial"/>
                <w:b/>
                <w:color w:val="FFFFFF" w:themeColor="background1"/>
              </w:rPr>
            </w:pPr>
            <w:r w:rsidRPr="007B19EB">
              <w:rPr>
                <w:rFonts w:cs="Arial"/>
                <w:b/>
                <w:color w:val="FFFFFF" w:themeColor="background1"/>
              </w:rPr>
              <w:t>2026</w:t>
            </w:r>
          </w:p>
        </w:tc>
        <w:tc>
          <w:tcPr>
            <w:tcW w:w="1529" w:type="dxa"/>
            <w:tcBorders>
              <w:top w:val="single" w:sz="4" w:space="0" w:color="auto"/>
              <w:left w:val="single" w:sz="4" w:space="0" w:color="auto"/>
              <w:bottom w:val="single" w:sz="4" w:space="0" w:color="auto"/>
              <w:right w:val="single" w:sz="4" w:space="0" w:color="auto"/>
            </w:tcBorders>
            <w:shd w:val="clear" w:color="auto" w:fill="008080"/>
          </w:tcPr>
          <w:p w14:paraId="031F08F8" w14:textId="77777777" w:rsidR="001162AA" w:rsidRPr="007B19EB" w:rsidRDefault="001162AA">
            <w:pPr>
              <w:widowControl w:val="0"/>
              <w:tabs>
                <w:tab w:val="left" w:pos="1041"/>
              </w:tabs>
              <w:spacing w:before="0" w:line="240" w:lineRule="auto"/>
              <w:jc w:val="right"/>
              <w:rPr>
                <w:rFonts w:cs="Arial"/>
                <w:b/>
                <w:color w:val="FFFFFF" w:themeColor="background1"/>
              </w:rPr>
            </w:pPr>
            <w:r w:rsidRPr="007B19EB">
              <w:rPr>
                <w:rFonts w:cs="Arial"/>
                <w:b/>
                <w:color w:val="FFFFFF" w:themeColor="background1"/>
              </w:rPr>
              <w:t>2027</w:t>
            </w:r>
          </w:p>
        </w:tc>
        <w:tc>
          <w:tcPr>
            <w:tcW w:w="1079" w:type="dxa"/>
            <w:tcBorders>
              <w:top w:val="single" w:sz="4" w:space="0" w:color="auto"/>
              <w:left w:val="single" w:sz="4" w:space="0" w:color="auto"/>
              <w:bottom w:val="single" w:sz="4" w:space="0" w:color="auto"/>
              <w:right w:val="single" w:sz="4" w:space="0" w:color="auto"/>
            </w:tcBorders>
            <w:shd w:val="clear" w:color="auto" w:fill="008080"/>
          </w:tcPr>
          <w:p w14:paraId="58A7C0D9" w14:textId="77777777" w:rsidR="001162AA" w:rsidRPr="007B19EB" w:rsidRDefault="001162AA">
            <w:pPr>
              <w:widowControl w:val="0"/>
              <w:tabs>
                <w:tab w:val="left" w:pos="1041"/>
              </w:tabs>
              <w:spacing w:before="0" w:line="240" w:lineRule="auto"/>
              <w:jc w:val="right"/>
              <w:rPr>
                <w:rFonts w:cs="Arial"/>
                <w:b/>
                <w:color w:val="FFFFFF" w:themeColor="background1"/>
              </w:rPr>
            </w:pPr>
            <w:r w:rsidRPr="007B19EB">
              <w:rPr>
                <w:rFonts w:cs="Arial"/>
                <w:b/>
                <w:color w:val="FFFFFF" w:themeColor="background1"/>
              </w:rPr>
              <w:t>2028</w:t>
            </w:r>
          </w:p>
        </w:tc>
        <w:tc>
          <w:tcPr>
            <w:tcW w:w="1554" w:type="dxa"/>
            <w:tcBorders>
              <w:top w:val="single" w:sz="4" w:space="0" w:color="auto"/>
              <w:left w:val="single" w:sz="4" w:space="0" w:color="auto"/>
              <w:bottom w:val="single" w:sz="4" w:space="0" w:color="auto"/>
              <w:right w:val="single" w:sz="4" w:space="0" w:color="auto"/>
            </w:tcBorders>
            <w:shd w:val="clear" w:color="auto" w:fill="008080"/>
          </w:tcPr>
          <w:p w14:paraId="369E2BDD" w14:textId="77777777" w:rsidR="001162AA" w:rsidRPr="007B19EB" w:rsidRDefault="001162AA">
            <w:pPr>
              <w:widowControl w:val="0"/>
              <w:tabs>
                <w:tab w:val="left" w:pos="1041"/>
              </w:tabs>
              <w:spacing w:before="0" w:line="240" w:lineRule="auto"/>
              <w:jc w:val="right"/>
              <w:rPr>
                <w:rFonts w:cs="Arial"/>
                <w:b/>
                <w:color w:val="FFFFFF" w:themeColor="background1"/>
              </w:rPr>
            </w:pPr>
            <w:r w:rsidRPr="007B19EB">
              <w:rPr>
                <w:rFonts w:cs="Arial"/>
                <w:b/>
                <w:color w:val="FFFFFF" w:themeColor="background1"/>
              </w:rPr>
              <w:t>Program Total</w:t>
            </w:r>
          </w:p>
        </w:tc>
      </w:tr>
      <w:tr w:rsidR="000613F6" w:rsidRPr="00155714" w14:paraId="65D0CC9F" w14:textId="77777777" w:rsidTr="00971704">
        <w:trPr>
          <w:trHeight w:val="71"/>
          <w:jc w:val="center"/>
        </w:trPr>
        <w:tc>
          <w:tcPr>
            <w:tcW w:w="16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89A74C" w14:textId="77777777" w:rsidR="001162AA" w:rsidRPr="00155714" w:rsidRDefault="001162AA">
            <w:pPr>
              <w:widowControl w:val="0"/>
              <w:tabs>
                <w:tab w:val="left" w:pos="1041"/>
              </w:tabs>
              <w:spacing w:before="0" w:line="240" w:lineRule="auto"/>
              <w:rPr>
                <w:rFonts w:cs="Arial"/>
              </w:rPr>
            </w:pPr>
            <w:r>
              <w:rPr>
                <w:rFonts w:cs="Arial"/>
              </w:rPr>
              <w:t>Lifecycle</w:t>
            </w:r>
            <w:r w:rsidRPr="00155714">
              <w:rPr>
                <w:rFonts w:cs="Arial"/>
              </w:rPr>
              <w:t xml:space="preserve"> </w:t>
            </w:r>
            <w:r>
              <w:rPr>
                <w:rFonts w:cs="Arial"/>
              </w:rPr>
              <w:t>Summer Peak kW</w:t>
            </w:r>
            <w:r w:rsidRPr="00155714">
              <w:rPr>
                <w:rFonts w:cs="Arial"/>
              </w:rPr>
              <w:t xml:space="preserve"> Savings (kW)</w:t>
            </w:r>
            <w:r>
              <w:rPr>
                <w:rStyle w:val="FootnoteReference"/>
                <w:rFonts w:cs="Arial"/>
              </w:rPr>
              <w:footnoteReference w:id="4"/>
            </w:r>
            <w:r w:rsidRPr="00155714">
              <w:rPr>
                <w:rFonts w:cs="Arial"/>
              </w:rPr>
              <w:t xml:space="preserve"> (</w:t>
            </w:r>
            <w:r>
              <w:rPr>
                <w:rFonts w:cs="Arial"/>
              </w:rPr>
              <w:t>Net</w:t>
            </w:r>
            <w:r w:rsidRPr="00155714">
              <w:rPr>
                <w:rFonts w:cs="Arial"/>
              </w:rPr>
              <w:t>)</w:t>
            </w:r>
          </w:p>
        </w:tc>
        <w:tc>
          <w:tcPr>
            <w:tcW w:w="13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E3E1DA" w14:textId="77777777" w:rsidR="001162AA" w:rsidRPr="00155714" w:rsidRDefault="001162AA">
            <w:pPr>
              <w:widowControl w:val="0"/>
              <w:tabs>
                <w:tab w:val="left" w:pos="1041"/>
              </w:tabs>
              <w:spacing w:before="0" w:line="240" w:lineRule="auto"/>
              <w:jc w:val="right"/>
              <w:rPr>
                <w:rFonts w:cs="Arial"/>
              </w:rPr>
            </w:pPr>
            <w:r>
              <w:rPr>
                <w:rFonts w:cs="Arial"/>
              </w:rPr>
              <w:t>776</w:t>
            </w:r>
          </w:p>
        </w:tc>
        <w:tc>
          <w:tcPr>
            <w:tcW w:w="1524" w:type="dxa"/>
            <w:tcBorders>
              <w:top w:val="single" w:sz="4" w:space="0" w:color="auto"/>
              <w:left w:val="single" w:sz="4" w:space="0" w:color="auto"/>
              <w:bottom w:val="single" w:sz="4" w:space="0" w:color="auto"/>
              <w:right w:val="single" w:sz="4" w:space="0" w:color="auto"/>
            </w:tcBorders>
          </w:tcPr>
          <w:p w14:paraId="365C60D5" w14:textId="77777777" w:rsidR="001162AA" w:rsidRPr="00155714" w:rsidRDefault="001162AA">
            <w:pPr>
              <w:widowControl w:val="0"/>
              <w:tabs>
                <w:tab w:val="left" w:pos="1041"/>
              </w:tabs>
              <w:spacing w:before="0" w:line="240" w:lineRule="auto"/>
              <w:jc w:val="right"/>
              <w:rPr>
                <w:rFonts w:cs="Arial"/>
              </w:rPr>
            </w:pPr>
            <w:r>
              <w:rPr>
                <w:rFonts w:cs="Arial"/>
              </w:rPr>
              <w:t>67,708</w:t>
            </w:r>
          </w:p>
        </w:tc>
        <w:tc>
          <w:tcPr>
            <w:tcW w:w="1438" w:type="dxa"/>
            <w:tcBorders>
              <w:top w:val="single" w:sz="4" w:space="0" w:color="auto"/>
              <w:left w:val="single" w:sz="4" w:space="0" w:color="auto"/>
              <w:bottom w:val="single" w:sz="4" w:space="0" w:color="auto"/>
              <w:right w:val="single" w:sz="4" w:space="0" w:color="auto"/>
            </w:tcBorders>
          </w:tcPr>
          <w:p w14:paraId="10FB8FF1" w14:textId="77777777" w:rsidR="001162AA" w:rsidDel="00F63729" w:rsidRDefault="001162AA">
            <w:pPr>
              <w:widowControl w:val="0"/>
              <w:tabs>
                <w:tab w:val="left" w:pos="1041"/>
              </w:tabs>
              <w:spacing w:before="0" w:line="240" w:lineRule="auto"/>
              <w:jc w:val="right"/>
              <w:rPr>
                <w:rFonts w:cs="Arial"/>
              </w:rPr>
            </w:pPr>
            <w:r>
              <w:rPr>
                <w:rFonts w:cs="Arial"/>
              </w:rPr>
              <w:t>59,341</w:t>
            </w:r>
          </w:p>
        </w:tc>
        <w:tc>
          <w:tcPr>
            <w:tcW w:w="1529" w:type="dxa"/>
            <w:tcBorders>
              <w:top w:val="single" w:sz="4" w:space="0" w:color="auto"/>
              <w:left w:val="single" w:sz="4" w:space="0" w:color="auto"/>
              <w:bottom w:val="single" w:sz="4" w:space="0" w:color="auto"/>
              <w:right w:val="single" w:sz="4" w:space="0" w:color="auto"/>
            </w:tcBorders>
          </w:tcPr>
          <w:p w14:paraId="1DCDCBBF" w14:textId="77777777" w:rsidR="001162AA" w:rsidDel="00F63729" w:rsidRDefault="001162AA">
            <w:pPr>
              <w:widowControl w:val="0"/>
              <w:tabs>
                <w:tab w:val="left" w:pos="1041"/>
              </w:tabs>
              <w:spacing w:before="0" w:line="240" w:lineRule="auto"/>
              <w:jc w:val="right"/>
              <w:rPr>
                <w:rFonts w:cs="Arial"/>
              </w:rPr>
            </w:pPr>
            <w:r>
              <w:rPr>
                <w:rFonts w:cs="Arial"/>
              </w:rPr>
              <w:t>44,679</w:t>
            </w:r>
          </w:p>
        </w:tc>
        <w:tc>
          <w:tcPr>
            <w:tcW w:w="1078" w:type="dxa"/>
            <w:tcBorders>
              <w:top w:val="single" w:sz="4" w:space="0" w:color="auto"/>
              <w:left w:val="single" w:sz="4" w:space="0" w:color="auto"/>
              <w:bottom w:val="single" w:sz="4" w:space="0" w:color="auto"/>
              <w:right w:val="single" w:sz="4" w:space="0" w:color="auto"/>
            </w:tcBorders>
          </w:tcPr>
          <w:p w14:paraId="7B0E24E4" w14:textId="77777777" w:rsidR="001162AA" w:rsidDel="00F63729" w:rsidRDefault="001162AA">
            <w:pPr>
              <w:widowControl w:val="0"/>
              <w:tabs>
                <w:tab w:val="left" w:pos="1041"/>
              </w:tabs>
              <w:spacing w:before="0" w:line="240" w:lineRule="auto"/>
              <w:jc w:val="right"/>
              <w:rPr>
                <w:rFonts w:cs="Arial"/>
              </w:rPr>
            </w:pPr>
            <w:r>
              <w:rPr>
                <w:rFonts w:cs="Arial"/>
              </w:rPr>
              <w:t>-</w:t>
            </w:r>
          </w:p>
        </w:tc>
        <w:tc>
          <w:tcPr>
            <w:tcW w:w="1558" w:type="dxa"/>
            <w:tcBorders>
              <w:top w:val="single" w:sz="4" w:space="0" w:color="auto"/>
              <w:left w:val="single" w:sz="4" w:space="0" w:color="auto"/>
              <w:bottom w:val="single" w:sz="4" w:space="0" w:color="auto"/>
              <w:right w:val="single" w:sz="4" w:space="0" w:color="auto"/>
            </w:tcBorders>
          </w:tcPr>
          <w:p w14:paraId="68AA3C1B" w14:textId="77777777" w:rsidR="001162AA" w:rsidDel="00F63729" w:rsidRDefault="001162AA">
            <w:pPr>
              <w:widowControl w:val="0"/>
              <w:tabs>
                <w:tab w:val="left" w:pos="1041"/>
              </w:tabs>
              <w:spacing w:before="0" w:line="240" w:lineRule="auto"/>
              <w:jc w:val="right"/>
              <w:rPr>
                <w:rFonts w:cs="Arial"/>
              </w:rPr>
            </w:pPr>
            <w:r>
              <w:rPr>
                <w:rFonts w:cs="Arial"/>
              </w:rPr>
              <w:t>172,504</w:t>
            </w:r>
          </w:p>
        </w:tc>
      </w:tr>
      <w:tr w:rsidR="000613F6" w:rsidRPr="00155714" w14:paraId="442F659C" w14:textId="77777777" w:rsidTr="00971704">
        <w:trPr>
          <w:trHeight w:val="71"/>
          <w:jc w:val="center"/>
        </w:trPr>
        <w:tc>
          <w:tcPr>
            <w:tcW w:w="16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5E03CB" w14:textId="77777777" w:rsidR="001162AA" w:rsidRPr="00155714" w:rsidRDefault="001162AA">
            <w:pPr>
              <w:widowControl w:val="0"/>
              <w:tabs>
                <w:tab w:val="left" w:pos="1041"/>
              </w:tabs>
              <w:spacing w:before="0" w:line="240" w:lineRule="auto"/>
              <w:rPr>
                <w:rFonts w:cs="Arial"/>
              </w:rPr>
            </w:pPr>
            <w:r w:rsidRPr="00155714">
              <w:rPr>
                <w:rFonts w:cs="Arial"/>
              </w:rPr>
              <w:t>Program TSB ($)</w:t>
            </w:r>
          </w:p>
        </w:tc>
        <w:tc>
          <w:tcPr>
            <w:tcW w:w="13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C45624" w14:textId="77777777" w:rsidR="001162AA" w:rsidRPr="00155714" w:rsidRDefault="001162AA">
            <w:pPr>
              <w:widowControl w:val="0"/>
              <w:tabs>
                <w:tab w:val="left" w:pos="1041"/>
              </w:tabs>
              <w:spacing w:before="0" w:line="240" w:lineRule="auto"/>
              <w:jc w:val="right"/>
              <w:rPr>
                <w:rFonts w:cs="Arial"/>
              </w:rPr>
            </w:pPr>
            <w:r w:rsidRPr="00155714">
              <w:rPr>
                <w:rFonts w:cs="Arial"/>
              </w:rPr>
              <w:t>$</w:t>
            </w:r>
            <w:r>
              <w:rPr>
                <w:rFonts w:cs="Arial"/>
              </w:rPr>
              <w:t>9,571,005</w:t>
            </w:r>
          </w:p>
        </w:tc>
        <w:tc>
          <w:tcPr>
            <w:tcW w:w="1524" w:type="dxa"/>
            <w:tcBorders>
              <w:top w:val="single" w:sz="4" w:space="0" w:color="auto"/>
              <w:left w:val="single" w:sz="4" w:space="0" w:color="auto"/>
              <w:bottom w:val="single" w:sz="4" w:space="0" w:color="auto"/>
              <w:right w:val="single" w:sz="4" w:space="0" w:color="auto"/>
            </w:tcBorders>
          </w:tcPr>
          <w:p w14:paraId="5C298349" w14:textId="77777777" w:rsidR="001162AA" w:rsidRPr="00155714" w:rsidRDefault="001162AA">
            <w:pPr>
              <w:widowControl w:val="0"/>
              <w:tabs>
                <w:tab w:val="left" w:pos="1041"/>
              </w:tabs>
              <w:spacing w:before="0" w:line="240" w:lineRule="auto"/>
              <w:jc w:val="right"/>
              <w:rPr>
                <w:rFonts w:cs="Arial"/>
              </w:rPr>
            </w:pPr>
            <w:r>
              <w:rPr>
                <w:rFonts w:cs="Arial"/>
              </w:rPr>
              <w:t>$20,883,700</w:t>
            </w:r>
          </w:p>
        </w:tc>
        <w:tc>
          <w:tcPr>
            <w:tcW w:w="1438" w:type="dxa"/>
            <w:tcBorders>
              <w:top w:val="single" w:sz="4" w:space="0" w:color="auto"/>
              <w:left w:val="single" w:sz="4" w:space="0" w:color="auto"/>
              <w:bottom w:val="single" w:sz="4" w:space="0" w:color="auto"/>
              <w:right w:val="single" w:sz="4" w:space="0" w:color="auto"/>
            </w:tcBorders>
          </w:tcPr>
          <w:p w14:paraId="3F9E6A0D" w14:textId="77777777" w:rsidR="001162AA" w:rsidRDefault="001162AA">
            <w:pPr>
              <w:widowControl w:val="0"/>
              <w:tabs>
                <w:tab w:val="left" w:pos="1041"/>
              </w:tabs>
              <w:spacing w:before="0" w:line="240" w:lineRule="auto"/>
              <w:jc w:val="right"/>
              <w:rPr>
                <w:rFonts w:cs="Arial"/>
              </w:rPr>
            </w:pPr>
            <w:r>
              <w:rPr>
                <w:rFonts w:cs="Arial"/>
              </w:rPr>
              <w:t>$22,579,073</w:t>
            </w:r>
          </w:p>
        </w:tc>
        <w:tc>
          <w:tcPr>
            <w:tcW w:w="1529" w:type="dxa"/>
            <w:tcBorders>
              <w:top w:val="single" w:sz="4" w:space="0" w:color="auto"/>
              <w:left w:val="single" w:sz="4" w:space="0" w:color="auto"/>
              <w:bottom w:val="single" w:sz="4" w:space="0" w:color="auto"/>
              <w:right w:val="single" w:sz="4" w:space="0" w:color="auto"/>
            </w:tcBorders>
          </w:tcPr>
          <w:p w14:paraId="3B574918" w14:textId="77777777" w:rsidR="001162AA" w:rsidRDefault="001162AA">
            <w:pPr>
              <w:widowControl w:val="0"/>
              <w:tabs>
                <w:tab w:val="left" w:pos="1041"/>
              </w:tabs>
              <w:spacing w:before="0" w:line="240" w:lineRule="auto"/>
              <w:jc w:val="right"/>
              <w:rPr>
                <w:rFonts w:cs="Arial"/>
              </w:rPr>
            </w:pPr>
            <w:r>
              <w:rPr>
                <w:rFonts w:cs="Arial"/>
              </w:rPr>
              <w:t>$11,232,897</w:t>
            </w:r>
          </w:p>
        </w:tc>
        <w:tc>
          <w:tcPr>
            <w:tcW w:w="1078" w:type="dxa"/>
            <w:tcBorders>
              <w:top w:val="single" w:sz="4" w:space="0" w:color="auto"/>
              <w:left w:val="single" w:sz="4" w:space="0" w:color="auto"/>
              <w:bottom w:val="single" w:sz="4" w:space="0" w:color="auto"/>
              <w:right w:val="single" w:sz="4" w:space="0" w:color="auto"/>
            </w:tcBorders>
          </w:tcPr>
          <w:p w14:paraId="1E9BE56D" w14:textId="473A9CE1" w:rsidR="001162AA" w:rsidRDefault="003356ED">
            <w:pPr>
              <w:widowControl w:val="0"/>
              <w:tabs>
                <w:tab w:val="left" w:pos="1041"/>
              </w:tabs>
              <w:spacing w:before="0" w:line="240" w:lineRule="auto"/>
              <w:jc w:val="right"/>
              <w:rPr>
                <w:rFonts w:cs="Arial"/>
              </w:rPr>
            </w:pPr>
            <w:r>
              <w:rPr>
                <w:rFonts w:cs="Arial"/>
              </w:rPr>
              <w:t>-</w:t>
            </w:r>
          </w:p>
        </w:tc>
        <w:tc>
          <w:tcPr>
            <w:tcW w:w="1558" w:type="dxa"/>
            <w:tcBorders>
              <w:top w:val="single" w:sz="4" w:space="0" w:color="auto"/>
              <w:left w:val="single" w:sz="4" w:space="0" w:color="auto"/>
              <w:bottom w:val="single" w:sz="4" w:space="0" w:color="auto"/>
              <w:right w:val="single" w:sz="4" w:space="0" w:color="auto"/>
            </w:tcBorders>
          </w:tcPr>
          <w:p w14:paraId="5DBD59EB" w14:textId="77777777" w:rsidR="001162AA" w:rsidRDefault="001162AA">
            <w:pPr>
              <w:widowControl w:val="0"/>
              <w:tabs>
                <w:tab w:val="left" w:pos="1041"/>
              </w:tabs>
              <w:spacing w:before="0" w:line="240" w:lineRule="auto"/>
              <w:jc w:val="right"/>
              <w:rPr>
                <w:rFonts w:cs="Arial"/>
              </w:rPr>
            </w:pPr>
            <w:r>
              <w:rPr>
                <w:rFonts w:cs="Arial"/>
              </w:rPr>
              <w:t>$64,266,675</w:t>
            </w:r>
          </w:p>
        </w:tc>
      </w:tr>
      <w:tr w:rsidR="00971704" w:rsidRPr="00155714" w14:paraId="5609645E" w14:textId="77777777" w:rsidTr="00971704">
        <w:trPr>
          <w:trHeight w:val="71"/>
          <w:jc w:val="center"/>
        </w:trPr>
        <w:tc>
          <w:tcPr>
            <w:tcW w:w="16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351ED0" w14:textId="78EE676D" w:rsidR="00971704" w:rsidRDefault="00971704" w:rsidP="00971704">
            <w:pPr>
              <w:widowControl w:val="0"/>
              <w:tabs>
                <w:tab w:val="left" w:pos="1041"/>
              </w:tabs>
              <w:spacing w:before="0" w:line="240" w:lineRule="auto"/>
              <w:rPr>
                <w:rFonts w:cs="Arial"/>
              </w:rPr>
            </w:pPr>
            <w:r w:rsidRPr="00155714">
              <w:rPr>
                <w:rFonts w:cs="Arial"/>
              </w:rPr>
              <w:t>Annual kWh Savings (Net)</w:t>
            </w:r>
          </w:p>
        </w:tc>
        <w:tc>
          <w:tcPr>
            <w:tcW w:w="13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EBD3BA" w14:textId="6D02C884" w:rsidR="00971704" w:rsidRDefault="00971704" w:rsidP="00971704">
            <w:pPr>
              <w:widowControl w:val="0"/>
              <w:tabs>
                <w:tab w:val="left" w:pos="1041"/>
              </w:tabs>
              <w:spacing w:before="0" w:line="240" w:lineRule="auto"/>
              <w:jc w:val="right"/>
              <w:rPr>
                <w:rFonts w:cs="Arial"/>
              </w:rPr>
            </w:pPr>
            <w:r>
              <w:rPr>
                <w:rFonts w:cs="Arial"/>
              </w:rPr>
              <w:t>12,484,905</w:t>
            </w:r>
          </w:p>
        </w:tc>
        <w:tc>
          <w:tcPr>
            <w:tcW w:w="1524" w:type="dxa"/>
            <w:tcBorders>
              <w:top w:val="single" w:sz="4" w:space="0" w:color="auto"/>
              <w:left w:val="single" w:sz="4" w:space="0" w:color="auto"/>
              <w:bottom w:val="single" w:sz="4" w:space="0" w:color="auto"/>
              <w:right w:val="single" w:sz="4" w:space="0" w:color="auto"/>
            </w:tcBorders>
          </w:tcPr>
          <w:p w14:paraId="072648F6" w14:textId="1ED35CFA" w:rsidR="00971704" w:rsidRDefault="00971704" w:rsidP="00971704">
            <w:pPr>
              <w:widowControl w:val="0"/>
              <w:tabs>
                <w:tab w:val="left" w:pos="1041"/>
              </w:tabs>
              <w:spacing w:before="0" w:line="240" w:lineRule="auto"/>
              <w:jc w:val="right"/>
              <w:rPr>
                <w:rFonts w:cs="Arial"/>
              </w:rPr>
            </w:pPr>
            <w:r>
              <w:rPr>
                <w:rFonts w:cs="Arial"/>
              </w:rPr>
              <w:t>27,050,628</w:t>
            </w:r>
          </w:p>
        </w:tc>
        <w:tc>
          <w:tcPr>
            <w:tcW w:w="1438" w:type="dxa"/>
            <w:tcBorders>
              <w:top w:val="single" w:sz="4" w:space="0" w:color="auto"/>
              <w:left w:val="single" w:sz="4" w:space="0" w:color="auto"/>
              <w:bottom w:val="single" w:sz="4" w:space="0" w:color="auto"/>
              <w:right w:val="single" w:sz="4" w:space="0" w:color="auto"/>
            </w:tcBorders>
          </w:tcPr>
          <w:p w14:paraId="62C9B64B" w14:textId="2DA2A163" w:rsidR="00971704" w:rsidRDefault="00971704" w:rsidP="00971704">
            <w:pPr>
              <w:widowControl w:val="0"/>
              <w:tabs>
                <w:tab w:val="left" w:pos="1041"/>
              </w:tabs>
              <w:spacing w:before="0" w:line="240" w:lineRule="auto"/>
              <w:jc w:val="right"/>
              <w:rPr>
                <w:rFonts w:cs="Arial"/>
              </w:rPr>
            </w:pPr>
            <w:r>
              <w:rPr>
                <w:rFonts w:cs="Arial"/>
              </w:rPr>
              <w:t>29,131,446</w:t>
            </w:r>
          </w:p>
        </w:tc>
        <w:tc>
          <w:tcPr>
            <w:tcW w:w="1529" w:type="dxa"/>
            <w:tcBorders>
              <w:top w:val="single" w:sz="4" w:space="0" w:color="auto"/>
              <w:left w:val="single" w:sz="4" w:space="0" w:color="auto"/>
              <w:bottom w:val="single" w:sz="4" w:space="0" w:color="auto"/>
              <w:right w:val="single" w:sz="4" w:space="0" w:color="auto"/>
            </w:tcBorders>
          </w:tcPr>
          <w:p w14:paraId="6F634C89" w14:textId="53162024" w:rsidR="00971704" w:rsidRDefault="00971704" w:rsidP="00971704">
            <w:pPr>
              <w:widowControl w:val="0"/>
              <w:tabs>
                <w:tab w:val="left" w:pos="1041"/>
              </w:tabs>
              <w:spacing w:before="0" w:line="240" w:lineRule="auto"/>
              <w:jc w:val="right"/>
              <w:rPr>
                <w:rFonts w:cs="Arial"/>
              </w:rPr>
            </w:pPr>
            <w:r>
              <w:rPr>
                <w:rFonts w:cs="Arial"/>
              </w:rPr>
              <w:t>14,565,723</w:t>
            </w:r>
          </w:p>
        </w:tc>
        <w:tc>
          <w:tcPr>
            <w:tcW w:w="1078" w:type="dxa"/>
            <w:tcBorders>
              <w:top w:val="single" w:sz="4" w:space="0" w:color="auto"/>
              <w:left w:val="single" w:sz="4" w:space="0" w:color="auto"/>
              <w:bottom w:val="single" w:sz="4" w:space="0" w:color="auto"/>
              <w:right w:val="single" w:sz="4" w:space="0" w:color="auto"/>
            </w:tcBorders>
          </w:tcPr>
          <w:p w14:paraId="4F7C162F" w14:textId="12DBE25E" w:rsidR="00971704" w:rsidRDefault="00971704" w:rsidP="00971704">
            <w:pPr>
              <w:widowControl w:val="0"/>
              <w:tabs>
                <w:tab w:val="left" w:pos="1041"/>
              </w:tabs>
              <w:spacing w:before="0" w:line="240" w:lineRule="auto"/>
              <w:jc w:val="right"/>
              <w:rPr>
                <w:rFonts w:cs="Arial"/>
              </w:rPr>
            </w:pPr>
            <w:r>
              <w:rPr>
                <w:rFonts w:cs="Arial"/>
              </w:rPr>
              <w:t>-</w:t>
            </w:r>
          </w:p>
        </w:tc>
        <w:tc>
          <w:tcPr>
            <w:tcW w:w="1558" w:type="dxa"/>
            <w:tcBorders>
              <w:top w:val="single" w:sz="4" w:space="0" w:color="auto"/>
              <w:left w:val="single" w:sz="4" w:space="0" w:color="auto"/>
              <w:bottom w:val="single" w:sz="4" w:space="0" w:color="auto"/>
              <w:right w:val="single" w:sz="4" w:space="0" w:color="auto"/>
            </w:tcBorders>
          </w:tcPr>
          <w:p w14:paraId="666BF0FF" w14:textId="1887E919" w:rsidR="00971704" w:rsidRDefault="00971704" w:rsidP="00971704">
            <w:pPr>
              <w:widowControl w:val="0"/>
              <w:tabs>
                <w:tab w:val="left" w:pos="1041"/>
              </w:tabs>
              <w:spacing w:before="0" w:line="240" w:lineRule="auto"/>
              <w:jc w:val="right"/>
              <w:rPr>
                <w:rFonts w:cs="Arial"/>
              </w:rPr>
            </w:pPr>
            <w:r>
              <w:rPr>
                <w:rFonts w:cs="Arial"/>
              </w:rPr>
              <w:t>83,232,702</w:t>
            </w:r>
          </w:p>
        </w:tc>
      </w:tr>
      <w:tr w:rsidR="00971704" w:rsidRPr="00155714" w14:paraId="1E7F3A50" w14:textId="77777777" w:rsidTr="00971704">
        <w:trPr>
          <w:trHeight w:val="71"/>
          <w:jc w:val="center"/>
        </w:trPr>
        <w:tc>
          <w:tcPr>
            <w:tcW w:w="16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5C3C0C" w14:textId="43BB4F8B" w:rsidR="00971704" w:rsidRDefault="00971704" w:rsidP="00971704">
            <w:pPr>
              <w:widowControl w:val="0"/>
              <w:tabs>
                <w:tab w:val="left" w:pos="1041"/>
              </w:tabs>
              <w:spacing w:before="0" w:line="240" w:lineRule="auto"/>
              <w:rPr>
                <w:rFonts w:cs="Arial"/>
                <w:lang w:val="en-US"/>
              </w:rPr>
            </w:pPr>
            <w:r w:rsidRPr="00863C19">
              <w:rPr>
                <w:rFonts w:cs="Arial"/>
                <w:lang w:val="en-US"/>
              </w:rPr>
              <w:t xml:space="preserve">Annual </w:t>
            </w:r>
            <w:proofErr w:type="spellStart"/>
            <w:r w:rsidRPr="00863C19">
              <w:rPr>
                <w:rFonts w:cs="Arial"/>
                <w:lang w:val="en-US"/>
              </w:rPr>
              <w:t>Therm</w:t>
            </w:r>
            <w:proofErr w:type="spellEnd"/>
            <w:r w:rsidRPr="00863C19">
              <w:rPr>
                <w:rFonts w:cs="Arial"/>
                <w:lang w:val="en-US"/>
              </w:rPr>
              <w:t xml:space="preserve"> Savings (Net)</w:t>
            </w:r>
          </w:p>
        </w:tc>
        <w:tc>
          <w:tcPr>
            <w:tcW w:w="13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78604B" w14:textId="03E76DDA" w:rsidR="00971704" w:rsidRDefault="00971704" w:rsidP="00971704">
            <w:pPr>
              <w:widowControl w:val="0"/>
              <w:tabs>
                <w:tab w:val="left" w:pos="1041"/>
              </w:tabs>
              <w:spacing w:before="0" w:line="240" w:lineRule="auto"/>
              <w:jc w:val="right"/>
              <w:rPr>
                <w:rFonts w:cs="Arial"/>
              </w:rPr>
            </w:pPr>
            <w:r>
              <w:rPr>
                <w:rFonts w:cs="Arial"/>
              </w:rPr>
              <w:t>101,641</w:t>
            </w:r>
          </w:p>
        </w:tc>
        <w:tc>
          <w:tcPr>
            <w:tcW w:w="1524" w:type="dxa"/>
            <w:tcBorders>
              <w:top w:val="single" w:sz="4" w:space="0" w:color="auto"/>
              <w:left w:val="single" w:sz="4" w:space="0" w:color="auto"/>
              <w:bottom w:val="single" w:sz="4" w:space="0" w:color="auto"/>
              <w:right w:val="single" w:sz="4" w:space="0" w:color="auto"/>
            </w:tcBorders>
          </w:tcPr>
          <w:p w14:paraId="4712DF1C" w14:textId="606DFC51" w:rsidR="00971704" w:rsidRDefault="00971704" w:rsidP="00971704">
            <w:pPr>
              <w:widowControl w:val="0"/>
              <w:tabs>
                <w:tab w:val="left" w:pos="1041"/>
              </w:tabs>
              <w:spacing w:before="0" w:line="240" w:lineRule="auto"/>
              <w:jc w:val="right"/>
              <w:rPr>
                <w:rFonts w:cs="Arial"/>
              </w:rPr>
            </w:pPr>
            <w:r>
              <w:rPr>
                <w:rFonts w:cs="Arial"/>
              </w:rPr>
              <w:t>220,222</w:t>
            </w:r>
          </w:p>
        </w:tc>
        <w:tc>
          <w:tcPr>
            <w:tcW w:w="1438" w:type="dxa"/>
            <w:tcBorders>
              <w:top w:val="single" w:sz="4" w:space="0" w:color="auto"/>
              <w:left w:val="single" w:sz="4" w:space="0" w:color="auto"/>
              <w:bottom w:val="single" w:sz="4" w:space="0" w:color="auto"/>
              <w:right w:val="single" w:sz="4" w:space="0" w:color="auto"/>
            </w:tcBorders>
          </w:tcPr>
          <w:p w14:paraId="3A06020D" w14:textId="76758B23" w:rsidR="00971704" w:rsidRDefault="00971704" w:rsidP="00971704">
            <w:pPr>
              <w:widowControl w:val="0"/>
              <w:tabs>
                <w:tab w:val="left" w:pos="1041"/>
              </w:tabs>
              <w:spacing w:before="0" w:line="240" w:lineRule="auto"/>
              <w:jc w:val="right"/>
              <w:rPr>
                <w:rFonts w:cs="Arial"/>
              </w:rPr>
            </w:pPr>
            <w:r>
              <w:rPr>
                <w:rFonts w:cs="Arial"/>
              </w:rPr>
              <w:t>237,163</w:t>
            </w:r>
          </w:p>
        </w:tc>
        <w:tc>
          <w:tcPr>
            <w:tcW w:w="1529" w:type="dxa"/>
            <w:tcBorders>
              <w:top w:val="single" w:sz="4" w:space="0" w:color="auto"/>
              <w:left w:val="single" w:sz="4" w:space="0" w:color="auto"/>
              <w:bottom w:val="single" w:sz="4" w:space="0" w:color="auto"/>
              <w:right w:val="single" w:sz="4" w:space="0" w:color="auto"/>
            </w:tcBorders>
          </w:tcPr>
          <w:p w14:paraId="13896E23" w14:textId="1667A425" w:rsidR="00971704" w:rsidRDefault="00971704" w:rsidP="00971704">
            <w:pPr>
              <w:widowControl w:val="0"/>
              <w:tabs>
                <w:tab w:val="left" w:pos="1041"/>
              </w:tabs>
              <w:spacing w:before="0" w:line="240" w:lineRule="auto"/>
              <w:jc w:val="right"/>
              <w:rPr>
                <w:rFonts w:cs="Arial"/>
              </w:rPr>
            </w:pPr>
            <w:r>
              <w:rPr>
                <w:rFonts w:cs="Arial"/>
              </w:rPr>
              <w:t>118,581</w:t>
            </w:r>
          </w:p>
        </w:tc>
        <w:tc>
          <w:tcPr>
            <w:tcW w:w="1078" w:type="dxa"/>
            <w:tcBorders>
              <w:top w:val="single" w:sz="4" w:space="0" w:color="auto"/>
              <w:left w:val="single" w:sz="4" w:space="0" w:color="auto"/>
              <w:bottom w:val="single" w:sz="4" w:space="0" w:color="auto"/>
              <w:right w:val="single" w:sz="4" w:space="0" w:color="auto"/>
            </w:tcBorders>
          </w:tcPr>
          <w:p w14:paraId="1A52FE26" w14:textId="2110DE9C" w:rsidR="00971704" w:rsidRDefault="00971704" w:rsidP="00971704">
            <w:pPr>
              <w:widowControl w:val="0"/>
              <w:tabs>
                <w:tab w:val="left" w:pos="1041"/>
              </w:tabs>
              <w:spacing w:before="0" w:line="240" w:lineRule="auto"/>
              <w:jc w:val="right"/>
              <w:rPr>
                <w:rFonts w:cs="Arial"/>
              </w:rPr>
            </w:pPr>
            <w:r>
              <w:rPr>
                <w:rFonts w:cs="Arial"/>
              </w:rPr>
              <w:t>-</w:t>
            </w:r>
          </w:p>
        </w:tc>
        <w:tc>
          <w:tcPr>
            <w:tcW w:w="1558" w:type="dxa"/>
            <w:tcBorders>
              <w:top w:val="single" w:sz="4" w:space="0" w:color="auto"/>
              <w:left w:val="single" w:sz="4" w:space="0" w:color="auto"/>
              <w:bottom w:val="single" w:sz="4" w:space="0" w:color="auto"/>
              <w:right w:val="single" w:sz="4" w:space="0" w:color="auto"/>
            </w:tcBorders>
          </w:tcPr>
          <w:p w14:paraId="7CECAB94" w14:textId="1F38BEDF" w:rsidR="00971704" w:rsidRDefault="00971704" w:rsidP="00971704">
            <w:pPr>
              <w:widowControl w:val="0"/>
              <w:tabs>
                <w:tab w:val="left" w:pos="1041"/>
              </w:tabs>
              <w:spacing w:before="0" w:line="240" w:lineRule="auto"/>
              <w:jc w:val="right"/>
              <w:rPr>
                <w:rFonts w:cs="Arial"/>
              </w:rPr>
            </w:pPr>
            <w:r>
              <w:rPr>
                <w:rFonts w:cs="Arial"/>
              </w:rPr>
              <w:t>677,607</w:t>
            </w:r>
          </w:p>
        </w:tc>
      </w:tr>
    </w:tbl>
    <w:p w14:paraId="1F45DC84" w14:textId="77777777" w:rsidR="00612AA5" w:rsidRDefault="00612AA5" w:rsidP="00612AA5">
      <w:pPr>
        <w:widowControl w:val="0"/>
        <w:tabs>
          <w:tab w:val="left" w:pos="90"/>
          <w:tab w:val="left" w:pos="360"/>
          <w:tab w:val="left" w:pos="1041"/>
        </w:tabs>
        <w:spacing w:before="20"/>
        <w:rPr>
          <w:rFonts w:cs="Arial"/>
          <w:b/>
          <w:u w:val="single"/>
          <w:lang w:val="en-US"/>
        </w:rPr>
      </w:pPr>
    </w:p>
    <w:p w14:paraId="6297A33E" w14:textId="77777777" w:rsidR="00612AA5" w:rsidRPr="00C3692E" w:rsidRDefault="00612AA5" w:rsidP="00612AA5">
      <w:pPr>
        <w:widowControl w:val="0"/>
        <w:tabs>
          <w:tab w:val="left" w:pos="90"/>
          <w:tab w:val="left" w:pos="360"/>
          <w:tab w:val="left" w:pos="1041"/>
        </w:tabs>
        <w:spacing w:before="20"/>
        <w:rPr>
          <w:rFonts w:cs="Arial"/>
          <w:b/>
          <w:bCs/>
        </w:rPr>
      </w:pPr>
      <w:r w:rsidRPr="00C3692E">
        <w:rPr>
          <w:rFonts w:cs="Arial"/>
          <w:b/>
          <w:bCs/>
        </w:rPr>
        <w:t>Residential Sub-Program</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616"/>
        <w:gridCol w:w="1354"/>
        <w:gridCol w:w="1524"/>
        <w:gridCol w:w="1438"/>
        <w:gridCol w:w="1528"/>
        <w:gridCol w:w="1079"/>
        <w:gridCol w:w="1557"/>
      </w:tblGrid>
      <w:tr w:rsidR="00612AA5" w:rsidRPr="00155714" w14:paraId="0C090579" w14:textId="77777777" w:rsidTr="003669AA">
        <w:trPr>
          <w:trHeight w:val="87"/>
          <w:jc w:val="center"/>
        </w:trPr>
        <w:tc>
          <w:tcPr>
            <w:tcW w:w="1616" w:type="dxa"/>
            <w:tcBorders>
              <w:top w:val="single" w:sz="4" w:space="0" w:color="auto"/>
              <w:left w:val="single" w:sz="4" w:space="0" w:color="auto"/>
              <w:bottom w:val="single" w:sz="4" w:space="0" w:color="auto"/>
              <w:right w:val="single" w:sz="4" w:space="0" w:color="auto"/>
            </w:tcBorders>
            <w:shd w:val="clear" w:color="auto" w:fill="008080"/>
            <w:tcMar>
              <w:top w:w="100" w:type="dxa"/>
              <w:left w:w="100" w:type="dxa"/>
              <w:bottom w:w="100" w:type="dxa"/>
              <w:right w:w="100" w:type="dxa"/>
            </w:tcMar>
          </w:tcPr>
          <w:p w14:paraId="1D041607" w14:textId="77777777" w:rsidR="00612AA5" w:rsidRPr="007B19EB" w:rsidRDefault="00612AA5">
            <w:pPr>
              <w:widowControl w:val="0"/>
              <w:spacing w:before="0" w:line="240" w:lineRule="auto"/>
              <w:jc w:val="center"/>
              <w:rPr>
                <w:rFonts w:cs="Arial"/>
                <w:b/>
                <w:color w:val="FFFFFF" w:themeColor="background1"/>
              </w:rPr>
            </w:pPr>
            <w:r w:rsidRPr="007B19EB">
              <w:rPr>
                <w:rFonts w:cs="Arial"/>
                <w:b/>
                <w:color w:val="FFFFFF" w:themeColor="background1"/>
              </w:rPr>
              <w:t>Year</w:t>
            </w:r>
          </w:p>
        </w:tc>
        <w:tc>
          <w:tcPr>
            <w:tcW w:w="1354" w:type="dxa"/>
            <w:tcBorders>
              <w:top w:val="single" w:sz="4" w:space="0" w:color="auto"/>
              <w:left w:val="single" w:sz="4" w:space="0" w:color="auto"/>
              <w:bottom w:val="single" w:sz="4" w:space="0" w:color="auto"/>
              <w:right w:val="single" w:sz="4" w:space="0" w:color="auto"/>
            </w:tcBorders>
            <w:shd w:val="clear" w:color="auto" w:fill="008080"/>
            <w:tcMar>
              <w:top w:w="100" w:type="dxa"/>
              <w:left w:w="100" w:type="dxa"/>
              <w:bottom w:w="100" w:type="dxa"/>
              <w:right w:w="100" w:type="dxa"/>
            </w:tcMar>
          </w:tcPr>
          <w:p w14:paraId="40CDCCEE" w14:textId="77777777" w:rsidR="00612AA5" w:rsidRPr="007B19EB" w:rsidRDefault="00612AA5">
            <w:pPr>
              <w:widowControl w:val="0"/>
              <w:tabs>
                <w:tab w:val="left" w:pos="1041"/>
              </w:tabs>
              <w:spacing w:before="0" w:line="240" w:lineRule="auto"/>
              <w:jc w:val="right"/>
              <w:rPr>
                <w:rFonts w:cs="Arial"/>
                <w:b/>
                <w:color w:val="FFFFFF" w:themeColor="background1"/>
              </w:rPr>
            </w:pPr>
            <w:r w:rsidRPr="007B19EB">
              <w:rPr>
                <w:rFonts w:cs="Arial"/>
                <w:b/>
                <w:color w:val="FFFFFF" w:themeColor="background1"/>
              </w:rPr>
              <w:t>2024</w:t>
            </w:r>
          </w:p>
        </w:tc>
        <w:tc>
          <w:tcPr>
            <w:tcW w:w="1524" w:type="dxa"/>
            <w:tcBorders>
              <w:top w:val="single" w:sz="4" w:space="0" w:color="auto"/>
              <w:left w:val="single" w:sz="4" w:space="0" w:color="auto"/>
              <w:bottom w:val="single" w:sz="4" w:space="0" w:color="auto"/>
              <w:right w:val="single" w:sz="4" w:space="0" w:color="auto"/>
            </w:tcBorders>
            <w:shd w:val="clear" w:color="auto" w:fill="008080"/>
          </w:tcPr>
          <w:p w14:paraId="323B9DC1" w14:textId="77777777" w:rsidR="00612AA5" w:rsidRPr="007B19EB" w:rsidRDefault="00612AA5">
            <w:pPr>
              <w:widowControl w:val="0"/>
              <w:tabs>
                <w:tab w:val="left" w:pos="1041"/>
              </w:tabs>
              <w:spacing w:before="0" w:line="240" w:lineRule="auto"/>
              <w:jc w:val="right"/>
              <w:rPr>
                <w:rFonts w:cs="Arial"/>
                <w:b/>
                <w:color w:val="FFFFFF" w:themeColor="background1"/>
              </w:rPr>
            </w:pPr>
            <w:r w:rsidRPr="007B19EB">
              <w:rPr>
                <w:rFonts w:cs="Arial"/>
                <w:b/>
                <w:color w:val="FFFFFF" w:themeColor="background1"/>
              </w:rPr>
              <w:t>2025</w:t>
            </w:r>
          </w:p>
        </w:tc>
        <w:tc>
          <w:tcPr>
            <w:tcW w:w="1438" w:type="dxa"/>
            <w:tcBorders>
              <w:top w:val="single" w:sz="4" w:space="0" w:color="auto"/>
              <w:left w:val="single" w:sz="4" w:space="0" w:color="auto"/>
              <w:bottom w:val="single" w:sz="4" w:space="0" w:color="auto"/>
              <w:right w:val="single" w:sz="4" w:space="0" w:color="auto"/>
            </w:tcBorders>
            <w:shd w:val="clear" w:color="auto" w:fill="008080"/>
          </w:tcPr>
          <w:p w14:paraId="341FC00B" w14:textId="77777777" w:rsidR="00612AA5" w:rsidRPr="007B19EB" w:rsidRDefault="00612AA5">
            <w:pPr>
              <w:widowControl w:val="0"/>
              <w:tabs>
                <w:tab w:val="left" w:pos="1041"/>
              </w:tabs>
              <w:spacing w:before="0" w:line="240" w:lineRule="auto"/>
              <w:jc w:val="right"/>
              <w:rPr>
                <w:rFonts w:cs="Arial"/>
                <w:b/>
                <w:color w:val="FFFFFF" w:themeColor="background1"/>
              </w:rPr>
            </w:pPr>
            <w:r w:rsidRPr="007B19EB">
              <w:rPr>
                <w:rFonts w:cs="Arial"/>
                <w:b/>
                <w:color w:val="FFFFFF" w:themeColor="background1"/>
              </w:rPr>
              <w:t>2026</w:t>
            </w:r>
          </w:p>
        </w:tc>
        <w:tc>
          <w:tcPr>
            <w:tcW w:w="1528" w:type="dxa"/>
            <w:tcBorders>
              <w:top w:val="single" w:sz="4" w:space="0" w:color="auto"/>
              <w:left w:val="single" w:sz="4" w:space="0" w:color="auto"/>
              <w:bottom w:val="single" w:sz="4" w:space="0" w:color="auto"/>
              <w:right w:val="single" w:sz="4" w:space="0" w:color="auto"/>
            </w:tcBorders>
            <w:shd w:val="clear" w:color="auto" w:fill="008080"/>
          </w:tcPr>
          <w:p w14:paraId="4117320C" w14:textId="77777777" w:rsidR="00612AA5" w:rsidRPr="007B19EB" w:rsidRDefault="00612AA5">
            <w:pPr>
              <w:widowControl w:val="0"/>
              <w:tabs>
                <w:tab w:val="left" w:pos="1041"/>
              </w:tabs>
              <w:spacing w:before="0" w:line="240" w:lineRule="auto"/>
              <w:jc w:val="right"/>
              <w:rPr>
                <w:rFonts w:cs="Arial"/>
                <w:b/>
                <w:color w:val="FFFFFF" w:themeColor="background1"/>
              </w:rPr>
            </w:pPr>
            <w:r w:rsidRPr="007B19EB">
              <w:rPr>
                <w:rFonts w:cs="Arial"/>
                <w:b/>
                <w:color w:val="FFFFFF" w:themeColor="background1"/>
              </w:rPr>
              <w:t>2027</w:t>
            </w:r>
          </w:p>
        </w:tc>
        <w:tc>
          <w:tcPr>
            <w:tcW w:w="1079" w:type="dxa"/>
            <w:tcBorders>
              <w:top w:val="single" w:sz="4" w:space="0" w:color="auto"/>
              <w:left w:val="single" w:sz="4" w:space="0" w:color="auto"/>
              <w:bottom w:val="single" w:sz="4" w:space="0" w:color="auto"/>
              <w:right w:val="single" w:sz="4" w:space="0" w:color="auto"/>
            </w:tcBorders>
            <w:shd w:val="clear" w:color="auto" w:fill="008080"/>
          </w:tcPr>
          <w:p w14:paraId="31E7DE36" w14:textId="77777777" w:rsidR="00612AA5" w:rsidRPr="007B19EB" w:rsidRDefault="00612AA5">
            <w:pPr>
              <w:widowControl w:val="0"/>
              <w:tabs>
                <w:tab w:val="left" w:pos="1041"/>
              </w:tabs>
              <w:spacing w:before="0" w:line="240" w:lineRule="auto"/>
              <w:jc w:val="right"/>
              <w:rPr>
                <w:rFonts w:cs="Arial"/>
                <w:b/>
                <w:color w:val="FFFFFF" w:themeColor="background1"/>
              </w:rPr>
            </w:pPr>
            <w:r w:rsidRPr="007B19EB">
              <w:rPr>
                <w:rFonts w:cs="Arial"/>
                <w:b/>
                <w:color w:val="FFFFFF" w:themeColor="background1"/>
              </w:rPr>
              <w:t>2028</w:t>
            </w:r>
          </w:p>
        </w:tc>
        <w:tc>
          <w:tcPr>
            <w:tcW w:w="1557" w:type="dxa"/>
            <w:tcBorders>
              <w:top w:val="single" w:sz="4" w:space="0" w:color="auto"/>
              <w:left w:val="single" w:sz="4" w:space="0" w:color="auto"/>
              <w:bottom w:val="single" w:sz="4" w:space="0" w:color="auto"/>
              <w:right w:val="single" w:sz="4" w:space="0" w:color="auto"/>
            </w:tcBorders>
            <w:shd w:val="clear" w:color="auto" w:fill="008080"/>
          </w:tcPr>
          <w:p w14:paraId="27448E04" w14:textId="77777777" w:rsidR="00612AA5" w:rsidRPr="007B19EB" w:rsidRDefault="00612AA5">
            <w:pPr>
              <w:widowControl w:val="0"/>
              <w:tabs>
                <w:tab w:val="left" w:pos="1041"/>
              </w:tabs>
              <w:spacing w:before="0" w:line="240" w:lineRule="auto"/>
              <w:jc w:val="right"/>
              <w:rPr>
                <w:rFonts w:cs="Arial"/>
                <w:b/>
                <w:color w:val="FFFFFF" w:themeColor="background1"/>
              </w:rPr>
            </w:pPr>
            <w:r w:rsidRPr="007B19EB">
              <w:rPr>
                <w:rFonts w:cs="Arial"/>
                <w:b/>
                <w:color w:val="FFFFFF" w:themeColor="background1"/>
              </w:rPr>
              <w:t>Program Total</w:t>
            </w:r>
          </w:p>
        </w:tc>
      </w:tr>
      <w:tr w:rsidR="003669AA" w:rsidRPr="00155714" w14:paraId="15221CE8" w14:textId="77777777" w:rsidTr="003669AA">
        <w:trPr>
          <w:trHeight w:val="71"/>
          <w:jc w:val="center"/>
        </w:trPr>
        <w:tc>
          <w:tcPr>
            <w:tcW w:w="16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23BA83" w14:textId="07F4AAB7" w:rsidR="003669AA" w:rsidRPr="00155714" w:rsidRDefault="003669AA" w:rsidP="003669AA">
            <w:pPr>
              <w:widowControl w:val="0"/>
              <w:tabs>
                <w:tab w:val="left" w:pos="1041"/>
              </w:tabs>
              <w:spacing w:before="0" w:line="240" w:lineRule="auto"/>
              <w:rPr>
                <w:rFonts w:cs="Arial"/>
              </w:rPr>
            </w:pPr>
            <w:r>
              <w:rPr>
                <w:rFonts w:cs="Arial"/>
              </w:rPr>
              <w:t>Lifecycle</w:t>
            </w:r>
            <w:r w:rsidRPr="00155714">
              <w:rPr>
                <w:rFonts w:cs="Arial"/>
              </w:rPr>
              <w:t xml:space="preserve"> </w:t>
            </w:r>
            <w:r>
              <w:rPr>
                <w:rFonts w:cs="Arial"/>
              </w:rPr>
              <w:t>Summer Peak kW</w:t>
            </w:r>
            <w:r w:rsidRPr="00155714">
              <w:rPr>
                <w:rFonts w:cs="Arial"/>
              </w:rPr>
              <w:t xml:space="preserve"> Savings (kW) (</w:t>
            </w:r>
            <w:r>
              <w:rPr>
                <w:rFonts w:cs="Arial"/>
              </w:rPr>
              <w:t>Net</w:t>
            </w:r>
            <w:r w:rsidRPr="00155714">
              <w:rPr>
                <w:rFonts w:cs="Arial"/>
              </w:rPr>
              <w:t>)</w:t>
            </w:r>
          </w:p>
        </w:tc>
        <w:tc>
          <w:tcPr>
            <w:tcW w:w="13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B71F56" w14:textId="27F4A4C4" w:rsidR="003669AA" w:rsidRPr="00155714" w:rsidRDefault="003669AA" w:rsidP="003669AA">
            <w:pPr>
              <w:widowControl w:val="0"/>
              <w:tabs>
                <w:tab w:val="left" w:pos="1041"/>
              </w:tabs>
              <w:spacing w:before="0" w:line="240" w:lineRule="auto"/>
              <w:jc w:val="right"/>
              <w:rPr>
                <w:rFonts w:cs="Arial"/>
              </w:rPr>
            </w:pPr>
            <w:r w:rsidRPr="005B5841">
              <w:t xml:space="preserve"> -   </w:t>
            </w:r>
          </w:p>
        </w:tc>
        <w:tc>
          <w:tcPr>
            <w:tcW w:w="1524" w:type="dxa"/>
            <w:tcBorders>
              <w:top w:val="single" w:sz="4" w:space="0" w:color="auto"/>
              <w:left w:val="single" w:sz="4" w:space="0" w:color="auto"/>
              <w:bottom w:val="single" w:sz="4" w:space="0" w:color="auto"/>
              <w:right w:val="single" w:sz="4" w:space="0" w:color="auto"/>
            </w:tcBorders>
          </w:tcPr>
          <w:p w14:paraId="263A07BA" w14:textId="6F61AEFE" w:rsidR="003669AA" w:rsidRPr="00155714" w:rsidRDefault="003669AA" w:rsidP="003669AA">
            <w:pPr>
              <w:widowControl w:val="0"/>
              <w:tabs>
                <w:tab w:val="left" w:pos="1041"/>
              </w:tabs>
              <w:spacing w:before="0" w:line="240" w:lineRule="auto"/>
              <w:jc w:val="right"/>
              <w:rPr>
                <w:rFonts w:cs="Arial"/>
              </w:rPr>
            </w:pPr>
            <w:r w:rsidRPr="005B5841">
              <w:t xml:space="preserve"> 889 </w:t>
            </w:r>
          </w:p>
        </w:tc>
        <w:tc>
          <w:tcPr>
            <w:tcW w:w="1438" w:type="dxa"/>
            <w:tcBorders>
              <w:top w:val="single" w:sz="4" w:space="0" w:color="auto"/>
              <w:left w:val="single" w:sz="4" w:space="0" w:color="auto"/>
              <w:bottom w:val="single" w:sz="4" w:space="0" w:color="auto"/>
              <w:right w:val="single" w:sz="4" w:space="0" w:color="auto"/>
            </w:tcBorders>
          </w:tcPr>
          <w:p w14:paraId="1B472A1D" w14:textId="11834488" w:rsidR="003669AA" w:rsidDel="00F63729" w:rsidRDefault="003669AA" w:rsidP="003669AA">
            <w:pPr>
              <w:widowControl w:val="0"/>
              <w:tabs>
                <w:tab w:val="left" w:pos="1041"/>
              </w:tabs>
              <w:spacing w:before="0" w:line="240" w:lineRule="auto"/>
              <w:jc w:val="right"/>
              <w:rPr>
                <w:rFonts w:cs="Arial"/>
              </w:rPr>
            </w:pPr>
            <w:r w:rsidRPr="005B5841">
              <w:t xml:space="preserve"> 1,109 </w:t>
            </w:r>
          </w:p>
        </w:tc>
        <w:tc>
          <w:tcPr>
            <w:tcW w:w="1528" w:type="dxa"/>
            <w:tcBorders>
              <w:top w:val="single" w:sz="4" w:space="0" w:color="auto"/>
              <w:left w:val="single" w:sz="4" w:space="0" w:color="auto"/>
              <w:bottom w:val="single" w:sz="4" w:space="0" w:color="auto"/>
              <w:right w:val="single" w:sz="4" w:space="0" w:color="auto"/>
            </w:tcBorders>
          </w:tcPr>
          <w:p w14:paraId="14274F36" w14:textId="73E8CB6D" w:rsidR="003669AA" w:rsidDel="00F63729" w:rsidRDefault="003669AA" w:rsidP="003669AA">
            <w:pPr>
              <w:widowControl w:val="0"/>
              <w:tabs>
                <w:tab w:val="left" w:pos="1041"/>
              </w:tabs>
              <w:spacing w:before="0" w:line="240" w:lineRule="auto"/>
              <w:jc w:val="right"/>
              <w:rPr>
                <w:rFonts w:cs="Arial"/>
              </w:rPr>
            </w:pPr>
            <w:r w:rsidRPr="005B5841">
              <w:t xml:space="preserve"> 967 </w:t>
            </w:r>
          </w:p>
        </w:tc>
        <w:tc>
          <w:tcPr>
            <w:tcW w:w="1079" w:type="dxa"/>
            <w:tcBorders>
              <w:top w:val="single" w:sz="4" w:space="0" w:color="auto"/>
              <w:left w:val="single" w:sz="4" w:space="0" w:color="auto"/>
              <w:bottom w:val="single" w:sz="4" w:space="0" w:color="auto"/>
              <w:right w:val="single" w:sz="4" w:space="0" w:color="auto"/>
            </w:tcBorders>
          </w:tcPr>
          <w:p w14:paraId="431698B1" w14:textId="44D11360" w:rsidR="003669AA" w:rsidDel="00F63729" w:rsidRDefault="003669AA" w:rsidP="003669AA">
            <w:pPr>
              <w:widowControl w:val="0"/>
              <w:tabs>
                <w:tab w:val="left" w:pos="1041"/>
              </w:tabs>
              <w:spacing w:before="0" w:line="240" w:lineRule="auto"/>
              <w:jc w:val="right"/>
              <w:rPr>
                <w:rFonts w:cs="Arial"/>
              </w:rPr>
            </w:pPr>
            <w:r w:rsidRPr="005B5841">
              <w:t xml:space="preserve"> -   </w:t>
            </w:r>
          </w:p>
        </w:tc>
        <w:tc>
          <w:tcPr>
            <w:tcW w:w="1557" w:type="dxa"/>
            <w:tcBorders>
              <w:top w:val="single" w:sz="4" w:space="0" w:color="auto"/>
              <w:left w:val="single" w:sz="4" w:space="0" w:color="auto"/>
              <w:bottom w:val="single" w:sz="4" w:space="0" w:color="auto"/>
              <w:right w:val="single" w:sz="4" w:space="0" w:color="auto"/>
            </w:tcBorders>
          </w:tcPr>
          <w:p w14:paraId="54ECA27B" w14:textId="5646AB4D" w:rsidR="003669AA" w:rsidDel="00F63729" w:rsidRDefault="003669AA" w:rsidP="003669AA">
            <w:pPr>
              <w:widowControl w:val="0"/>
              <w:tabs>
                <w:tab w:val="left" w:pos="1041"/>
              </w:tabs>
              <w:spacing w:before="0" w:line="240" w:lineRule="auto"/>
              <w:jc w:val="right"/>
              <w:rPr>
                <w:rFonts w:cs="Arial"/>
              </w:rPr>
            </w:pPr>
            <w:r w:rsidRPr="005B5841">
              <w:t xml:space="preserve"> </w:t>
            </w:r>
            <w:r w:rsidR="004F2E1C" w:rsidRPr="004F2E1C">
              <w:t xml:space="preserve"> 2,965</w:t>
            </w:r>
            <w:r w:rsidRPr="005B5841">
              <w:t xml:space="preserve">   </w:t>
            </w:r>
          </w:p>
        </w:tc>
      </w:tr>
      <w:tr w:rsidR="004F2E1C" w:rsidRPr="00155714" w14:paraId="1D0237DD" w14:textId="77777777" w:rsidTr="003669AA">
        <w:trPr>
          <w:trHeight w:val="71"/>
          <w:jc w:val="center"/>
        </w:trPr>
        <w:tc>
          <w:tcPr>
            <w:tcW w:w="16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BBAA0D" w14:textId="77777777" w:rsidR="004F2E1C" w:rsidRPr="00155714" w:rsidRDefault="004F2E1C" w:rsidP="004F2E1C">
            <w:pPr>
              <w:widowControl w:val="0"/>
              <w:tabs>
                <w:tab w:val="left" w:pos="1041"/>
              </w:tabs>
              <w:spacing w:before="0" w:line="240" w:lineRule="auto"/>
              <w:rPr>
                <w:rFonts w:cs="Arial"/>
              </w:rPr>
            </w:pPr>
            <w:r w:rsidRPr="00155714">
              <w:rPr>
                <w:rFonts w:cs="Arial"/>
              </w:rPr>
              <w:t>Program TSB ($)</w:t>
            </w:r>
          </w:p>
        </w:tc>
        <w:tc>
          <w:tcPr>
            <w:tcW w:w="13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779049" w14:textId="6D0DC040" w:rsidR="004F2E1C" w:rsidRPr="00155714" w:rsidRDefault="004F2E1C" w:rsidP="004F2E1C">
            <w:pPr>
              <w:widowControl w:val="0"/>
              <w:tabs>
                <w:tab w:val="left" w:pos="1041"/>
              </w:tabs>
              <w:spacing w:before="0" w:line="240" w:lineRule="auto"/>
              <w:jc w:val="right"/>
              <w:rPr>
                <w:rFonts w:cs="Arial"/>
              </w:rPr>
            </w:pPr>
            <w:r w:rsidRPr="00532F4D">
              <w:t xml:space="preserve"> $198,489 </w:t>
            </w:r>
          </w:p>
        </w:tc>
        <w:tc>
          <w:tcPr>
            <w:tcW w:w="1524" w:type="dxa"/>
            <w:tcBorders>
              <w:top w:val="single" w:sz="4" w:space="0" w:color="auto"/>
              <w:left w:val="single" w:sz="4" w:space="0" w:color="auto"/>
              <w:bottom w:val="single" w:sz="4" w:space="0" w:color="auto"/>
              <w:right w:val="single" w:sz="4" w:space="0" w:color="auto"/>
            </w:tcBorders>
          </w:tcPr>
          <w:p w14:paraId="2FE71903" w14:textId="439550DC" w:rsidR="004F2E1C" w:rsidRPr="00155714" w:rsidRDefault="004F2E1C" w:rsidP="004F2E1C">
            <w:pPr>
              <w:widowControl w:val="0"/>
              <w:tabs>
                <w:tab w:val="left" w:pos="1041"/>
              </w:tabs>
              <w:spacing w:before="0" w:line="240" w:lineRule="auto"/>
              <w:jc w:val="right"/>
              <w:rPr>
                <w:rFonts w:cs="Arial"/>
              </w:rPr>
            </w:pPr>
            <w:r w:rsidRPr="00532F4D">
              <w:t xml:space="preserve"> $726,019 </w:t>
            </w:r>
          </w:p>
        </w:tc>
        <w:tc>
          <w:tcPr>
            <w:tcW w:w="1438" w:type="dxa"/>
            <w:tcBorders>
              <w:top w:val="single" w:sz="4" w:space="0" w:color="auto"/>
              <w:left w:val="single" w:sz="4" w:space="0" w:color="auto"/>
              <w:bottom w:val="single" w:sz="4" w:space="0" w:color="auto"/>
              <w:right w:val="single" w:sz="4" w:space="0" w:color="auto"/>
            </w:tcBorders>
          </w:tcPr>
          <w:p w14:paraId="4FB74F6C" w14:textId="524BDA44" w:rsidR="004F2E1C" w:rsidRDefault="004F2E1C" w:rsidP="004F2E1C">
            <w:pPr>
              <w:widowControl w:val="0"/>
              <w:tabs>
                <w:tab w:val="left" w:pos="1041"/>
              </w:tabs>
              <w:spacing w:before="0" w:line="240" w:lineRule="auto"/>
              <w:jc w:val="right"/>
              <w:rPr>
                <w:rFonts w:cs="Arial"/>
              </w:rPr>
            </w:pPr>
            <w:r w:rsidRPr="00532F4D">
              <w:t xml:space="preserve"> $790,067 </w:t>
            </w:r>
          </w:p>
        </w:tc>
        <w:tc>
          <w:tcPr>
            <w:tcW w:w="1528" w:type="dxa"/>
            <w:tcBorders>
              <w:top w:val="single" w:sz="4" w:space="0" w:color="auto"/>
              <w:left w:val="single" w:sz="4" w:space="0" w:color="auto"/>
              <w:bottom w:val="single" w:sz="4" w:space="0" w:color="auto"/>
              <w:right w:val="single" w:sz="4" w:space="0" w:color="auto"/>
            </w:tcBorders>
          </w:tcPr>
          <w:p w14:paraId="466EB914" w14:textId="43015472" w:rsidR="004F2E1C" w:rsidRDefault="004F2E1C" w:rsidP="004F2E1C">
            <w:pPr>
              <w:widowControl w:val="0"/>
              <w:tabs>
                <w:tab w:val="left" w:pos="1041"/>
              </w:tabs>
              <w:spacing w:before="0" w:line="240" w:lineRule="auto"/>
              <w:jc w:val="right"/>
              <w:rPr>
                <w:rFonts w:cs="Arial"/>
              </w:rPr>
            </w:pPr>
            <w:r w:rsidRPr="00532F4D">
              <w:t xml:space="preserve"> $533,530 </w:t>
            </w:r>
          </w:p>
        </w:tc>
        <w:tc>
          <w:tcPr>
            <w:tcW w:w="1079" w:type="dxa"/>
            <w:tcBorders>
              <w:top w:val="single" w:sz="4" w:space="0" w:color="auto"/>
              <w:left w:val="single" w:sz="4" w:space="0" w:color="auto"/>
              <w:bottom w:val="single" w:sz="4" w:space="0" w:color="auto"/>
              <w:right w:val="single" w:sz="4" w:space="0" w:color="auto"/>
            </w:tcBorders>
          </w:tcPr>
          <w:p w14:paraId="20BEFBC0" w14:textId="5238EA14" w:rsidR="004F2E1C" w:rsidRDefault="004F2E1C" w:rsidP="004F2E1C">
            <w:pPr>
              <w:widowControl w:val="0"/>
              <w:tabs>
                <w:tab w:val="left" w:pos="1041"/>
              </w:tabs>
              <w:spacing w:before="0" w:line="240" w:lineRule="auto"/>
              <w:jc w:val="right"/>
              <w:rPr>
                <w:rFonts w:cs="Arial"/>
              </w:rPr>
            </w:pPr>
            <w:r w:rsidRPr="00532F4D">
              <w:t xml:space="preserve"> -   </w:t>
            </w:r>
          </w:p>
        </w:tc>
        <w:tc>
          <w:tcPr>
            <w:tcW w:w="1557" w:type="dxa"/>
            <w:tcBorders>
              <w:top w:val="single" w:sz="4" w:space="0" w:color="auto"/>
              <w:left w:val="single" w:sz="4" w:space="0" w:color="auto"/>
              <w:bottom w:val="single" w:sz="4" w:space="0" w:color="auto"/>
              <w:right w:val="single" w:sz="4" w:space="0" w:color="auto"/>
            </w:tcBorders>
          </w:tcPr>
          <w:p w14:paraId="59CCB32A" w14:textId="27F2A822" w:rsidR="004F2E1C" w:rsidRDefault="004F2E1C" w:rsidP="004F2E1C">
            <w:pPr>
              <w:widowControl w:val="0"/>
              <w:tabs>
                <w:tab w:val="left" w:pos="1041"/>
              </w:tabs>
              <w:spacing w:before="0" w:line="240" w:lineRule="auto"/>
              <w:jc w:val="right"/>
              <w:rPr>
                <w:rFonts w:cs="Arial"/>
              </w:rPr>
            </w:pPr>
            <w:r w:rsidRPr="00532F4D">
              <w:t xml:space="preserve"> $2,248,105 </w:t>
            </w:r>
          </w:p>
        </w:tc>
      </w:tr>
      <w:tr w:rsidR="00A0711A" w:rsidRPr="00155714" w14:paraId="5F140C38" w14:textId="77777777" w:rsidTr="003669AA">
        <w:trPr>
          <w:trHeight w:val="71"/>
          <w:jc w:val="center"/>
        </w:trPr>
        <w:tc>
          <w:tcPr>
            <w:tcW w:w="16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25D872" w14:textId="77777777" w:rsidR="00A0711A" w:rsidRDefault="00A0711A" w:rsidP="00A0711A">
            <w:pPr>
              <w:widowControl w:val="0"/>
              <w:tabs>
                <w:tab w:val="left" w:pos="1041"/>
              </w:tabs>
              <w:spacing w:before="0" w:line="240" w:lineRule="auto"/>
              <w:rPr>
                <w:rFonts w:cs="Arial"/>
              </w:rPr>
            </w:pPr>
            <w:r w:rsidRPr="00155714">
              <w:rPr>
                <w:rFonts w:cs="Arial"/>
              </w:rPr>
              <w:t>Annual kWh Savings (Net)</w:t>
            </w:r>
          </w:p>
        </w:tc>
        <w:tc>
          <w:tcPr>
            <w:tcW w:w="13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ED9256" w14:textId="1A79BF2A" w:rsidR="00A0711A" w:rsidRDefault="00A0711A" w:rsidP="00A0711A">
            <w:pPr>
              <w:widowControl w:val="0"/>
              <w:tabs>
                <w:tab w:val="left" w:pos="1041"/>
              </w:tabs>
              <w:spacing w:before="0" w:line="240" w:lineRule="auto"/>
              <w:jc w:val="right"/>
              <w:rPr>
                <w:rFonts w:cs="Arial"/>
              </w:rPr>
            </w:pPr>
            <w:r w:rsidRPr="00B15B0E">
              <w:t xml:space="preserve"> 172,125 </w:t>
            </w:r>
          </w:p>
        </w:tc>
        <w:tc>
          <w:tcPr>
            <w:tcW w:w="1524" w:type="dxa"/>
            <w:tcBorders>
              <w:top w:val="single" w:sz="4" w:space="0" w:color="auto"/>
              <w:left w:val="single" w:sz="4" w:space="0" w:color="auto"/>
              <w:bottom w:val="single" w:sz="4" w:space="0" w:color="auto"/>
              <w:right w:val="single" w:sz="4" w:space="0" w:color="auto"/>
            </w:tcBorders>
          </w:tcPr>
          <w:p w14:paraId="2413D013" w14:textId="4BA767E1" w:rsidR="00A0711A" w:rsidRDefault="00A0711A" w:rsidP="00A0711A">
            <w:pPr>
              <w:widowControl w:val="0"/>
              <w:tabs>
                <w:tab w:val="left" w:pos="1041"/>
              </w:tabs>
              <w:spacing w:before="0" w:line="240" w:lineRule="auto"/>
              <w:jc w:val="right"/>
              <w:rPr>
                <w:rFonts w:cs="Arial"/>
              </w:rPr>
            </w:pPr>
            <w:r w:rsidRPr="00B15B0E">
              <w:t xml:space="preserve"> 621,563 </w:t>
            </w:r>
          </w:p>
        </w:tc>
        <w:tc>
          <w:tcPr>
            <w:tcW w:w="1438" w:type="dxa"/>
            <w:tcBorders>
              <w:top w:val="single" w:sz="4" w:space="0" w:color="auto"/>
              <w:left w:val="single" w:sz="4" w:space="0" w:color="auto"/>
              <w:bottom w:val="single" w:sz="4" w:space="0" w:color="auto"/>
              <w:right w:val="single" w:sz="4" w:space="0" w:color="auto"/>
            </w:tcBorders>
          </w:tcPr>
          <w:p w14:paraId="272232C9" w14:textId="7048F05D" w:rsidR="00A0711A" w:rsidRDefault="00A0711A" w:rsidP="00A0711A">
            <w:pPr>
              <w:widowControl w:val="0"/>
              <w:tabs>
                <w:tab w:val="left" w:pos="1041"/>
              </w:tabs>
              <w:spacing w:before="0" w:line="240" w:lineRule="auto"/>
              <w:jc w:val="right"/>
              <w:rPr>
                <w:rFonts w:cs="Arial"/>
              </w:rPr>
            </w:pPr>
            <w:r w:rsidRPr="00B15B0E">
              <w:t xml:space="preserve"> 669,375 </w:t>
            </w:r>
          </w:p>
        </w:tc>
        <w:tc>
          <w:tcPr>
            <w:tcW w:w="1528" w:type="dxa"/>
            <w:tcBorders>
              <w:top w:val="single" w:sz="4" w:space="0" w:color="auto"/>
              <w:left w:val="single" w:sz="4" w:space="0" w:color="auto"/>
              <w:bottom w:val="single" w:sz="4" w:space="0" w:color="auto"/>
              <w:right w:val="single" w:sz="4" w:space="0" w:color="auto"/>
            </w:tcBorders>
          </w:tcPr>
          <w:p w14:paraId="6603003D" w14:textId="393A0085" w:rsidR="00A0711A" w:rsidRDefault="00A0711A" w:rsidP="00A0711A">
            <w:pPr>
              <w:widowControl w:val="0"/>
              <w:tabs>
                <w:tab w:val="left" w:pos="1041"/>
              </w:tabs>
              <w:spacing w:before="0" w:line="240" w:lineRule="auto"/>
              <w:jc w:val="right"/>
              <w:rPr>
                <w:rFonts w:cs="Arial"/>
              </w:rPr>
            </w:pPr>
            <w:r w:rsidRPr="00B15B0E">
              <w:t xml:space="preserve"> 449,438 </w:t>
            </w:r>
          </w:p>
        </w:tc>
        <w:tc>
          <w:tcPr>
            <w:tcW w:w="1079" w:type="dxa"/>
            <w:tcBorders>
              <w:top w:val="single" w:sz="4" w:space="0" w:color="auto"/>
              <w:left w:val="single" w:sz="4" w:space="0" w:color="auto"/>
              <w:bottom w:val="single" w:sz="4" w:space="0" w:color="auto"/>
              <w:right w:val="single" w:sz="4" w:space="0" w:color="auto"/>
            </w:tcBorders>
          </w:tcPr>
          <w:p w14:paraId="1C2D1F58" w14:textId="0132B4FA" w:rsidR="00A0711A" w:rsidRDefault="00A0711A" w:rsidP="00A0711A">
            <w:pPr>
              <w:widowControl w:val="0"/>
              <w:tabs>
                <w:tab w:val="left" w:pos="1041"/>
              </w:tabs>
              <w:spacing w:before="0" w:line="240" w:lineRule="auto"/>
              <w:jc w:val="right"/>
              <w:rPr>
                <w:rFonts w:cs="Arial"/>
              </w:rPr>
            </w:pPr>
            <w:r w:rsidRPr="00B15B0E">
              <w:t xml:space="preserve"> -   </w:t>
            </w:r>
          </w:p>
        </w:tc>
        <w:tc>
          <w:tcPr>
            <w:tcW w:w="1557" w:type="dxa"/>
            <w:tcBorders>
              <w:top w:val="single" w:sz="4" w:space="0" w:color="auto"/>
              <w:left w:val="single" w:sz="4" w:space="0" w:color="auto"/>
              <w:bottom w:val="single" w:sz="4" w:space="0" w:color="auto"/>
              <w:right w:val="single" w:sz="4" w:space="0" w:color="auto"/>
            </w:tcBorders>
          </w:tcPr>
          <w:p w14:paraId="0A183E20" w14:textId="11559950" w:rsidR="00A0711A" w:rsidRDefault="00A0711A" w:rsidP="00A0711A">
            <w:pPr>
              <w:widowControl w:val="0"/>
              <w:tabs>
                <w:tab w:val="left" w:pos="1041"/>
              </w:tabs>
              <w:spacing w:before="0" w:line="240" w:lineRule="auto"/>
              <w:jc w:val="right"/>
              <w:rPr>
                <w:rFonts w:cs="Arial"/>
              </w:rPr>
            </w:pPr>
            <w:r w:rsidRPr="00B15B0E">
              <w:t xml:space="preserve"> 1,912,501 </w:t>
            </w:r>
          </w:p>
        </w:tc>
      </w:tr>
      <w:tr w:rsidR="00A0711A" w:rsidRPr="00155714" w14:paraId="105B6FCD" w14:textId="77777777" w:rsidTr="003669AA">
        <w:trPr>
          <w:trHeight w:val="71"/>
          <w:jc w:val="center"/>
        </w:trPr>
        <w:tc>
          <w:tcPr>
            <w:tcW w:w="16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259BD5" w14:textId="77777777" w:rsidR="00A0711A" w:rsidRDefault="00A0711A" w:rsidP="00A0711A">
            <w:pPr>
              <w:widowControl w:val="0"/>
              <w:tabs>
                <w:tab w:val="left" w:pos="1041"/>
              </w:tabs>
              <w:spacing w:before="0" w:line="240" w:lineRule="auto"/>
              <w:rPr>
                <w:rFonts w:cs="Arial"/>
                <w:lang w:val="en-US"/>
              </w:rPr>
            </w:pPr>
            <w:r w:rsidRPr="00863C19">
              <w:rPr>
                <w:rFonts w:cs="Arial"/>
                <w:lang w:val="en-US"/>
              </w:rPr>
              <w:t xml:space="preserve">Annual </w:t>
            </w:r>
            <w:proofErr w:type="spellStart"/>
            <w:r w:rsidRPr="00863C19">
              <w:rPr>
                <w:rFonts w:cs="Arial"/>
                <w:lang w:val="en-US"/>
              </w:rPr>
              <w:t>Therm</w:t>
            </w:r>
            <w:proofErr w:type="spellEnd"/>
            <w:r w:rsidRPr="00863C19">
              <w:rPr>
                <w:rFonts w:cs="Arial"/>
                <w:lang w:val="en-US"/>
              </w:rPr>
              <w:t xml:space="preserve"> Savings (Net)</w:t>
            </w:r>
          </w:p>
        </w:tc>
        <w:tc>
          <w:tcPr>
            <w:tcW w:w="13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D80BE8" w14:textId="38C77CC8" w:rsidR="00A0711A" w:rsidRDefault="00A0711A" w:rsidP="00A0711A">
            <w:pPr>
              <w:widowControl w:val="0"/>
              <w:tabs>
                <w:tab w:val="left" w:pos="1041"/>
              </w:tabs>
              <w:spacing w:before="0" w:line="240" w:lineRule="auto"/>
              <w:jc w:val="right"/>
              <w:rPr>
                <w:rFonts w:cs="Arial"/>
              </w:rPr>
            </w:pPr>
            <w:r w:rsidRPr="00B15B0E">
              <w:t>4</w:t>
            </w:r>
            <w:r w:rsidR="00451DCF">
              <w:t>,</w:t>
            </w:r>
            <w:r w:rsidRPr="00B15B0E">
              <w:t>808</w:t>
            </w:r>
          </w:p>
        </w:tc>
        <w:tc>
          <w:tcPr>
            <w:tcW w:w="1524" w:type="dxa"/>
            <w:tcBorders>
              <w:top w:val="single" w:sz="4" w:space="0" w:color="auto"/>
              <w:left w:val="single" w:sz="4" w:space="0" w:color="auto"/>
              <w:bottom w:val="single" w:sz="4" w:space="0" w:color="auto"/>
              <w:right w:val="single" w:sz="4" w:space="0" w:color="auto"/>
            </w:tcBorders>
          </w:tcPr>
          <w:p w14:paraId="7B4D685E" w14:textId="619B9259" w:rsidR="00A0711A" w:rsidRDefault="00A0711A" w:rsidP="00A0711A">
            <w:pPr>
              <w:widowControl w:val="0"/>
              <w:tabs>
                <w:tab w:val="left" w:pos="1041"/>
              </w:tabs>
              <w:spacing w:before="0" w:line="240" w:lineRule="auto"/>
              <w:jc w:val="right"/>
              <w:rPr>
                <w:rFonts w:cs="Arial"/>
              </w:rPr>
            </w:pPr>
            <w:r w:rsidRPr="00B15B0E">
              <w:t>17</w:t>
            </w:r>
            <w:r w:rsidR="00451DCF">
              <w:t>,</w:t>
            </w:r>
            <w:r w:rsidRPr="00B15B0E">
              <w:t>363</w:t>
            </w:r>
          </w:p>
        </w:tc>
        <w:tc>
          <w:tcPr>
            <w:tcW w:w="1438" w:type="dxa"/>
            <w:tcBorders>
              <w:top w:val="single" w:sz="4" w:space="0" w:color="auto"/>
              <w:left w:val="single" w:sz="4" w:space="0" w:color="auto"/>
              <w:bottom w:val="single" w:sz="4" w:space="0" w:color="auto"/>
              <w:right w:val="single" w:sz="4" w:space="0" w:color="auto"/>
            </w:tcBorders>
          </w:tcPr>
          <w:p w14:paraId="63A9DAFA" w14:textId="472FBA49" w:rsidR="00A0711A" w:rsidRDefault="00A0711A" w:rsidP="00A0711A">
            <w:pPr>
              <w:widowControl w:val="0"/>
              <w:tabs>
                <w:tab w:val="left" w:pos="1041"/>
              </w:tabs>
              <w:spacing w:before="0" w:line="240" w:lineRule="auto"/>
              <w:jc w:val="right"/>
              <w:rPr>
                <w:rFonts w:cs="Arial"/>
              </w:rPr>
            </w:pPr>
            <w:r w:rsidRPr="00B15B0E">
              <w:t>18</w:t>
            </w:r>
            <w:r w:rsidR="00451DCF">
              <w:t>,</w:t>
            </w:r>
            <w:r w:rsidRPr="00B15B0E">
              <w:t>699</w:t>
            </w:r>
          </w:p>
        </w:tc>
        <w:tc>
          <w:tcPr>
            <w:tcW w:w="1528" w:type="dxa"/>
            <w:tcBorders>
              <w:top w:val="single" w:sz="4" w:space="0" w:color="auto"/>
              <w:left w:val="single" w:sz="4" w:space="0" w:color="auto"/>
              <w:bottom w:val="single" w:sz="4" w:space="0" w:color="auto"/>
              <w:right w:val="single" w:sz="4" w:space="0" w:color="auto"/>
            </w:tcBorders>
          </w:tcPr>
          <w:p w14:paraId="0642A5BB" w14:textId="0C2B479F" w:rsidR="00A0711A" w:rsidRDefault="00A0711A" w:rsidP="00A0711A">
            <w:pPr>
              <w:widowControl w:val="0"/>
              <w:tabs>
                <w:tab w:val="left" w:pos="1041"/>
              </w:tabs>
              <w:spacing w:before="0" w:line="240" w:lineRule="auto"/>
              <w:jc w:val="right"/>
              <w:rPr>
                <w:rFonts w:cs="Arial"/>
              </w:rPr>
            </w:pPr>
            <w:r w:rsidRPr="00B15B0E">
              <w:t>12</w:t>
            </w:r>
            <w:r w:rsidR="00451DCF">
              <w:t>,</w:t>
            </w:r>
            <w:r w:rsidRPr="00B15B0E">
              <w:t>555</w:t>
            </w:r>
          </w:p>
        </w:tc>
        <w:tc>
          <w:tcPr>
            <w:tcW w:w="1079" w:type="dxa"/>
            <w:tcBorders>
              <w:top w:val="single" w:sz="4" w:space="0" w:color="auto"/>
              <w:left w:val="single" w:sz="4" w:space="0" w:color="auto"/>
              <w:bottom w:val="single" w:sz="4" w:space="0" w:color="auto"/>
              <w:right w:val="single" w:sz="4" w:space="0" w:color="auto"/>
            </w:tcBorders>
          </w:tcPr>
          <w:p w14:paraId="45DCA28B" w14:textId="3E0A6E8A" w:rsidR="00A0711A" w:rsidRDefault="003356ED" w:rsidP="00A0711A">
            <w:pPr>
              <w:widowControl w:val="0"/>
              <w:tabs>
                <w:tab w:val="left" w:pos="1041"/>
              </w:tabs>
              <w:spacing w:before="0" w:line="240" w:lineRule="auto"/>
              <w:jc w:val="right"/>
              <w:rPr>
                <w:rFonts w:cs="Arial"/>
              </w:rPr>
            </w:pPr>
            <w:r>
              <w:rPr>
                <w:rFonts w:cs="Arial"/>
              </w:rPr>
              <w:t>-</w:t>
            </w:r>
          </w:p>
        </w:tc>
        <w:tc>
          <w:tcPr>
            <w:tcW w:w="1557" w:type="dxa"/>
            <w:tcBorders>
              <w:top w:val="single" w:sz="4" w:space="0" w:color="auto"/>
              <w:left w:val="single" w:sz="4" w:space="0" w:color="auto"/>
              <w:bottom w:val="single" w:sz="4" w:space="0" w:color="auto"/>
              <w:right w:val="single" w:sz="4" w:space="0" w:color="auto"/>
            </w:tcBorders>
          </w:tcPr>
          <w:p w14:paraId="3C547D65" w14:textId="04A1B795" w:rsidR="00A0711A" w:rsidRDefault="00A0711A" w:rsidP="00A0711A">
            <w:pPr>
              <w:widowControl w:val="0"/>
              <w:tabs>
                <w:tab w:val="left" w:pos="1041"/>
              </w:tabs>
              <w:spacing w:before="0" w:line="240" w:lineRule="auto"/>
              <w:jc w:val="right"/>
              <w:rPr>
                <w:rFonts w:cs="Arial"/>
              </w:rPr>
            </w:pPr>
            <w:r w:rsidRPr="00B15B0E">
              <w:t xml:space="preserve"> 53,425 </w:t>
            </w:r>
          </w:p>
        </w:tc>
      </w:tr>
    </w:tbl>
    <w:p w14:paraId="49C15D6E" w14:textId="77777777" w:rsidR="00612AA5" w:rsidRPr="00B54114" w:rsidRDefault="00612AA5" w:rsidP="00B54114">
      <w:pPr>
        <w:widowControl w:val="0"/>
        <w:tabs>
          <w:tab w:val="left" w:pos="90"/>
          <w:tab w:val="left" w:pos="360"/>
          <w:tab w:val="left" w:pos="1041"/>
        </w:tabs>
        <w:spacing w:before="20"/>
        <w:rPr>
          <w:rFonts w:cs="Arial"/>
          <w:b/>
          <w:u w:val="single"/>
          <w:lang w:val="en-US"/>
        </w:rPr>
      </w:pPr>
    </w:p>
    <w:p w14:paraId="6E854E3A" w14:textId="48CFCE40" w:rsidR="00EE1E64" w:rsidRDefault="008B50AE" w:rsidP="00EE1E64">
      <w:pPr>
        <w:pStyle w:val="ListParagraph"/>
        <w:widowControl w:val="0"/>
        <w:numPr>
          <w:ilvl w:val="0"/>
          <w:numId w:val="25"/>
        </w:numPr>
        <w:tabs>
          <w:tab w:val="left" w:pos="90"/>
          <w:tab w:val="left" w:pos="360"/>
          <w:tab w:val="left" w:pos="1041"/>
        </w:tabs>
        <w:spacing w:before="20"/>
        <w:rPr>
          <w:rFonts w:cs="Arial"/>
          <w:b/>
          <w:u w:val="single"/>
          <w:lang w:val="en-US"/>
        </w:rPr>
      </w:pPr>
      <w:r w:rsidRPr="00863C19">
        <w:rPr>
          <w:rFonts w:cs="Arial"/>
          <w:b/>
          <w:u w:val="single"/>
          <w:lang w:val="en-US"/>
        </w:rPr>
        <w:lastRenderedPageBreak/>
        <w:t>Program / Sub-</w:t>
      </w:r>
      <w:r w:rsidR="000A2702" w:rsidRPr="00863C19">
        <w:rPr>
          <w:rFonts w:cs="Arial"/>
          <w:b/>
          <w:u w:val="single"/>
          <w:lang w:val="en-US"/>
        </w:rPr>
        <w:t>P</w:t>
      </w:r>
      <w:r w:rsidRPr="00863C19">
        <w:rPr>
          <w:rFonts w:cs="Arial"/>
          <w:b/>
          <w:u w:val="single"/>
          <w:lang w:val="en-US"/>
        </w:rPr>
        <w:t xml:space="preserve">rogram </w:t>
      </w:r>
      <w:r w:rsidR="009200C5" w:rsidRPr="00863C19">
        <w:rPr>
          <w:rFonts w:cs="Arial"/>
          <w:b/>
          <w:u w:val="single"/>
          <w:lang w:val="en-US"/>
        </w:rPr>
        <w:t>Cost-Effectiveness</w:t>
      </w:r>
      <w:r w:rsidR="009777D0" w:rsidRPr="00863C19">
        <w:rPr>
          <w:rFonts w:cs="Arial"/>
          <w:b/>
          <w:u w:val="single"/>
          <w:lang w:val="en-US"/>
        </w:rPr>
        <w:t xml:space="preserve"> (TRC, PAC, and </w:t>
      </w:r>
      <w:proofErr w:type="spellStart"/>
      <w:r w:rsidR="009777D0" w:rsidRPr="00863C19">
        <w:rPr>
          <w:rFonts w:cs="Arial"/>
          <w:b/>
          <w:u w:val="single"/>
          <w:lang w:val="en-US"/>
        </w:rPr>
        <w:t>TRCNoAdmin</w:t>
      </w:r>
      <w:proofErr w:type="spellEnd"/>
      <w:r w:rsidR="009777D0" w:rsidRPr="00863C19">
        <w:rPr>
          <w:rFonts w:cs="Arial"/>
          <w:b/>
          <w:u w:val="single"/>
          <w:lang w:val="en-US"/>
        </w:rPr>
        <w:t>)</w:t>
      </w:r>
      <w:r w:rsidRPr="00863C19">
        <w:rPr>
          <w:rFonts w:cs="Arial"/>
          <w:b/>
          <w:u w:val="single"/>
          <w:lang w:val="en-US"/>
        </w:rPr>
        <w:t xml:space="preserve">: </w:t>
      </w:r>
    </w:p>
    <w:p w14:paraId="011496FC" w14:textId="0D3A3601" w:rsidR="00EE1E64" w:rsidRPr="00B54114" w:rsidRDefault="00EE1E64" w:rsidP="00B54114">
      <w:pPr>
        <w:widowControl w:val="0"/>
        <w:tabs>
          <w:tab w:val="left" w:pos="90"/>
          <w:tab w:val="left" w:pos="360"/>
          <w:tab w:val="left" w:pos="1041"/>
        </w:tabs>
        <w:spacing w:before="20"/>
        <w:rPr>
          <w:rFonts w:cs="Arial"/>
          <w:b/>
          <w:lang w:val="en-US"/>
        </w:rPr>
      </w:pPr>
      <w:r w:rsidRPr="00B54114">
        <w:rPr>
          <w:rFonts w:cs="Arial"/>
          <w:b/>
          <w:lang w:val="en-US"/>
        </w:rPr>
        <w:t>Commercial Sub-Program</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616"/>
        <w:gridCol w:w="1353"/>
        <w:gridCol w:w="1524"/>
        <w:gridCol w:w="1438"/>
        <w:gridCol w:w="1529"/>
        <w:gridCol w:w="1078"/>
        <w:gridCol w:w="1558"/>
      </w:tblGrid>
      <w:tr w:rsidR="00BE0E90" w:rsidRPr="00155714" w14:paraId="6A63F3DA" w14:textId="77777777" w:rsidTr="007B19EB">
        <w:trPr>
          <w:trHeight w:val="87"/>
          <w:jc w:val="center"/>
        </w:trPr>
        <w:tc>
          <w:tcPr>
            <w:tcW w:w="1616" w:type="dxa"/>
            <w:tcBorders>
              <w:top w:val="single" w:sz="4" w:space="0" w:color="auto"/>
              <w:left w:val="single" w:sz="4" w:space="0" w:color="auto"/>
              <w:bottom w:val="single" w:sz="4" w:space="0" w:color="auto"/>
              <w:right w:val="single" w:sz="4" w:space="0" w:color="auto"/>
            </w:tcBorders>
            <w:shd w:val="clear" w:color="auto" w:fill="008080"/>
            <w:tcMar>
              <w:top w:w="100" w:type="dxa"/>
              <w:left w:w="100" w:type="dxa"/>
              <w:bottom w:w="100" w:type="dxa"/>
              <w:right w:w="100" w:type="dxa"/>
            </w:tcMar>
          </w:tcPr>
          <w:p w14:paraId="1AE39341" w14:textId="77777777" w:rsidR="00BE0E90" w:rsidRPr="007B19EB" w:rsidRDefault="00BE0E90">
            <w:pPr>
              <w:widowControl w:val="0"/>
              <w:spacing w:before="0" w:line="240" w:lineRule="auto"/>
              <w:jc w:val="center"/>
              <w:rPr>
                <w:rFonts w:cs="Arial"/>
                <w:b/>
                <w:color w:val="FFFFFF" w:themeColor="background1"/>
              </w:rPr>
            </w:pPr>
            <w:r w:rsidRPr="007B19EB">
              <w:rPr>
                <w:rFonts w:cs="Arial"/>
                <w:b/>
                <w:color w:val="FFFFFF" w:themeColor="background1"/>
              </w:rPr>
              <w:t>Year</w:t>
            </w:r>
          </w:p>
        </w:tc>
        <w:tc>
          <w:tcPr>
            <w:tcW w:w="1353" w:type="dxa"/>
            <w:tcBorders>
              <w:top w:val="single" w:sz="4" w:space="0" w:color="auto"/>
              <w:left w:val="single" w:sz="4" w:space="0" w:color="auto"/>
              <w:bottom w:val="single" w:sz="4" w:space="0" w:color="auto"/>
              <w:right w:val="single" w:sz="4" w:space="0" w:color="auto"/>
            </w:tcBorders>
            <w:shd w:val="clear" w:color="auto" w:fill="008080"/>
            <w:tcMar>
              <w:top w:w="100" w:type="dxa"/>
              <w:left w:w="100" w:type="dxa"/>
              <w:bottom w:w="100" w:type="dxa"/>
              <w:right w:w="100" w:type="dxa"/>
            </w:tcMar>
          </w:tcPr>
          <w:p w14:paraId="2794E846" w14:textId="77777777" w:rsidR="00BE0E90" w:rsidRPr="007B19EB" w:rsidRDefault="00BE0E90" w:rsidP="005F49A1">
            <w:pPr>
              <w:widowControl w:val="0"/>
              <w:tabs>
                <w:tab w:val="left" w:pos="1041"/>
              </w:tabs>
              <w:spacing w:before="0" w:line="240" w:lineRule="auto"/>
              <w:jc w:val="center"/>
              <w:rPr>
                <w:rFonts w:cs="Arial"/>
                <w:b/>
                <w:color w:val="FFFFFF" w:themeColor="background1"/>
              </w:rPr>
            </w:pPr>
            <w:r w:rsidRPr="007B19EB">
              <w:rPr>
                <w:rFonts w:cs="Arial"/>
                <w:b/>
                <w:color w:val="FFFFFF" w:themeColor="background1"/>
              </w:rPr>
              <w:t>2024</w:t>
            </w:r>
          </w:p>
        </w:tc>
        <w:tc>
          <w:tcPr>
            <w:tcW w:w="1524" w:type="dxa"/>
            <w:tcBorders>
              <w:top w:val="single" w:sz="4" w:space="0" w:color="auto"/>
              <w:left w:val="single" w:sz="4" w:space="0" w:color="auto"/>
              <w:bottom w:val="single" w:sz="4" w:space="0" w:color="auto"/>
              <w:right w:val="single" w:sz="4" w:space="0" w:color="auto"/>
            </w:tcBorders>
            <w:shd w:val="clear" w:color="auto" w:fill="008080"/>
          </w:tcPr>
          <w:p w14:paraId="169FA019" w14:textId="77777777" w:rsidR="00BE0E90" w:rsidRPr="007B19EB" w:rsidRDefault="00BE0E90" w:rsidP="005F49A1">
            <w:pPr>
              <w:widowControl w:val="0"/>
              <w:tabs>
                <w:tab w:val="left" w:pos="1041"/>
              </w:tabs>
              <w:spacing w:before="0" w:line="240" w:lineRule="auto"/>
              <w:jc w:val="center"/>
              <w:rPr>
                <w:rFonts w:cs="Arial"/>
                <w:b/>
                <w:color w:val="FFFFFF" w:themeColor="background1"/>
              </w:rPr>
            </w:pPr>
            <w:r w:rsidRPr="007B19EB">
              <w:rPr>
                <w:rFonts w:cs="Arial"/>
                <w:b/>
                <w:color w:val="FFFFFF" w:themeColor="background1"/>
              </w:rPr>
              <w:t>2025</w:t>
            </w:r>
          </w:p>
        </w:tc>
        <w:tc>
          <w:tcPr>
            <w:tcW w:w="1438" w:type="dxa"/>
            <w:tcBorders>
              <w:top w:val="single" w:sz="4" w:space="0" w:color="auto"/>
              <w:left w:val="single" w:sz="4" w:space="0" w:color="auto"/>
              <w:bottom w:val="single" w:sz="4" w:space="0" w:color="auto"/>
              <w:right w:val="single" w:sz="4" w:space="0" w:color="auto"/>
            </w:tcBorders>
            <w:shd w:val="clear" w:color="auto" w:fill="008080"/>
          </w:tcPr>
          <w:p w14:paraId="04CD8A52" w14:textId="77777777" w:rsidR="00BE0E90" w:rsidRPr="007B19EB" w:rsidRDefault="00BE0E90" w:rsidP="005F49A1">
            <w:pPr>
              <w:widowControl w:val="0"/>
              <w:tabs>
                <w:tab w:val="left" w:pos="1041"/>
              </w:tabs>
              <w:spacing w:before="0" w:line="240" w:lineRule="auto"/>
              <w:jc w:val="center"/>
              <w:rPr>
                <w:rFonts w:cs="Arial"/>
                <w:b/>
                <w:color w:val="FFFFFF" w:themeColor="background1"/>
              </w:rPr>
            </w:pPr>
            <w:r w:rsidRPr="007B19EB">
              <w:rPr>
                <w:rFonts w:cs="Arial"/>
                <w:b/>
                <w:color w:val="FFFFFF" w:themeColor="background1"/>
              </w:rPr>
              <w:t>2026</w:t>
            </w:r>
          </w:p>
        </w:tc>
        <w:tc>
          <w:tcPr>
            <w:tcW w:w="1529" w:type="dxa"/>
            <w:tcBorders>
              <w:top w:val="single" w:sz="4" w:space="0" w:color="auto"/>
              <w:left w:val="single" w:sz="4" w:space="0" w:color="auto"/>
              <w:bottom w:val="single" w:sz="4" w:space="0" w:color="auto"/>
              <w:right w:val="single" w:sz="4" w:space="0" w:color="auto"/>
            </w:tcBorders>
            <w:shd w:val="clear" w:color="auto" w:fill="008080"/>
          </w:tcPr>
          <w:p w14:paraId="5C4017D8" w14:textId="77777777" w:rsidR="00BE0E90" w:rsidRPr="007B19EB" w:rsidRDefault="00BE0E90" w:rsidP="005F49A1">
            <w:pPr>
              <w:widowControl w:val="0"/>
              <w:tabs>
                <w:tab w:val="left" w:pos="1041"/>
              </w:tabs>
              <w:spacing w:before="0" w:line="240" w:lineRule="auto"/>
              <w:jc w:val="center"/>
              <w:rPr>
                <w:rFonts w:cs="Arial"/>
                <w:b/>
                <w:color w:val="FFFFFF" w:themeColor="background1"/>
              </w:rPr>
            </w:pPr>
            <w:r w:rsidRPr="007B19EB">
              <w:rPr>
                <w:rFonts w:cs="Arial"/>
                <w:b/>
                <w:color w:val="FFFFFF" w:themeColor="background1"/>
              </w:rPr>
              <w:t>2027</w:t>
            </w:r>
          </w:p>
        </w:tc>
        <w:tc>
          <w:tcPr>
            <w:tcW w:w="1078" w:type="dxa"/>
            <w:tcBorders>
              <w:top w:val="single" w:sz="4" w:space="0" w:color="auto"/>
              <w:left w:val="single" w:sz="4" w:space="0" w:color="auto"/>
              <w:bottom w:val="single" w:sz="4" w:space="0" w:color="auto"/>
              <w:right w:val="single" w:sz="4" w:space="0" w:color="auto"/>
            </w:tcBorders>
            <w:shd w:val="clear" w:color="auto" w:fill="008080"/>
          </w:tcPr>
          <w:p w14:paraId="21DFB22E" w14:textId="77777777" w:rsidR="00BE0E90" w:rsidRPr="007B19EB" w:rsidRDefault="00BE0E90" w:rsidP="005F49A1">
            <w:pPr>
              <w:widowControl w:val="0"/>
              <w:tabs>
                <w:tab w:val="left" w:pos="1041"/>
              </w:tabs>
              <w:spacing w:before="0" w:line="240" w:lineRule="auto"/>
              <w:jc w:val="center"/>
              <w:rPr>
                <w:rFonts w:cs="Arial"/>
                <w:b/>
                <w:color w:val="FFFFFF" w:themeColor="background1"/>
              </w:rPr>
            </w:pPr>
            <w:r w:rsidRPr="007B19EB">
              <w:rPr>
                <w:rFonts w:cs="Arial"/>
                <w:b/>
                <w:color w:val="FFFFFF" w:themeColor="background1"/>
              </w:rPr>
              <w:t>2028</w:t>
            </w:r>
          </w:p>
        </w:tc>
        <w:tc>
          <w:tcPr>
            <w:tcW w:w="1558" w:type="dxa"/>
            <w:tcBorders>
              <w:top w:val="single" w:sz="4" w:space="0" w:color="auto"/>
              <w:left w:val="single" w:sz="4" w:space="0" w:color="auto"/>
              <w:bottom w:val="single" w:sz="4" w:space="0" w:color="auto"/>
              <w:right w:val="single" w:sz="4" w:space="0" w:color="auto"/>
            </w:tcBorders>
            <w:shd w:val="clear" w:color="auto" w:fill="008080"/>
          </w:tcPr>
          <w:p w14:paraId="1DC35A17" w14:textId="77777777" w:rsidR="00BE0E90" w:rsidRPr="007B19EB" w:rsidRDefault="00BE0E90" w:rsidP="005F49A1">
            <w:pPr>
              <w:widowControl w:val="0"/>
              <w:tabs>
                <w:tab w:val="left" w:pos="1041"/>
              </w:tabs>
              <w:spacing w:before="0" w:line="240" w:lineRule="auto"/>
              <w:jc w:val="center"/>
              <w:rPr>
                <w:rFonts w:cs="Arial"/>
                <w:b/>
                <w:color w:val="FFFFFF" w:themeColor="background1"/>
              </w:rPr>
            </w:pPr>
            <w:r w:rsidRPr="007B19EB">
              <w:rPr>
                <w:rFonts w:cs="Arial"/>
                <w:b/>
                <w:color w:val="FFFFFF" w:themeColor="background1"/>
              </w:rPr>
              <w:t>Program Total</w:t>
            </w:r>
          </w:p>
        </w:tc>
      </w:tr>
      <w:tr w:rsidR="00EF542A" w:rsidRPr="00155714" w14:paraId="3452815B" w14:textId="77777777" w:rsidTr="005F49A1">
        <w:trPr>
          <w:trHeight w:val="71"/>
          <w:jc w:val="center"/>
        </w:trPr>
        <w:tc>
          <w:tcPr>
            <w:tcW w:w="16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E9E5D0" w14:textId="2CDEB935" w:rsidR="00EF542A" w:rsidRPr="007F5503" w:rsidRDefault="00EF542A" w:rsidP="00EF542A">
            <w:pPr>
              <w:widowControl w:val="0"/>
              <w:tabs>
                <w:tab w:val="left" w:pos="1041"/>
              </w:tabs>
              <w:spacing w:before="0" w:line="240" w:lineRule="auto"/>
              <w:rPr>
                <w:rFonts w:cs="Arial"/>
              </w:rPr>
            </w:pPr>
            <w:r w:rsidRPr="007F5503">
              <w:rPr>
                <w:rFonts w:cs="Arial"/>
              </w:rPr>
              <w:t>TRC Ratio</w:t>
            </w:r>
          </w:p>
        </w:tc>
        <w:tc>
          <w:tcPr>
            <w:tcW w:w="13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4223E1F" w14:textId="0763AF8E" w:rsidR="00EF542A" w:rsidRPr="005F007D" w:rsidRDefault="00EF542A" w:rsidP="005F49A1">
            <w:pPr>
              <w:widowControl w:val="0"/>
              <w:tabs>
                <w:tab w:val="left" w:pos="1041"/>
              </w:tabs>
              <w:spacing w:before="0" w:line="240" w:lineRule="auto"/>
              <w:jc w:val="center"/>
              <w:rPr>
                <w:rFonts w:cs="Arial"/>
              </w:rPr>
            </w:pPr>
            <w:r w:rsidRPr="005F49A1">
              <w:rPr>
                <w:rFonts w:cs="Arial"/>
                <w:color w:val="000000"/>
              </w:rPr>
              <w:t>1.22</w:t>
            </w:r>
          </w:p>
        </w:tc>
        <w:tc>
          <w:tcPr>
            <w:tcW w:w="1524" w:type="dxa"/>
            <w:tcBorders>
              <w:top w:val="single" w:sz="4" w:space="0" w:color="auto"/>
              <w:left w:val="single" w:sz="4" w:space="0" w:color="auto"/>
              <w:bottom w:val="single" w:sz="4" w:space="0" w:color="auto"/>
              <w:right w:val="single" w:sz="4" w:space="0" w:color="auto"/>
            </w:tcBorders>
            <w:vAlign w:val="center"/>
          </w:tcPr>
          <w:p w14:paraId="00B5F1C6" w14:textId="7934C111" w:rsidR="00EF542A" w:rsidRPr="005F007D" w:rsidRDefault="00EF542A" w:rsidP="005F49A1">
            <w:pPr>
              <w:widowControl w:val="0"/>
              <w:tabs>
                <w:tab w:val="left" w:pos="1041"/>
              </w:tabs>
              <w:spacing w:before="0" w:line="240" w:lineRule="auto"/>
              <w:jc w:val="center"/>
              <w:rPr>
                <w:rFonts w:cs="Arial"/>
              </w:rPr>
            </w:pPr>
            <w:r w:rsidRPr="005F49A1">
              <w:rPr>
                <w:rFonts w:cs="Arial"/>
                <w:color w:val="000000"/>
              </w:rPr>
              <w:t>1.21</w:t>
            </w:r>
          </w:p>
        </w:tc>
        <w:tc>
          <w:tcPr>
            <w:tcW w:w="1438" w:type="dxa"/>
            <w:tcBorders>
              <w:top w:val="single" w:sz="4" w:space="0" w:color="auto"/>
              <w:left w:val="single" w:sz="4" w:space="0" w:color="auto"/>
              <w:bottom w:val="single" w:sz="4" w:space="0" w:color="auto"/>
              <w:right w:val="single" w:sz="4" w:space="0" w:color="auto"/>
            </w:tcBorders>
            <w:vAlign w:val="center"/>
          </w:tcPr>
          <w:p w14:paraId="5F08E97B" w14:textId="58949574" w:rsidR="00EF542A" w:rsidRPr="005F007D" w:rsidDel="00F63729" w:rsidRDefault="00EF542A" w:rsidP="005F49A1">
            <w:pPr>
              <w:widowControl w:val="0"/>
              <w:tabs>
                <w:tab w:val="left" w:pos="1041"/>
              </w:tabs>
              <w:spacing w:before="0" w:line="240" w:lineRule="auto"/>
              <w:jc w:val="center"/>
              <w:rPr>
                <w:rFonts w:cs="Arial"/>
              </w:rPr>
            </w:pPr>
            <w:r w:rsidRPr="005F49A1">
              <w:rPr>
                <w:rFonts w:cs="Arial"/>
                <w:color w:val="000000"/>
              </w:rPr>
              <w:t>1.23</w:t>
            </w:r>
          </w:p>
        </w:tc>
        <w:tc>
          <w:tcPr>
            <w:tcW w:w="1529" w:type="dxa"/>
            <w:tcBorders>
              <w:top w:val="single" w:sz="4" w:space="0" w:color="auto"/>
              <w:left w:val="single" w:sz="4" w:space="0" w:color="auto"/>
              <w:bottom w:val="single" w:sz="4" w:space="0" w:color="auto"/>
              <w:right w:val="single" w:sz="4" w:space="0" w:color="auto"/>
            </w:tcBorders>
            <w:vAlign w:val="center"/>
          </w:tcPr>
          <w:p w14:paraId="73F2087F" w14:textId="5B9F9A98" w:rsidR="00EF542A" w:rsidRPr="005F007D" w:rsidDel="00F63729" w:rsidRDefault="00EF542A" w:rsidP="005F49A1">
            <w:pPr>
              <w:widowControl w:val="0"/>
              <w:tabs>
                <w:tab w:val="left" w:pos="1041"/>
              </w:tabs>
              <w:spacing w:before="0" w:line="240" w:lineRule="auto"/>
              <w:jc w:val="center"/>
              <w:rPr>
                <w:rFonts w:cs="Arial"/>
              </w:rPr>
            </w:pPr>
            <w:r w:rsidRPr="005F49A1">
              <w:rPr>
                <w:rFonts w:cs="Arial"/>
                <w:color w:val="000000"/>
              </w:rPr>
              <w:t>1.20</w:t>
            </w:r>
          </w:p>
        </w:tc>
        <w:tc>
          <w:tcPr>
            <w:tcW w:w="1078" w:type="dxa"/>
            <w:tcBorders>
              <w:top w:val="single" w:sz="4" w:space="0" w:color="auto"/>
              <w:left w:val="single" w:sz="4" w:space="0" w:color="auto"/>
              <w:bottom w:val="single" w:sz="4" w:space="0" w:color="auto"/>
              <w:right w:val="single" w:sz="4" w:space="0" w:color="auto"/>
            </w:tcBorders>
            <w:vAlign w:val="center"/>
          </w:tcPr>
          <w:p w14:paraId="273CDC43" w14:textId="705AC4E8" w:rsidR="00EF542A" w:rsidRPr="005F007D" w:rsidDel="00F63729" w:rsidRDefault="00EF542A" w:rsidP="005F49A1">
            <w:pPr>
              <w:widowControl w:val="0"/>
              <w:tabs>
                <w:tab w:val="left" w:pos="1041"/>
              </w:tabs>
              <w:spacing w:before="0" w:line="240" w:lineRule="auto"/>
              <w:jc w:val="center"/>
              <w:rPr>
                <w:rFonts w:cs="Arial"/>
              </w:rPr>
            </w:pPr>
            <w:r w:rsidRPr="005F49A1">
              <w:rPr>
                <w:rFonts w:cs="Arial"/>
                <w:color w:val="00000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64DAAE02" w14:textId="6F9B1477" w:rsidR="00EF542A" w:rsidRPr="005F007D" w:rsidDel="00F63729" w:rsidRDefault="007F5503" w:rsidP="005F49A1">
            <w:pPr>
              <w:widowControl w:val="0"/>
              <w:tabs>
                <w:tab w:val="left" w:pos="1041"/>
              </w:tabs>
              <w:spacing w:before="0" w:line="240" w:lineRule="auto"/>
              <w:jc w:val="center"/>
              <w:rPr>
                <w:rFonts w:cs="Arial"/>
              </w:rPr>
            </w:pPr>
            <w:r w:rsidRPr="005F007D">
              <w:rPr>
                <w:rFonts w:cs="Arial"/>
              </w:rPr>
              <w:t>1.21</w:t>
            </w:r>
          </w:p>
        </w:tc>
      </w:tr>
      <w:tr w:rsidR="005F007D" w:rsidRPr="00155714" w14:paraId="57ED52DE" w14:textId="77777777" w:rsidTr="005F49A1">
        <w:trPr>
          <w:trHeight w:val="71"/>
          <w:jc w:val="center"/>
        </w:trPr>
        <w:tc>
          <w:tcPr>
            <w:tcW w:w="16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356E3E" w14:textId="33AEB609" w:rsidR="005F007D" w:rsidRPr="007F5503" w:rsidRDefault="005F007D" w:rsidP="00B46104">
            <w:pPr>
              <w:widowControl w:val="0"/>
              <w:tabs>
                <w:tab w:val="left" w:pos="1041"/>
              </w:tabs>
              <w:spacing w:before="0" w:line="240" w:lineRule="auto"/>
              <w:rPr>
                <w:rFonts w:cs="Arial"/>
              </w:rPr>
            </w:pPr>
            <w:r w:rsidRPr="007F5503">
              <w:rPr>
                <w:rFonts w:cs="Arial"/>
              </w:rPr>
              <w:t>PAC Ratio</w:t>
            </w:r>
          </w:p>
        </w:tc>
        <w:tc>
          <w:tcPr>
            <w:tcW w:w="13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7D32D8C" w14:textId="61FC25F6" w:rsidR="005F007D" w:rsidRPr="005F007D" w:rsidRDefault="005F007D" w:rsidP="005F49A1">
            <w:pPr>
              <w:widowControl w:val="0"/>
              <w:tabs>
                <w:tab w:val="left" w:pos="1041"/>
              </w:tabs>
              <w:spacing w:before="0" w:line="240" w:lineRule="auto"/>
              <w:jc w:val="center"/>
              <w:rPr>
                <w:rFonts w:cs="Arial"/>
              </w:rPr>
            </w:pPr>
            <w:r w:rsidRPr="005F49A1">
              <w:rPr>
                <w:rFonts w:cs="Arial"/>
                <w:color w:val="000000"/>
              </w:rPr>
              <w:t>2.35</w:t>
            </w:r>
          </w:p>
        </w:tc>
        <w:tc>
          <w:tcPr>
            <w:tcW w:w="1524" w:type="dxa"/>
            <w:tcBorders>
              <w:top w:val="single" w:sz="4" w:space="0" w:color="auto"/>
              <w:left w:val="single" w:sz="4" w:space="0" w:color="auto"/>
              <w:bottom w:val="single" w:sz="4" w:space="0" w:color="auto"/>
              <w:right w:val="single" w:sz="4" w:space="0" w:color="auto"/>
            </w:tcBorders>
            <w:vAlign w:val="center"/>
          </w:tcPr>
          <w:p w14:paraId="4B871259" w14:textId="12D6DA0B" w:rsidR="005F007D" w:rsidRPr="005F007D" w:rsidRDefault="005F007D" w:rsidP="005F49A1">
            <w:pPr>
              <w:widowControl w:val="0"/>
              <w:tabs>
                <w:tab w:val="left" w:pos="1041"/>
              </w:tabs>
              <w:spacing w:before="0" w:line="240" w:lineRule="auto"/>
              <w:jc w:val="center"/>
              <w:rPr>
                <w:rFonts w:cs="Arial"/>
              </w:rPr>
            </w:pPr>
            <w:r w:rsidRPr="005F49A1">
              <w:rPr>
                <w:rFonts w:cs="Arial"/>
                <w:color w:val="000000"/>
              </w:rPr>
              <w:t>2.30</w:t>
            </w:r>
          </w:p>
        </w:tc>
        <w:tc>
          <w:tcPr>
            <w:tcW w:w="1438" w:type="dxa"/>
            <w:tcBorders>
              <w:top w:val="single" w:sz="4" w:space="0" w:color="auto"/>
              <w:left w:val="single" w:sz="4" w:space="0" w:color="auto"/>
              <w:bottom w:val="single" w:sz="4" w:space="0" w:color="auto"/>
              <w:right w:val="single" w:sz="4" w:space="0" w:color="auto"/>
            </w:tcBorders>
            <w:vAlign w:val="center"/>
          </w:tcPr>
          <w:p w14:paraId="17D7CCE8" w14:textId="2261D948" w:rsidR="005F007D" w:rsidRPr="005F007D" w:rsidRDefault="005F007D" w:rsidP="005F49A1">
            <w:pPr>
              <w:widowControl w:val="0"/>
              <w:tabs>
                <w:tab w:val="left" w:pos="1041"/>
              </w:tabs>
              <w:spacing w:before="0" w:line="240" w:lineRule="auto"/>
              <w:jc w:val="center"/>
              <w:rPr>
                <w:rFonts w:cs="Arial"/>
              </w:rPr>
            </w:pPr>
            <w:r w:rsidRPr="005F49A1">
              <w:rPr>
                <w:rFonts w:cs="Arial"/>
                <w:color w:val="000000"/>
              </w:rPr>
              <w:t>2.34</w:t>
            </w:r>
          </w:p>
        </w:tc>
        <w:tc>
          <w:tcPr>
            <w:tcW w:w="1529" w:type="dxa"/>
            <w:tcBorders>
              <w:top w:val="single" w:sz="4" w:space="0" w:color="auto"/>
              <w:left w:val="single" w:sz="4" w:space="0" w:color="auto"/>
              <w:bottom w:val="single" w:sz="4" w:space="0" w:color="auto"/>
              <w:right w:val="single" w:sz="4" w:space="0" w:color="auto"/>
            </w:tcBorders>
            <w:vAlign w:val="center"/>
          </w:tcPr>
          <w:p w14:paraId="4CDC9B53" w14:textId="17A1E4B5" w:rsidR="005F007D" w:rsidRPr="005F007D" w:rsidRDefault="005F007D" w:rsidP="005F49A1">
            <w:pPr>
              <w:widowControl w:val="0"/>
              <w:tabs>
                <w:tab w:val="left" w:pos="1041"/>
              </w:tabs>
              <w:spacing w:before="0" w:line="240" w:lineRule="auto"/>
              <w:jc w:val="center"/>
              <w:rPr>
                <w:rFonts w:cs="Arial"/>
              </w:rPr>
            </w:pPr>
            <w:r w:rsidRPr="005F49A1">
              <w:rPr>
                <w:rFonts w:cs="Arial"/>
                <w:color w:val="000000"/>
              </w:rPr>
              <w:t>2.26</w:t>
            </w:r>
          </w:p>
        </w:tc>
        <w:tc>
          <w:tcPr>
            <w:tcW w:w="1078" w:type="dxa"/>
            <w:tcBorders>
              <w:top w:val="single" w:sz="4" w:space="0" w:color="auto"/>
              <w:left w:val="single" w:sz="4" w:space="0" w:color="auto"/>
              <w:bottom w:val="single" w:sz="4" w:space="0" w:color="auto"/>
              <w:right w:val="single" w:sz="4" w:space="0" w:color="auto"/>
            </w:tcBorders>
            <w:vAlign w:val="center"/>
          </w:tcPr>
          <w:p w14:paraId="463F9E16" w14:textId="14FE29B1" w:rsidR="005F007D" w:rsidRPr="005F007D" w:rsidRDefault="005F007D" w:rsidP="005F49A1">
            <w:pPr>
              <w:widowControl w:val="0"/>
              <w:tabs>
                <w:tab w:val="left" w:pos="1041"/>
              </w:tabs>
              <w:spacing w:before="0" w:line="240" w:lineRule="auto"/>
              <w:jc w:val="center"/>
              <w:rPr>
                <w:rFonts w:cs="Arial"/>
              </w:rPr>
            </w:pPr>
            <w:r w:rsidRPr="005F49A1">
              <w:rPr>
                <w:rFonts w:cs="Arial"/>
                <w:color w:val="000000"/>
              </w:rPr>
              <w:t>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1A09127" w14:textId="4EBF5E8B" w:rsidR="005F007D" w:rsidRPr="005F007D" w:rsidRDefault="005F007D" w:rsidP="005F49A1">
            <w:pPr>
              <w:widowControl w:val="0"/>
              <w:tabs>
                <w:tab w:val="left" w:pos="1041"/>
              </w:tabs>
              <w:spacing w:before="0" w:line="240" w:lineRule="auto"/>
              <w:jc w:val="center"/>
              <w:rPr>
                <w:rFonts w:cs="Arial"/>
              </w:rPr>
            </w:pPr>
            <w:r w:rsidRPr="005F007D">
              <w:rPr>
                <w:rFonts w:cs="Arial"/>
              </w:rPr>
              <w:t>2.30</w:t>
            </w:r>
          </w:p>
        </w:tc>
      </w:tr>
      <w:tr w:rsidR="00C83736" w:rsidRPr="00155714" w14:paraId="7B6237A0" w14:textId="77777777" w:rsidTr="005F49A1">
        <w:trPr>
          <w:trHeight w:val="71"/>
          <w:jc w:val="center"/>
        </w:trPr>
        <w:tc>
          <w:tcPr>
            <w:tcW w:w="16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90F659" w14:textId="3F8EDA65" w:rsidR="00C83736" w:rsidRPr="007F5503" w:rsidRDefault="00C83736" w:rsidP="00C83736">
            <w:pPr>
              <w:widowControl w:val="0"/>
              <w:tabs>
                <w:tab w:val="left" w:pos="1041"/>
              </w:tabs>
              <w:spacing w:before="0" w:line="240" w:lineRule="auto"/>
              <w:rPr>
                <w:rFonts w:cs="Arial"/>
                <w:lang w:val="en-US"/>
              </w:rPr>
            </w:pPr>
            <w:r w:rsidRPr="00863C19">
              <w:rPr>
                <w:rFonts w:cs="Arial"/>
                <w:lang w:val="en-US"/>
              </w:rPr>
              <w:t xml:space="preserve">TRC Ratio </w:t>
            </w:r>
            <w:proofErr w:type="spellStart"/>
            <w:r w:rsidRPr="00863C19">
              <w:rPr>
                <w:rFonts w:cs="Arial"/>
                <w:lang w:val="en-US"/>
              </w:rPr>
              <w:t>NoAdmin</w:t>
            </w:r>
            <w:proofErr w:type="spellEnd"/>
          </w:p>
        </w:tc>
        <w:tc>
          <w:tcPr>
            <w:tcW w:w="13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479D28" w14:textId="30C45BA5" w:rsidR="00C83736" w:rsidRPr="005F007D" w:rsidRDefault="00C83736" w:rsidP="005F49A1">
            <w:pPr>
              <w:widowControl w:val="0"/>
              <w:tabs>
                <w:tab w:val="left" w:pos="1041"/>
              </w:tabs>
              <w:spacing w:before="0" w:line="240" w:lineRule="auto"/>
              <w:jc w:val="center"/>
              <w:rPr>
                <w:rFonts w:cs="Arial"/>
              </w:rPr>
            </w:pPr>
            <w:r w:rsidRPr="005F49A1">
              <w:rPr>
                <w:rFonts w:cs="Arial"/>
              </w:rPr>
              <w:t>1.45</w:t>
            </w:r>
          </w:p>
        </w:tc>
        <w:tc>
          <w:tcPr>
            <w:tcW w:w="1524" w:type="dxa"/>
            <w:tcBorders>
              <w:top w:val="single" w:sz="4" w:space="0" w:color="auto"/>
              <w:left w:val="single" w:sz="4" w:space="0" w:color="auto"/>
              <w:bottom w:val="single" w:sz="4" w:space="0" w:color="auto"/>
              <w:right w:val="single" w:sz="4" w:space="0" w:color="auto"/>
            </w:tcBorders>
            <w:vAlign w:val="center"/>
          </w:tcPr>
          <w:p w14:paraId="5064E5CA" w14:textId="31FAC475" w:rsidR="00C83736" w:rsidRPr="005F007D" w:rsidDel="00E05EA2" w:rsidRDefault="00C83736" w:rsidP="005F49A1">
            <w:pPr>
              <w:widowControl w:val="0"/>
              <w:tabs>
                <w:tab w:val="left" w:pos="1041"/>
              </w:tabs>
              <w:spacing w:before="0" w:line="240" w:lineRule="auto"/>
              <w:jc w:val="center"/>
              <w:rPr>
                <w:rFonts w:cs="Arial"/>
              </w:rPr>
            </w:pPr>
            <w:r w:rsidRPr="005F49A1">
              <w:rPr>
                <w:rFonts w:cs="Arial"/>
              </w:rPr>
              <w:t>1.46</w:t>
            </w:r>
          </w:p>
        </w:tc>
        <w:tc>
          <w:tcPr>
            <w:tcW w:w="1438" w:type="dxa"/>
            <w:tcBorders>
              <w:top w:val="single" w:sz="4" w:space="0" w:color="auto"/>
              <w:left w:val="single" w:sz="4" w:space="0" w:color="auto"/>
              <w:bottom w:val="single" w:sz="4" w:space="0" w:color="auto"/>
              <w:right w:val="single" w:sz="4" w:space="0" w:color="auto"/>
            </w:tcBorders>
            <w:vAlign w:val="center"/>
          </w:tcPr>
          <w:p w14:paraId="49D0638E" w14:textId="14D7392D" w:rsidR="00C83736" w:rsidRPr="005F007D" w:rsidRDefault="00C83736" w:rsidP="005F49A1">
            <w:pPr>
              <w:widowControl w:val="0"/>
              <w:tabs>
                <w:tab w:val="left" w:pos="1041"/>
              </w:tabs>
              <w:spacing w:before="0" w:line="240" w:lineRule="auto"/>
              <w:jc w:val="center"/>
              <w:rPr>
                <w:rFonts w:cs="Arial"/>
              </w:rPr>
            </w:pPr>
            <w:r w:rsidRPr="005F49A1">
              <w:rPr>
                <w:rFonts w:cs="Arial"/>
              </w:rPr>
              <w:t>1.46</w:t>
            </w:r>
          </w:p>
        </w:tc>
        <w:tc>
          <w:tcPr>
            <w:tcW w:w="1529" w:type="dxa"/>
            <w:tcBorders>
              <w:top w:val="single" w:sz="4" w:space="0" w:color="auto"/>
              <w:left w:val="single" w:sz="4" w:space="0" w:color="auto"/>
              <w:bottom w:val="single" w:sz="4" w:space="0" w:color="auto"/>
              <w:right w:val="single" w:sz="4" w:space="0" w:color="auto"/>
            </w:tcBorders>
            <w:vAlign w:val="center"/>
          </w:tcPr>
          <w:p w14:paraId="5A880B03" w14:textId="209F9576" w:rsidR="00C83736" w:rsidRPr="005F007D" w:rsidRDefault="00C83736" w:rsidP="005F49A1">
            <w:pPr>
              <w:widowControl w:val="0"/>
              <w:tabs>
                <w:tab w:val="left" w:pos="1041"/>
              </w:tabs>
              <w:spacing w:before="0" w:line="240" w:lineRule="auto"/>
              <w:jc w:val="center"/>
              <w:rPr>
                <w:rFonts w:cs="Arial"/>
              </w:rPr>
            </w:pPr>
            <w:r w:rsidRPr="005F49A1">
              <w:rPr>
                <w:rFonts w:cs="Arial"/>
              </w:rPr>
              <w:t>1.46</w:t>
            </w:r>
          </w:p>
        </w:tc>
        <w:tc>
          <w:tcPr>
            <w:tcW w:w="1078" w:type="dxa"/>
            <w:tcBorders>
              <w:top w:val="single" w:sz="4" w:space="0" w:color="auto"/>
              <w:left w:val="single" w:sz="4" w:space="0" w:color="auto"/>
              <w:bottom w:val="single" w:sz="4" w:space="0" w:color="auto"/>
              <w:right w:val="single" w:sz="4" w:space="0" w:color="auto"/>
            </w:tcBorders>
            <w:vAlign w:val="center"/>
          </w:tcPr>
          <w:p w14:paraId="301B566C" w14:textId="113BD5CC" w:rsidR="00C83736" w:rsidRPr="005F007D" w:rsidRDefault="00C83736" w:rsidP="005F49A1">
            <w:pPr>
              <w:widowControl w:val="0"/>
              <w:tabs>
                <w:tab w:val="left" w:pos="1041"/>
              </w:tabs>
              <w:spacing w:before="0" w:line="240" w:lineRule="auto"/>
              <w:jc w:val="center"/>
              <w:rPr>
                <w:rFonts w:cs="Arial"/>
              </w:rPr>
            </w:pPr>
            <w:r w:rsidRPr="005F49A1">
              <w:rPr>
                <w:rFonts w:cs="Arial"/>
              </w:rPr>
              <w:t>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3CF2907" w14:textId="3F0CFF5E" w:rsidR="00C83736" w:rsidRPr="005F007D" w:rsidRDefault="00C83736" w:rsidP="005F49A1">
            <w:pPr>
              <w:widowControl w:val="0"/>
              <w:tabs>
                <w:tab w:val="left" w:pos="1041"/>
              </w:tabs>
              <w:spacing w:before="0" w:line="240" w:lineRule="auto"/>
              <w:jc w:val="center"/>
              <w:rPr>
                <w:rFonts w:cs="Arial"/>
              </w:rPr>
            </w:pPr>
            <w:r w:rsidRPr="005F007D">
              <w:rPr>
                <w:rFonts w:cs="Arial"/>
              </w:rPr>
              <w:t>1.46</w:t>
            </w:r>
          </w:p>
        </w:tc>
      </w:tr>
    </w:tbl>
    <w:p w14:paraId="1C083F12" w14:textId="77777777" w:rsidR="00724CE5" w:rsidRDefault="00724CE5" w:rsidP="005F49A1">
      <w:pPr>
        <w:widowControl w:val="0"/>
        <w:tabs>
          <w:tab w:val="left" w:pos="90"/>
          <w:tab w:val="left" w:pos="360"/>
          <w:tab w:val="left" w:pos="1041"/>
        </w:tabs>
        <w:spacing w:before="20"/>
        <w:rPr>
          <w:rFonts w:cs="Arial"/>
        </w:rPr>
      </w:pPr>
    </w:p>
    <w:p w14:paraId="41F3CD66" w14:textId="7B061D10" w:rsidR="000A579F" w:rsidRPr="00B54114" w:rsidRDefault="000A579F" w:rsidP="005F49A1">
      <w:pPr>
        <w:widowControl w:val="0"/>
        <w:tabs>
          <w:tab w:val="left" w:pos="90"/>
          <w:tab w:val="left" w:pos="360"/>
          <w:tab w:val="left" w:pos="1041"/>
        </w:tabs>
        <w:spacing w:before="20"/>
        <w:rPr>
          <w:rFonts w:cs="Arial"/>
          <w:b/>
          <w:bCs/>
        </w:rPr>
      </w:pPr>
      <w:r w:rsidRPr="00B54114">
        <w:rPr>
          <w:rFonts w:cs="Arial"/>
          <w:b/>
          <w:bCs/>
        </w:rPr>
        <w:t>Residential Sub-Program</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616"/>
        <w:gridCol w:w="1353"/>
        <w:gridCol w:w="1524"/>
        <w:gridCol w:w="1438"/>
        <w:gridCol w:w="1529"/>
        <w:gridCol w:w="1078"/>
        <w:gridCol w:w="1558"/>
      </w:tblGrid>
      <w:tr w:rsidR="000A579F" w:rsidRPr="00155714" w14:paraId="13C8E23B" w14:textId="77777777">
        <w:trPr>
          <w:trHeight w:val="87"/>
          <w:jc w:val="center"/>
        </w:trPr>
        <w:tc>
          <w:tcPr>
            <w:tcW w:w="1616" w:type="dxa"/>
            <w:tcBorders>
              <w:top w:val="single" w:sz="4" w:space="0" w:color="auto"/>
              <w:left w:val="single" w:sz="4" w:space="0" w:color="auto"/>
              <w:bottom w:val="single" w:sz="4" w:space="0" w:color="auto"/>
              <w:right w:val="single" w:sz="4" w:space="0" w:color="auto"/>
            </w:tcBorders>
            <w:shd w:val="clear" w:color="auto" w:fill="008080"/>
            <w:tcMar>
              <w:top w:w="100" w:type="dxa"/>
              <w:left w:w="100" w:type="dxa"/>
              <w:bottom w:w="100" w:type="dxa"/>
              <w:right w:w="100" w:type="dxa"/>
            </w:tcMar>
          </w:tcPr>
          <w:p w14:paraId="5FAE984A" w14:textId="77777777" w:rsidR="000A579F" w:rsidRPr="007B19EB" w:rsidRDefault="000A579F">
            <w:pPr>
              <w:widowControl w:val="0"/>
              <w:spacing w:before="0" w:line="240" w:lineRule="auto"/>
              <w:jc w:val="center"/>
              <w:rPr>
                <w:rFonts w:cs="Arial"/>
                <w:b/>
                <w:color w:val="FFFFFF" w:themeColor="background1"/>
              </w:rPr>
            </w:pPr>
            <w:r w:rsidRPr="007B19EB">
              <w:rPr>
                <w:rFonts w:cs="Arial"/>
                <w:b/>
                <w:color w:val="FFFFFF" w:themeColor="background1"/>
              </w:rPr>
              <w:t>Year</w:t>
            </w:r>
          </w:p>
        </w:tc>
        <w:tc>
          <w:tcPr>
            <w:tcW w:w="1353" w:type="dxa"/>
            <w:tcBorders>
              <w:top w:val="single" w:sz="4" w:space="0" w:color="auto"/>
              <w:left w:val="single" w:sz="4" w:space="0" w:color="auto"/>
              <w:bottom w:val="single" w:sz="4" w:space="0" w:color="auto"/>
              <w:right w:val="single" w:sz="4" w:space="0" w:color="auto"/>
            </w:tcBorders>
            <w:shd w:val="clear" w:color="auto" w:fill="008080"/>
            <w:tcMar>
              <w:top w:w="100" w:type="dxa"/>
              <w:left w:w="100" w:type="dxa"/>
              <w:bottom w:w="100" w:type="dxa"/>
              <w:right w:w="100" w:type="dxa"/>
            </w:tcMar>
          </w:tcPr>
          <w:p w14:paraId="48154798" w14:textId="77777777" w:rsidR="000A579F" w:rsidRPr="007B19EB" w:rsidRDefault="000A579F">
            <w:pPr>
              <w:widowControl w:val="0"/>
              <w:tabs>
                <w:tab w:val="left" w:pos="1041"/>
              </w:tabs>
              <w:spacing w:before="0" w:line="240" w:lineRule="auto"/>
              <w:jc w:val="center"/>
              <w:rPr>
                <w:rFonts w:cs="Arial"/>
                <w:b/>
                <w:color w:val="FFFFFF" w:themeColor="background1"/>
              </w:rPr>
            </w:pPr>
            <w:r w:rsidRPr="007B19EB">
              <w:rPr>
                <w:rFonts w:cs="Arial"/>
                <w:b/>
                <w:color w:val="FFFFFF" w:themeColor="background1"/>
              </w:rPr>
              <w:t>2024</w:t>
            </w:r>
          </w:p>
        </w:tc>
        <w:tc>
          <w:tcPr>
            <w:tcW w:w="1524" w:type="dxa"/>
            <w:tcBorders>
              <w:top w:val="single" w:sz="4" w:space="0" w:color="auto"/>
              <w:left w:val="single" w:sz="4" w:space="0" w:color="auto"/>
              <w:bottom w:val="single" w:sz="4" w:space="0" w:color="auto"/>
              <w:right w:val="single" w:sz="4" w:space="0" w:color="auto"/>
            </w:tcBorders>
            <w:shd w:val="clear" w:color="auto" w:fill="008080"/>
          </w:tcPr>
          <w:p w14:paraId="73685D98" w14:textId="77777777" w:rsidR="000A579F" w:rsidRPr="007B19EB" w:rsidRDefault="000A579F">
            <w:pPr>
              <w:widowControl w:val="0"/>
              <w:tabs>
                <w:tab w:val="left" w:pos="1041"/>
              </w:tabs>
              <w:spacing w:before="0" w:line="240" w:lineRule="auto"/>
              <w:jc w:val="center"/>
              <w:rPr>
                <w:rFonts w:cs="Arial"/>
                <w:b/>
                <w:color w:val="FFFFFF" w:themeColor="background1"/>
              </w:rPr>
            </w:pPr>
            <w:r w:rsidRPr="007B19EB">
              <w:rPr>
                <w:rFonts w:cs="Arial"/>
                <w:b/>
                <w:color w:val="FFFFFF" w:themeColor="background1"/>
              </w:rPr>
              <w:t>2025</w:t>
            </w:r>
          </w:p>
        </w:tc>
        <w:tc>
          <w:tcPr>
            <w:tcW w:w="1438" w:type="dxa"/>
            <w:tcBorders>
              <w:top w:val="single" w:sz="4" w:space="0" w:color="auto"/>
              <w:left w:val="single" w:sz="4" w:space="0" w:color="auto"/>
              <w:bottom w:val="single" w:sz="4" w:space="0" w:color="auto"/>
              <w:right w:val="single" w:sz="4" w:space="0" w:color="auto"/>
            </w:tcBorders>
            <w:shd w:val="clear" w:color="auto" w:fill="008080"/>
          </w:tcPr>
          <w:p w14:paraId="05DB8616" w14:textId="77777777" w:rsidR="000A579F" w:rsidRPr="007B19EB" w:rsidRDefault="000A579F">
            <w:pPr>
              <w:widowControl w:val="0"/>
              <w:tabs>
                <w:tab w:val="left" w:pos="1041"/>
              </w:tabs>
              <w:spacing w:before="0" w:line="240" w:lineRule="auto"/>
              <w:jc w:val="center"/>
              <w:rPr>
                <w:rFonts w:cs="Arial"/>
                <w:b/>
                <w:color w:val="FFFFFF" w:themeColor="background1"/>
              </w:rPr>
            </w:pPr>
            <w:r w:rsidRPr="007B19EB">
              <w:rPr>
                <w:rFonts w:cs="Arial"/>
                <w:b/>
                <w:color w:val="FFFFFF" w:themeColor="background1"/>
              </w:rPr>
              <w:t>2026</w:t>
            </w:r>
          </w:p>
        </w:tc>
        <w:tc>
          <w:tcPr>
            <w:tcW w:w="1529" w:type="dxa"/>
            <w:tcBorders>
              <w:top w:val="single" w:sz="4" w:space="0" w:color="auto"/>
              <w:left w:val="single" w:sz="4" w:space="0" w:color="auto"/>
              <w:bottom w:val="single" w:sz="4" w:space="0" w:color="auto"/>
              <w:right w:val="single" w:sz="4" w:space="0" w:color="auto"/>
            </w:tcBorders>
            <w:shd w:val="clear" w:color="auto" w:fill="008080"/>
          </w:tcPr>
          <w:p w14:paraId="51B3A2D4" w14:textId="77777777" w:rsidR="000A579F" w:rsidRPr="007B19EB" w:rsidRDefault="000A579F">
            <w:pPr>
              <w:widowControl w:val="0"/>
              <w:tabs>
                <w:tab w:val="left" w:pos="1041"/>
              </w:tabs>
              <w:spacing w:before="0" w:line="240" w:lineRule="auto"/>
              <w:jc w:val="center"/>
              <w:rPr>
                <w:rFonts w:cs="Arial"/>
                <w:b/>
                <w:color w:val="FFFFFF" w:themeColor="background1"/>
              </w:rPr>
            </w:pPr>
            <w:r w:rsidRPr="007B19EB">
              <w:rPr>
                <w:rFonts w:cs="Arial"/>
                <w:b/>
                <w:color w:val="FFFFFF" w:themeColor="background1"/>
              </w:rPr>
              <w:t>2027</w:t>
            </w:r>
          </w:p>
        </w:tc>
        <w:tc>
          <w:tcPr>
            <w:tcW w:w="1078" w:type="dxa"/>
            <w:tcBorders>
              <w:top w:val="single" w:sz="4" w:space="0" w:color="auto"/>
              <w:left w:val="single" w:sz="4" w:space="0" w:color="auto"/>
              <w:bottom w:val="single" w:sz="4" w:space="0" w:color="auto"/>
              <w:right w:val="single" w:sz="4" w:space="0" w:color="auto"/>
            </w:tcBorders>
            <w:shd w:val="clear" w:color="auto" w:fill="008080"/>
          </w:tcPr>
          <w:p w14:paraId="737A78A1" w14:textId="77777777" w:rsidR="000A579F" w:rsidRPr="007B19EB" w:rsidRDefault="000A579F">
            <w:pPr>
              <w:widowControl w:val="0"/>
              <w:tabs>
                <w:tab w:val="left" w:pos="1041"/>
              </w:tabs>
              <w:spacing w:before="0" w:line="240" w:lineRule="auto"/>
              <w:jc w:val="center"/>
              <w:rPr>
                <w:rFonts w:cs="Arial"/>
                <w:b/>
                <w:color w:val="FFFFFF" w:themeColor="background1"/>
              </w:rPr>
            </w:pPr>
            <w:r w:rsidRPr="007B19EB">
              <w:rPr>
                <w:rFonts w:cs="Arial"/>
                <w:b/>
                <w:color w:val="FFFFFF" w:themeColor="background1"/>
              </w:rPr>
              <w:t>2028</w:t>
            </w:r>
          </w:p>
        </w:tc>
        <w:tc>
          <w:tcPr>
            <w:tcW w:w="1558" w:type="dxa"/>
            <w:tcBorders>
              <w:top w:val="single" w:sz="4" w:space="0" w:color="auto"/>
              <w:left w:val="single" w:sz="4" w:space="0" w:color="auto"/>
              <w:bottom w:val="single" w:sz="4" w:space="0" w:color="auto"/>
              <w:right w:val="single" w:sz="4" w:space="0" w:color="auto"/>
            </w:tcBorders>
            <w:shd w:val="clear" w:color="auto" w:fill="008080"/>
          </w:tcPr>
          <w:p w14:paraId="3C729B9E" w14:textId="77777777" w:rsidR="000A579F" w:rsidRPr="007B19EB" w:rsidRDefault="000A579F">
            <w:pPr>
              <w:widowControl w:val="0"/>
              <w:tabs>
                <w:tab w:val="left" w:pos="1041"/>
              </w:tabs>
              <w:spacing w:before="0" w:line="240" w:lineRule="auto"/>
              <w:jc w:val="center"/>
              <w:rPr>
                <w:rFonts w:cs="Arial"/>
                <w:b/>
                <w:color w:val="FFFFFF" w:themeColor="background1"/>
              </w:rPr>
            </w:pPr>
            <w:r w:rsidRPr="007B19EB">
              <w:rPr>
                <w:rFonts w:cs="Arial"/>
                <w:b/>
                <w:color w:val="FFFFFF" w:themeColor="background1"/>
              </w:rPr>
              <w:t>Program Total</w:t>
            </w:r>
          </w:p>
        </w:tc>
      </w:tr>
      <w:tr w:rsidR="009E2211" w:rsidRPr="00155714" w14:paraId="6C619870" w14:textId="77777777" w:rsidTr="00B54114">
        <w:trPr>
          <w:trHeight w:val="71"/>
          <w:jc w:val="center"/>
        </w:trPr>
        <w:tc>
          <w:tcPr>
            <w:tcW w:w="16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9B9F24" w14:textId="77777777" w:rsidR="009E2211" w:rsidRPr="007F5503" w:rsidRDefault="009E2211" w:rsidP="009E2211">
            <w:pPr>
              <w:widowControl w:val="0"/>
              <w:tabs>
                <w:tab w:val="left" w:pos="1041"/>
              </w:tabs>
              <w:spacing w:before="0" w:line="240" w:lineRule="auto"/>
              <w:rPr>
                <w:rFonts w:cs="Arial"/>
              </w:rPr>
            </w:pPr>
            <w:r w:rsidRPr="007F5503">
              <w:rPr>
                <w:rFonts w:cs="Arial"/>
              </w:rPr>
              <w:t>TRC Ratio</w:t>
            </w:r>
          </w:p>
        </w:tc>
        <w:tc>
          <w:tcPr>
            <w:tcW w:w="13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34FA47" w14:textId="31DEE5F0" w:rsidR="009E2211" w:rsidRPr="005F007D" w:rsidRDefault="009E2211" w:rsidP="009E2211">
            <w:pPr>
              <w:widowControl w:val="0"/>
              <w:tabs>
                <w:tab w:val="left" w:pos="1041"/>
              </w:tabs>
              <w:spacing w:before="0" w:line="240" w:lineRule="auto"/>
              <w:jc w:val="center"/>
              <w:rPr>
                <w:rFonts w:cs="Arial"/>
              </w:rPr>
            </w:pPr>
            <w:r w:rsidRPr="00AB5784">
              <w:t>0.25</w:t>
            </w:r>
          </w:p>
        </w:tc>
        <w:tc>
          <w:tcPr>
            <w:tcW w:w="1524" w:type="dxa"/>
            <w:tcBorders>
              <w:top w:val="single" w:sz="4" w:space="0" w:color="auto"/>
              <w:left w:val="single" w:sz="4" w:space="0" w:color="auto"/>
              <w:bottom w:val="single" w:sz="4" w:space="0" w:color="auto"/>
              <w:right w:val="single" w:sz="4" w:space="0" w:color="auto"/>
            </w:tcBorders>
          </w:tcPr>
          <w:p w14:paraId="2072333D" w14:textId="4F27EFD2" w:rsidR="009E2211" w:rsidRPr="005F007D" w:rsidRDefault="009E2211" w:rsidP="009E2211">
            <w:pPr>
              <w:widowControl w:val="0"/>
              <w:tabs>
                <w:tab w:val="left" w:pos="1041"/>
              </w:tabs>
              <w:spacing w:before="0" w:line="240" w:lineRule="auto"/>
              <w:jc w:val="center"/>
              <w:rPr>
                <w:rFonts w:cs="Arial"/>
              </w:rPr>
            </w:pPr>
            <w:r w:rsidRPr="00AB5784">
              <w:t>0.28</w:t>
            </w:r>
          </w:p>
        </w:tc>
        <w:tc>
          <w:tcPr>
            <w:tcW w:w="1438" w:type="dxa"/>
            <w:tcBorders>
              <w:top w:val="single" w:sz="4" w:space="0" w:color="auto"/>
              <w:left w:val="single" w:sz="4" w:space="0" w:color="auto"/>
              <w:bottom w:val="single" w:sz="4" w:space="0" w:color="auto"/>
              <w:right w:val="single" w:sz="4" w:space="0" w:color="auto"/>
            </w:tcBorders>
          </w:tcPr>
          <w:p w14:paraId="58245C89" w14:textId="4A282324" w:rsidR="009E2211" w:rsidRPr="005F007D" w:rsidDel="00F63729" w:rsidRDefault="009E2211" w:rsidP="009E2211">
            <w:pPr>
              <w:widowControl w:val="0"/>
              <w:tabs>
                <w:tab w:val="left" w:pos="1041"/>
              </w:tabs>
              <w:spacing w:before="0" w:line="240" w:lineRule="auto"/>
              <w:jc w:val="center"/>
              <w:rPr>
                <w:rFonts w:cs="Arial"/>
              </w:rPr>
            </w:pPr>
            <w:r w:rsidRPr="00AB5784">
              <w:t>0.29</w:t>
            </w:r>
          </w:p>
        </w:tc>
        <w:tc>
          <w:tcPr>
            <w:tcW w:w="1529" w:type="dxa"/>
            <w:tcBorders>
              <w:top w:val="single" w:sz="4" w:space="0" w:color="auto"/>
              <w:left w:val="single" w:sz="4" w:space="0" w:color="auto"/>
              <w:bottom w:val="single" w:sz="4" w:space="0" w:color="auto"/>
              <w:right w:val="single" w:sz="4" w:space="0" w:color="auto"/>
            </w:tcBorders>
          </w:tcPr>
          <w:p w14:paraId="05FEE883" w14:textId="00D90821" w:rsidR="009E2211" w:rsidRPr="005F007D" w:rsidDel="00F63729" w:rsidRDefault="009E2211" w:rsidP="009E2211">
            <w:pPr>
              <w:widowControl w:val="0"/>
              <w:tabs>
                <w:tab w:val="left" w:pos="1041"/>
              </w:tabs>
              <w:spacing w:before="0" w:line="240" w:lineRule="auto"/>
              <w:jc w:val="center"/>
              <w:rPr>
                <w:rFonts w:cs="Arial"/>
              </w:rPr>
            </w:pPr>
            <w:r w:rsidRPr="00AB5784">
              <w:t>0.29</w:t>
            </w:r>
          </w:p>
        </w:tc>
        <w:tc>
          <w:tcPr>
            <w:tcW w:w="1078" w:type="dxa"/>
            <w:tcBorders>
              <w:top w:val="single" w:sz="4" w:space="0" w:color="auto"/>
              <w:left w:val="single" w:sz="4" w:space="0" w:color="auto"/>
              <w:bottom w:val="single" w:sz="4" w:space="0" w:color="auto"/>
              <w:right w:val="single" w:sz="4" w:space="0" w:color="auto"/>
            </w:tcBorders>
          </w:tcPr>
          <w:p w14:paraId="1F2A9CEB" w14:textId="21198A9E" w:rsidR="009E2211" w:rsidRPr="005F007D" w:rsidDel="00F63729" w:rsidRDefault="009E2211" w:rsidP="009E2211">
            <w:pPr>
              <w:widowControl w:val="0"/>
              <w:tabs>
                <w:tab w:val="left" w:pos="1041"/>
              </w:tabs>
              <w:spacing w:before="0" w:line="240" w:lineRule="auto"/>
              <w:jc w:val="center"/>
              <w:rPr>
                <w:rFonts w:cs="Arial"/>
              </w:rPr>
            </w:pPr>
            <w:r w:rsidRPr="00AB5784">
              <w:t>0.00</w:t>
            </w:r>
          </w:p>
        </w:tc>
        <w:tc>
          <w:tcPr>
            <w:tcW w:w="1558" w:type="dxa"/>
            <w:tcBorders>
              <w:top w:val="single" w:sz="4" w:space="0" w:color="auto"/>
              <w:left w:val="single" w:sz="4" w:space="0" w:color="auto"/>
              <w:bottom w:val="single" w:sz="4" w:space="0" w:color="auto"/>
              <w:right w:val="single" w:sz="4" w:space="0" w:color="auto"/>
            </w:tcBorders>
          </w:tcPr>
          <w:p w14:paraId="40D2A71B" w14:textId="6BE7A4D1" w:rsidR="009E2211" w:rsidRPr="005F007D" w:rsidDel="00F63729" w:rsidRDefault="009E2211" w:rsidP="009E2211">
            <w:pPr>
              <w:widowControl w:val="0"/>
              <w:tabs>
                <w:tab w:val="left" w:pos="1041"/>
              </w:tabs>
              <w:spacing w:before="0" w:line="240" w:lineRule="auto"/>
              <w:jc w:val="center"/>
              <w:rPr>
                <w:rFonts w:cs="Arial"/>
              </w:rPr>
            </w:pPr>
            <w:r w:rsidRPr="00AB5784">
              <w:t>0.28</w:t>
            </w:r>
          </w:p>
        </w:tc>
      </w:tr>
      <w:tr w:rsidR="009E2211" w:rsidRPr="00155714" w14:paraId="7816C261" w14:textId="77777777" w:rsidTr="00B54114">
        <w:trPr>
          <w:trHeight w:val="71"/>
          <w:jc w:val="center"/>
        </w:trPr>
        <w:tc>
          <w:tcPr>
            <w:tcW w:w="16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21F486" w14:textId="77777777" w:rsidR="009E2211" w:rsidRPr="007F5503" w:rsidRDefault="009E2211" w:rsidP="009E2211">
            <w:pPr>
              <w:widowControl w:val="0"/>
              <w:tabs>
                <w:tab w:val="left" w:pos="1041"/>
              </w:tabs>
              <w:spacing w:before="0" w:line="240" w:lineRule="auto"/>
              <w:rPr>
                <w:rFonts w:cs="Arial"/>
              </w:rPr>
            </w:pPr>
            <w:r w:rsidRPr="007F5503">
              <w:rPr>
                <w:rFonts w:cs="Arial"/>
              </w:rPr>
              <w:t>PAC Ratio</w:t>
            </w:r>
          </w:p>
        </w:tc>
        <w:tc>
          <w:tcPr>
            <w:tcW w:w="13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AEB1FC" w14:textId="30AACDF7" w:rsidR="009E2211" w:rsidRPr="005F007D" w:rsidRDefault="009E2211" w:rsidP="009E2211">
            <w:pPr>
              <w:widowControl w:val="0"/>
              <w:tabs>
                <w:tab w:val="left" w:pos="1041"/>
              </w:tabs>
              <w:spacing w:before="0" w:line="240" w:lineRule="auto"/>
              <w:jc w:val="center"/>
              <w:rPr>
                <w:rFonts w:cs="Arial"/>
              </w:rPr>
            </w:pPr>
            <w:r w:rsidRPr="00AB5784">
              <w:t>1.22</w:t>
            </w:r>
          </w:p>
        </w:tc>
        <w:tc>
          <w:tcPr>
            <w:tcW w:w="1524" w:type="dxa"/>
            <w:tcBorders>
              <w:top w:val="single" w:sz="4" w:space="0" w:color="auto"/>
              <w:left w:val="single" w:sz="4" w:space="0" w:color="auto"/>
              <w:bottom w:val="single" w:sz="4" w:space="0" w:color="auto"/>
              <w:right w:val="single" w:sz="4" w:space="0" w:color="auto"/>
            </w:tcBorders>
          </w:tcPr>
          <w:p w14:paraId="04EF13C0" w14:textId="23AC4B7B" w:rsidR="009E2211" w:rsidRPr="005F007D" w:rsidRDefault="009E2211" w:rsidP="009E2211">
            <w:pPr>
              <w:widowControl w:val="0"/>
              <w:tabs>
                <w:tab w:val="left" w:pos="1041"/>
              </w:tabs>
              <w:spacing w:before="0" w:line="240" w:lineRule="auto"/>
              <w:jc w:val="center"/>
              <w:rPr>
                <w:rFonts w:cs="Arial"/>
              </w:rPr>
            </w:pPr>
            <w:r w:rsidRPr="00AB5784">
              <w:t>2.13</w:t>
            </w:r>
          </w:p>
        </w:tc>
        <w:tc>
          <w:tcPr>
            <w:tcW w:w="1438" w:type="dxa"/>
            <w:tcBorders>
              <w:top w:val="single" w:sz="4" w:space="0" w:color="auto"/>
              <w:left w:val="single" w:sz="4" w:space="0" w:color="auto"/>
              <w:bottom w:val="single" w:sz="4" w:space="0" w:color="auto"/>
              <w:right w:val="single" w:sz="4" w:space="0" w:color="auto"/>
            </w:tcBorders>
          </w:tcPr>
          <w:p w14:paraId="62D56252" w14:textId="23D883DA" w:rsidR="009E2211" w:rsidRPr="005F007D" w:rsidRDefault="009E2211" w:rsidP="009E2211">
            <w:pPr>
              <w:widowControl w:val="0"/>
              <w:tabs>
                <w:tab w:val="left" w:pos="1041"/>
              </w:tabs>
              <w:spacing w:before="0" w:line="240" w:lineRule="auto"/>
              <w:jc w:val="center"/>
              <w:rPr>
                <w:rFonts w:cs="Arial"/>
              </w:rPr>
            </w:pPr>
            <w:r w:rsidRPr="00AB5784">
              <w:t>2.87</w:t>
            </w:r>
          </w:p>
        </w:tc>
        <w:tc>
          <w:tcPr>
            <w:tcW w:w="1529" w:type="dxa"/>
            <w:tcBorders>
              <w:top w:val="single" w:sz="4" w:space="0" w:color="auto"/>
              <w:left w:val="single" w:sz="4" w:space="0" w:color="auto"/>
              <w:bottom w:val="single" w:sz="4" w:space="0" w:color="auto"/>
              <w:right w:val="single" w:sz="4" w:space="0" w:color="auto"/>
            </w:tcBorders>
          </w:tcPr>
          <w:p w14:paraId="2F29DF1F" w14:textId="444717B0" w:rsidR="009E2211" w:rsidRPr="005F007D" w:rsidRDefault="009E2211" w:rsidP="009E2211">
            <w:pPr>
              <w:widowControl w:val="0"/>
              <w:tabs>
                <w:tab w:val="left" w:pos="1041"/>
              </w:tabs>
              <w:spacing w:before="0" w:line="240" w:lineRule="auto"/>
              <w:jc w:val="center"/>
              <w:rPr>
                <w:rFonts w:cs="Arial"/>
              </w:rPr>
            </w:pPr>
            <w:r w:rsidRPr="00AB5784">
              <w:t>2.86</w:t>
            </w:r>
          </w:p>
        </w:tc>
        <w:tc>
          <w:tcPr>
            <w:tcW w:w="1078" w:type="dxa"/>
            <w:tcBorders>
              <w:top w:val="single" w:sz="4" w:space="0" w:color="auto"/>
              <w:left w:val="single" w:sz="4" w:space="0" w:color="auto"/>
              <w:bottom w:val="single" w:sz="4" w:space="0" w:color="auto"/>
              <w:right w:val="single" w:sz="4" w:space="0" w:color="auto"/>
            </w:tcBorders>
          </w:tcPr>
          <w:p w14:paraId="74618159" w14:textId="76649E70" w:rsidR="009E2211" w:rsidRPr="005F007D" w:rsidRDefault="009E2211" w:rsidP="009E2211">
            <w:pPr>
              <w:widowControl w:val="0"/>
              <w:tabs>
                <w:tab w:val="left" w:pos="1041"/>
              </w:tabs>
              <w:spacing w:before="0" w:line="240" w:lineRule="auto"/>
              <w:jc w:val="center"/>
              <w:rPr>
                <w:rFonts w:cs="Arial"/>
              </w:rPr>
            </w:pPr>
            <w:r w:rsidRPr="00AB5784">
              <w:t>0.00</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5BAC3269" w14:textId="0D1F3749" w:rsidR="009E2211" w:rsidRPr="005F007D" w:rsidRDefault="009E2211" w:rsidP="009E2211">
            <w:pPr>
              <w:widowControl w:val="0"/>
              <w:tabs>
                <w:tab w:val="left" w:pos="1041"/>
              </w:tabs>
              <w:spacing w:before="0" w:line="240" w:lineRule="auto"/>
              <w:jc w:val="center"/>
              <w:rPr>
                <w:rFonts w:cs="Arial"/>
              </w:rPr>
            </w:pPr>
            <w:r w:rsidRPr="00AB5784">
              <w:t>2.32</w:t>
            </w:r>
          </w:p>
        </w:tc>
      </w:tr>
      <w:tr w:rsidR="009E2211" w:rsidRPr="00155714" w14:paraId="6E04ABF3" w14:textId="77777777" w:rsidTr="00B54114">
        <w:trPr>
          <w:trHeight w:val="71"/>
          <w:jc w:val="center"/>
        </w:trPr>
        <w:tc>
          <w:tcPr>
            <w:tcW w:w="16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2BF415" w14:textId="77777777" w:rsidR="009E2211" w:rsidRPr="007F5503" w:rsidRDefault="009E2211" w:rsidP="009E2211">
            <w:pPr>
              <w:widowControl w:val="0"/>
              <w:tabs>
                <w:tab w:val="left" w:pos="1041"/>
              </w:tabs>
              <w:spacing w:before="0" w:line="240" w:lineRule="auto"/>
              <w:rPr>
                <w:rFonts w:cs="Arial"/>
                <w:lang w:val="en-US"/>
              </w:rPr>
            </w:pPr>
            <w:r w:rsidRPr="00863C19">
              <w:rPr>
                <w:rFonts w:cs="Arial"/>
                <w:lang w:val="en-US"/>
              </w:rPr>
              <w:t xml:space="preserve">TRC Ratio </w:t>
            </w:r>
            <w:proofErr w:type="spellStart"/>
            <w:r w:rsidRPr="00863C19">
              <w:rPr>
                <w:rFonts w:cs="Arial"/>
                <w:lang w:val="en-US"/>
              </w:rPr>
              <w:t>NoAdmin</w:t>
            </w:r>
            <w:proofErr w:type="spellEnd"/>
          </w:p>
        </w:tc>
        <w:tc>
          <w:tcPr>
            <w:tcW w:w="13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3F9262" w14:textId="0198A418" w:rsidR="009E2211" w:rsidRPr="005F007D" w:rsidRDefault="009E2211" w:rsidP="009E2211">
            <w:pPr>
              <w:widowControl w:val="0"/>
              <w:tabs>
                <w:tab w:val="left" w:pos="1041"/>
              </w:tabs>
              <w:spacing w:before="0" w:line="240" w:lineRule="auto"/>
              <w:jc w:val="center"/>
              <w:rPr>
                <w:rFonts w:cs="Arial"/>
              </w:rPr>
            </w:pPr>
            <w:r w:rsidRPr="00AB5784">
              <w:t>0.29</w:t>
            </w:r>
          </w:p>
        </w:tc>
        <w:tc>
          <w:tcPr>
            <w:tcW w:w="1524" w:type="dxa"/>
            <w:tcBorders>
              <w:top w:val="single" w:sz="4" w:space="0" w:color="auto"/>
              <w:left w:val="single" w:sz="4" w:space="0" w:color="auto"/>
              <w:bottom w:val="single" w:sz="4" w:space="0" w:color="auto"/>
              <w:right w:val="single" w:sz="4" w:space="0" w:color="auto"/>
            </w:tcBorders>
          </w:tcPr>
          <w:p w14:paraId="6ADFA1C0" w14:textId="57DBE583" w:rsidR="009E2211" w:rsidRPr="005F007D" w:rsidDel="00E05EA2" w:rsidRDefault="009E2211" w:rsidP="009E2211">
            <w:pPr>
              <w:widowControl w:val="0"/>
              <w:tabs>
                <w:tab w:val="left" w:pos="1041"/>
              </w:tabs>
              <w:spacing w:before="0" w:line="240" w:lineRule="auto"/>
              <w:jc w:val="center"/>
              <w:rPr>
                <w:rFonts w:cs="Arial"/>
              </w:rPr>
            </w:pPr>
            <w:r w:rsidRPr="00AB5784">
              <w:t>0.30</w:t>
            </w:r>
          </w:p>
        </w:tc>
        <w:tc>
          <w:tcPr>
            <w:tcW w:w="1438" w:type="dxa"/>
            <w:tcBorders>
              <w:top w:val="single" w:sz="4" w:space="0" w:color="auto"/>
              <w:left w:val="single" w:sz="4" w:space="0" w:color="auto"/>
              <w:bottom w:val="single" w:sz="4" w:space="0" w:color="auto"/>
              <w:right w:val="single" w:sz="4" w:space="0" w:color="auto"/>
            </w:tcBorders>
          </w:tcPr>
          <w:p w14:paraId="204D2F06" w14:textId="2A00C6A8" w:rsidR="009E2211" w:rsidRPr="005F007D" w:rsidRDefault="009E2211" w:rsidP="009E2211">
            <w:pPr>
              <w:widowControl w:val="0"/>
              <w:tabs>
                <w:tab w:val="left" w:pos="1041"/>
              </w:tabs>
              <w:spacing w:before="0" w:line="240" w:lineRule="auto"/>
              <w:jc w:val="center"/>
              <w:rPr>
                <w:rFonts w:cs="Arial"/>
              </w:rPr>
            </w:pPr>
            <w:r w:rsidRPr="00AB5784">
              <w:t>0.30</w:t>
            </w:r>
          </w:p>
        </w:tc>
        <w:tc>
          <w:tcPr>
            <w:tcW w:w="1529" w:type="dxa"/>
            <w:tcBorders>
              <w:top w:val="single" w:sz="4" w:space="0" w:color="auto"/>
              <w:left w:val="single" w:sz="4" w:space="0" w:color="auto"/>
              <w:bottom w:val="single" w:sz="4" w:space="0" w:color="auto"/>
              <w:right w:val="single" w:sz="4" w:space="0" w:color="auto"/>
            </w:tcBorders>
          </w:tcPr>
          <w:p w14:paraId="4C11BECA" w14:textId="7AD1E7D4" w:rsidR="009E2211" w:rsidRPr="005F007D" w:rsidRDefault="009E2211" w:rsidP="009E2211">
            <w:pPr>
              <w:widowControl w:val="0"/>
              <w:tabs>
                <w:tab w:val="left" w:pos="1041"/>
              </w:tabs>
              <w:spacing w:before="0" w:line="240" w:lineRule="auto"/>
              <w:jc w:val="center"/>
              <w:rPr>
                <w:rFonts w:cs="Arial"/>
              </w:rPr>
            </w:pPr>
            <w:r w:rsidRPr="00AB5784">
              <w:t>0.30</w:t>
            </w:r>
          </w:p>
        </w:tc>
        <w:tc>
          <w:tcPr>
            <w:tcW w:w="1078" w:type="dxa"/>
            <w:tcBorders>
              <w:top w:val="single" w:sz="4" w:space="0" w:color="auto"/>
              <w:left w:val="single" w:sz="4" w:space="0" w:color="auto"/>
              <w:bottom w:val="single" w:sz="4" w:space="0" w:color="auto"/>
              <w:right w:val="single" w:sz="4" w:space="0" w:color="auto"/>
            </w:tcBorders>
          </w:tcPr>
          <w:p w14:paraId="5FD11B68" w14:textId="61B7B72F" w:rsidR="009E2211" w:rsidRPr="005F007D" w:rsidRDefault="009E2211" w:rsidP="009E2211">
            <w:pPr>
              <w:widowControl w:val="0"/>
              <w:tabs>
                <w:tab w:val="left" w:pos="1041"/>
              </w:tabs>
              <w:spacing w:before="0" w:line="240" w:lineRule="auto"/>
              <w:jc w:val="center"/>
              <w:rPr>
                <w:rFonts w:cs="Arial"/>
              </w:rPr>
            </w:pPr>
            <w:r w:rsidRPr="00AB5784">
              <w:t>0.00</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4153E51" w14:textId="5FFB79FD" w:rsidR="009E2211" w:rsidRPr="005F007D" w:rsidRDefault="009E2211" w:rsidP="009E2211">
            <w:pPr>
              <w:widowControl w:val="0"/>
              <w:tabs>
                <w:tab w:val="left" w:pos="1041"/>
              </w:tabs>
              <w:spacing w:before="0" w:line="240" w:lineRule="auto"/>
              <w:jc w:val="center"/>
              <w:rPr>
                <w:rFonts w:cs="Arial"/>
              </w:rPr>
            </w:pPr>
            <w:r w:rsidRPr="00AB5784">
              <w:t>0.30</w:t>
            </w:r>
          </w:p>
        </w:tc>
      </w:tr>
    </w:tbl>
    <w:p w14:paraId="5E811CC6" w14:textId="77777777" w:rsidR="000A579F" w:rsidRPr="005F49A1" w:rsidRDefault="000A579F" w:rsidP="005F49A1">
      <w:pPr>
        <w:widowControl w:val="0"/>
        <w:tabs>
          <w:tab w:val="left" w:pos="90"/>
          <w:tab w:val="left" w:pos="360"/>
          <w:tab w:val="left" w:pos="1041"/>
        </w:tabs>
        <w:spacing w:before="20"/>
        <w:rPr>
          <w:rFonts w:cs="Arial"/>
        </w:rPr>
      </w:pPr>
    </w:p>
    <w:p w14:paraId="7D4BDF32" w14:textId="77777777" w:rsidR="00792D63" w:rsidRPr="005F49A1" w:rsidRDefault="001E1358" w:rsidP="008B50AE">
      <w:pPr>
        <w:pStyle w:val="ListParagraph"/>
        <w:numPr>
          <w:ilvl w:val="0"/>
          <w:numId w:val="25"/>
        </w:numPr>
        <w:rPr>
          <w:rFonts w:eastAsia="Maven Pro"/>
          <w:b/>
          <w:bCs/>
          <w:u w:val="single"/>
        </w:rPr>
      </w:pPr>
      <w:r w:rsidRPr="005F49A1">
        <w:rPr>
          <w:rFonts w:cs="Arial"/>
          <w:b/>
          <w:u w:val="single"/>
        </w:rPr>
        <w:t xml:space="preserve">Type of </w:t>
      </w:r>
      <w:r w:rsidRPr="005F49A1">
        <w:rPr>
          <w:rFonts w:cs="Arial"/>
          <w:b/>
          <w:sz w:val="24"/>
          <w:szCs w:val="24"/>
          <w:u w:val="single"/>
        </w:rPr>
        <w:t>Program / Sub-Program Implementer</w:t>
      </w:r>
      <w:r w:rsidRPr="005F49A1">
        <w:rPr>
          <w:b/>
          <w:u w:val="single"/>
        </w:rPr>
        <w:t xml:space="preserve">: </w:t>
      </w:r>
    </w:p>
    <w:p w14:paraId="5FF90203" w14:textId="68862525" w:rsidR="00C5222B" w:rsidRPr="00F02000" w:rsidRDefault="001E1358" w:rsidP="005F49A1">
      <w:pPr>
        <w:pStyle w:val="ListParagraph"/>
        <w:rPr>
          <w:rFonts w:eastAsia="Maven Pro" w:cs="Arial"/>
        </w:rPr>
      </w:pPr>
      <w:r w:rsidRPr="005F49A1">
        <w:rPr>
          <w:rFonts w:cs="Arial"/>
        </w:rPr>
        <w:t>Third</w:t>
      </w:r>
      <w:r w:rsidR="00767C7C" w:rsidRPr="005F49A1">
        <w:rPr>
          <w:rFonts w:cs="Arial"/>
        </w:rPr>
        <w:t>-</w:t>
      </w:r>
      <w:r w:rsidRPr="005F49A1">
        <w:rPr>
          <w:rFonts w:cs="Arial"/>
        </w:rPr>
        <w:t>Party Delivered</w:t>
      </w:r>
    </w:p>
    <w:p w14:paraId="18F41CA3" w14:textId="77777777" w:rsidR="00792D63" w:rsidRPr="005F49A1" w:rsidRDefault="001E1358" w:rsidP="008B50AE">
      <w:pPr>
        <w:pStyle w:val="ListParagraph"/>
        <w:widowControl w:val="0"/>
        <w:numPr>
          <w:ilvl w:val="0"/>
          <w:numId w:val="25"/>
        </w:numPr>
        <w:tabs>
          <w:tab w:val="left" w:pos="1041"/>
        </w:tabs>
        <w:spacing w:before="1"/>
        <w:rPr>
          <w:rFonts w:eastAsia="Maven Pro" w:cs="Arial"/>
          <w:b/>
          <w:bCs/>
          <w:u w:val="single"/>
        </w:rPr>
      </w:pPr>
      <w:r w:rsidRPr="005F49A1">
        <w:rPr>
          <w:rFonts w:cs="Arial"/>
          <w:b/>
          <w:u w:val="single"/>
        </w:rPr>
        <w:t>Market Sector(s)</w:t>
      </w:r>
      <w:r w:rsidR="00203CA2" w:rsidRPr="005F49A1">
        <w:rPr>
          <w:rFonts w:cs="Arial"/>
          <w:b/>
          <w:u w:val="single"/>
        </w:rPr>
        <w:t>:</w:t>
      </w:r>
      <w:r w:rsidRPr="005F49A1">
        <w:rPr>
          <w:rFonts w:cs="Arial"/>
          <w:b/>
          <w:u w:val="single"/>
        </w:rPr>
        <w:t xml:space="preserve"> </w:t>
      </w:r>
    </w:p>
    <w:p w14:paraId="6ECF0DE5" w14:textId="18DDE161" w:rsidR="00C5222B" w:rsidRPr="00F02000" w:rsidRDefault="001E1358" w:rsidP="005F49A1">
      <w:pPr>
        <w:pStyle w:val="ListParagraph"/>
        <w:widowControl w:val="0"/>
        <w:tabs>
          <w:tab w:val="left" w:pos="1041"/>
        </w:tabs>
        <w:spacing w:before="1"/>
        <w:rPr>
          <w:rFonts w:eastAsia="Maven Pro" w:cs="Arial"/>
        </w:rPr>
      </w:pPr>
      <w:r w:rsidRPr="005F49A1">
        <w:rPr>
          <w:rFonts w:cs="Arial"/>
        </w:rPr>
        <w:t>Commercial</w:t>
      </w:r>
      <w:r w:rsidR="00450224">
        <w:rPr>
          <w:rFonts w:cs="Arial"/>
        </w:rPr>
        <w:t xml:space="preserve"> (9</w:t>
      </w:r>
      <w:r w:rsidR="00734E23">
        <w:rPr>
          <w:rFonts w:cs="Arial"/>
        </w:rPr>
        <w:t>6.7</w:t>
      </w:r>
      <w:r w:rsidR="00450224">
        <w:rPr>
          <w:rFonts w:cs="Arial"/>
        </w:rPr>
        <w:t>%</w:t>
      </w:r>
      <w:r w:rsidR="00734E23">
        <w:rPr>
          <w:rFonts w:cs="Arial"/>
        </w:rPr>
        <w:t xml:space="preserve"> of budget</w:t>
      </w:r>
      <w:r w:rsidR="00450224">
        <w:rPr>
          <w:rFonts w:cs="Arial"/>
        </w:rPr>
        <w:t>) and Residential (3</w:t>
      </w:r>
      <w:r w:rsidR="00734E23">
        <w:rPr>
          <w:rFonts w:cs="Arial"/>
        </w:rPr>
        <w:t>.3</w:t>
      </w:r>
      <w:r w:rsidR="00450224">
        <w:rPr>
          <w:rFonts w:cs="Arial"/>
        </w:rPr>
        <w:t>%</w:t>
      </w:r>
      <w:r w:rsidR="0039031E">
        <w:rPr>
          <w:rFonts w:cs="Arial"/>
        </w:rPr>
        <w:t xml:space="preserve"> of budget</w:t>
      </w:r>
      <w:r w:rsidR="00450224">
        <w:rPr>
          <w:rFonts w:cs="Arial"/>
        </w:rPr>
        <w:t>)</w:t>
      </w:r>
    </w:p>
    <w:p w14:paraId="377E3EDE" w14:textId="77777777" w:rsidR="00792D63" w:rsidRPr="005F49A1" w:rsidRDefault="001E1358" w:rsidP="008B50AE">
      <w:pPr>
        <w:pStyle w:val="ListParagraph"/>
        <w:widowControl w:val="0"/>
        <w:numPr>
          <w:ilvl w:val="0"/>
          <w:numId w:val="25"/>
        </w:numPr>
        <w:tabs>
          <w:tab w:val="left" w:pos="1041"/>
        </w:tabs>
        <w:spacing w:before="19"/>
        <w:rPr>
          <w:rFonts w:eastAsia="Maven Pro" w:cs="Arial"/>
          <w:b/>
          <w:bCs/>
          <w:u w:val="single"/>
        </w:rPr>
      </w:pPr>
      <w:r w:rsidRPr="005F49A1">
        <w:rPr>
          <w:rFonts w:cs="Arial"/>
          <w:b/>
          <w:u w:val="single"/>
        </w:rPr>
        <w:t xml:space="preserve">Program / Sub-program Type: </w:t>
      </w:r>
    </w:p>
    <w:p w14:paraId="1854FE1C" w14:textId="4FF65095" w:rsidR="00C5222B" w:rsidRPr="00F02000" w:rsidRDefault="001E1358" w:rsidP="005F49A1">
      <w:pPr>
        <w:pStyle w:val="ListParagraph"/>
        <w:widowControl w:val="0"/>
        <w:tabs>
          <w:tab w:val="left" w:pos="1041"/>
        </w:tabs>
        <w:spacing w:before="19"/>
        <w:rPr>
          <w:rFonts w:eastAsia="Maven Pro" w:cs="Arial"/>
        </w:rPr>
      </w:pPr>
      <w:r w:rsidRPr="005F49A1">
        <w:rPr>
          <w:rFonts w:cs="Arial"/>
        </w:rPr>
        <w:t>Resource</w:t>
      </w:r>
    </w:p>
    <w:p w14:paraId="5D638B98" w14:textId="77777777" w:rsidR="00792D63" w:rsidRPr="005F49A1" w:rsidRDefault="001E1358" w:rsidP="00724CE5">
      <w:pPr>
        <w:pStyle w:val="ListParagraph"/>
        <w:widowControl w:val="0"/>
        <w:numPr>
          <w:ilvl w:val="0"/>
          <w:numId w:val="25"/>
        </w:numPr>
        <w:tabs>
          <w:tab w:val="left" w:pos="1041"/>
        </w:tabs>
        <w:spacing w:before="14"/>
        <w:rPr>
          <w:rFonts w:eastAsia="Maven Pro" w:cs="Arial"/>
          <w:b/>
          <w:bCs/>
          <w:u w:val="single"/>
        </w:rPr>
      </w:pPr>
      <w:r w:rsidRPr="005F49A1">
        <w:rPr>
          <w:rFonts w:cs="Arial"/>
          <w:b/>
          <w:u w:val="single"/>
        </w:rPr>
        <w:t xml:space="preserve">Market channel(s): </w:t>
      </w:r>
    </w:p>
    <w:p w14:paraId="0FA52BA7" w14:textId="01816DF2" w:rsidR="00C5222B" w:rsidRPr="00F02000" w:rsidRDefault="001E1358" w:rsidP="005F49A1">
      <w:pPr>
        <w:pStyle w:val="ListParagraph"/>
        <w:widowControl w:val="0"/>
        <w:tabs>
          <w:tab w:val="left" w:pos="1041"/>
        </w:tabs>
        <w:spacing w:before="14"/>
        <w:rPr>
          <w:rFonts w:eastAsia="Maven Pro" w:cs="Arial"/>
        </w:rPr>
      </w:pPr>
      <w:r w:rsidRPr="005F49A1">
        <w:rPr>
          <w:rFonts w:cs="Arial"/>
        </w:rPr>
        <w:t>Downstream</w:t>
      </w:r>
    </w:p>
    <w:p w14:paraId="0F41A834" w14:textId="7F0C2149" w:rsidR="001D522E" w:rsidRDefault="001D522E">
      <w:pPr>
        <w:rPr>
          <w:b/>
          <w:color w:val="005179"/>
          <w:sz w:val="32"/>
          <w:szCs w:val="32"/>
        </w:rPr>
      </w:pPr>
    </w:p>
    <w:p w14:paraId="5E976035" w14:textId="5771E156" w:rsidR="00C5222B" w:rsidRDefault="001E1358" w:rsidP="003C394D">
      <w:pPr>
        <w:pStyle w:val="Heading1"/>
      </w:pPr>
      <w:bookmarkStart w:id="15" w:name="_Toc174365021"/>
      <w:r w:rsidRPr="00C2002A">
        <w:t>Implementation Plan Narrative</w:t>
      </w:r>
      <w:bookmarkEnd w:id="15"/>
    </w:p>
    <w:p w14:paraId="46DE8B3D" w14:textId="77777777" w:rsidR="00C2002A" w:rsidRPr="003C394D" w:rsidRDefault="00C2002A" w:rsidP="00B237B5">
      <w:pPr>
        <w:spacing w:before="0"/>
        <w:rPr>
          <w:rFonts w:cs="Arial"/>
          <w:lang w:val="en-US"/>
        </w:rPr>
      </w:pPr>
    </w:p>
    <w:p w14:paraId="7052C5D7" w14:textId="77777777" w:rsidR="00C5222B" w:rsidRPr="00C2002A" w:rsidRDefault="001E1358" w:rsidP="003C394D">
      <w:pPr>
        <w:pStyle w:val="Heading2"/>
        <w:numPr>
          <w:ilvl w:val="0"/>
          <w:numId w:val="20"/>
        </w:numPr>
      </w:pPr>
      <w:bookmarkStart w:id="16" w:name="_Toc174365022"/>
      <w:r w:rsidRPr="00C2002A">
        <w:t>Program Description</w:t>
      </w:r>
      <w:bookmarkEnd w:id="16"/>
    </w:p>
    <w:p w14:paraId="0560D26B" w14:textId="77777777" w:rsidR="00FF1264" w:rsidRDefault="00FF1264" w:rsidP="00FF1264">
      <w:pPr>
        <w:widowControl w:val="0"/>
        <w:tabs>
          <w:tab w:val="left" w:pos="1041"/>
        </w:tabs>
        <w:spacing w:before="0" w:line="240" w:lineRule="auto"/>
        <w:rPr>
          <w:rFonts w:cs="Arial"/>
          <w:lang w:val="en-US"/>
        </w:rPr>
      </w:pPr>
    </w:p>
    <w:p w14:paraId="195E1D5B" w14:textId="301A3827" w:rsidR="00BE3268" w:rsidRDefault="00D7474F" w:rsidP="00B62CE2">
      <w:pPr>
        <w:widowControl w:val="0"/>
        <w:tabs>
          <w:tab w:val="left" w:pos="1041"/>
        </w:tabs>
        <w:spacing w:before="0" w:line="240" w:lineRule="auto"/>
        <w:rPr>
          <w:rFonts w:cs="Arial"/>
          <w:lang w:val="en-US"/>
        </w:rPr>
      </w:pPr>
      <w:r>
        <w:rPr>
          <w:rFonts w:cs="Arial"/>
          <w:lang w:val="en-US"/>
        </w:rPr>
        <w:t>The Measured</w:t>
      </w:r>
      <w:r w:rsidR="00F53E7A">
        <w:rPr>
          <w:rFonts w:cs="Arial"/>
          <w:lang w:val="en-US"/>
        </w:rPr>
        <w:t xml:space="preserve"> S</w:t>
      </w:r>
      <w:r w:rsidR="00B07F3E">
        <w:rPr>
          <w:rFonts w:cs="Arial"/>
          <w:lang w:val="en-US"/>
        </w:rPr>
        <w:t>aving</w:t>
      </w:r>
      <w:r w:rsidR="00451DCF">
        <w:rPr>
          <w:rFonts w:cs="Arial"/>
          <w:lang w:val="en-US"/>
        </w:rPr>
        <w:t>s</w:t>
      </w:r>
      <w:r w:rsidR="00B07F3E">
        <w:rPr>
          <w:rFonts w:cs="Arial"/>
          <w:lang w:val="en-US"/>
        </w:rPr>
        <w:t xml:space="preserve"> Program for Summer Reliability (MSSR) </w:t>
      </w:r>
      <w:r w:rsidR="00465E92">
        <w:rPr>
          <w:rFonts w:cs="Arial"/>
          <w:lang w:val="en-US"/>
        </w:rPr>
        <w:t xml:space="preserve">is PG&amp;E’s new </w:t>
      </w:r>
      <w:r w:rsidR="00EC2468">
        <w:rPr>
          <w:rFonts w:cs="Arial"/>
          <w:lang w:val="en-US"/>
        </w:rPr>
        <w:t>M</w:t>
      </w:r>
      <w:r w:rsidR="00465E92">
        <w:rPr>
          <w:rFonts w:cs="Arial"/>
          <w:lang w:val="en-US"/>
        </w:rPr>
        <w:t>arket Access Program</w:t>
      </w:r>
      <w:r w:rsidR="005C24CB">
        <w:rPr>
          <w:rStyle w:val="FootnoteReference"/>
          <w:rFonts w:cs="Arial"/>
          <w:lang w:val="en-US"/>
        </w:rPr>
        <w:footnoteReference w:id="5"/>
      </w:r>
      <w:r w:rsidR="00465E92">
        <w:rPr>
          <w:rFonts w:cs="Arial"/>
          <w:lang w:val="en-US"/>
        </w:rPr>
        <w:t>, solicited</w:t>
      </w:r>
      <w:r w:rsidR="00F07EE7">
        <w:rPr>
          <w:rFonts w:cs="Arial"/>
          <w:lang w:val="en-US"/>
        </w:rPr>
        <w:t xml:space="preserve"> by PG&amp;E </w:t>
      </w:r>
      <w:r w:rsidR="00130958">
        <w:rPr>
          <w:rFonts w:cs="Arial"/>
          <w:lang w:val="en-US"/>
        </w:rPr>
        <w:t>as a 3</w:t>
      </w:r>
      <w:r w:rsidR="00130958" w:rsidRPr="00B54114">
        <w:rPr>
          <w:rFonts w:cs="Arial"/>
          <w:vertAlign w:val="superscript"/>
          <w:lang w:val="en-US"/>
        </w:rPr>
        <w:t>rd</w:t>
      </w:r>
      <w:r w:rsidR="00130958">
        <w:rPr>
          <w:rFonts w:cs="Arial"/>
          <w:lang w:val="en-US"/>
        </w:rPr>
        <w:t xml:space="preserve"> Party</w:t>
      </w:r>
      <w:r w:rsidR="000E4832">
        <w:rPr>
          <w:rFonts w:cs="Arial"/>
          <w:lang w:val="en-US"/>
        </w:rPr>
        <w:t xml:space="preserve"> Energy Efficiency Program</w:t>
      </w:r>
      <w:r w:rsidR="00E84B93">
        <w:rPr>
          <w:rFonts w:cs="Arial"/>
          <w:lang w:val="en-US"/>
        </w:rPr>
        <w:t xml:space="preserve">, </w:t>
      </w:r>
      <w:r w:rsidR="009E20F6">
        <w:rPr>
          <w:rFonts w:cs="Arial"/>
          <w:lang w:val="en-US"/>
        </w:rPr>
        <w:t>p</w:t>
      </w:r>
      <w:r w:rsidR="00C85C69" w:rsidRPr="00C85C69">
        <w:rPr>
          <w:rFonts w:cs="Arial"/>
          <w:lang w:val="en-US"/>
        </w:rPr>
        <w:t>ursuant to the California Public Utilities Commission (CPUC) Decision (D.)16-08-019 - Decision Providing Guidance for Initial Energy Efficiency (EE) Rolling Portfolio Business Plan Filings and D.18-05-041 - Decision Addressing EE Business Plans</w:t>
      </w:r>
      <w:r w:rsidR="00C85C69">
        <w:rPr>
          <w:rFonts w:cs="Arial"/>
          <w:lang w:val="en-US"/>
        </w:rPr>
        <w:t xml:space="preserve">.  </w:t>
      </w:r>
      <w:r w:rsidR="00FD5236">
        <w:rPr>
          <w:rFonts w:cs="Arial"/>
          <w:lang w:val="en-US"/>
        </w:rPr>
        <w:t xml:space="preserve">Alternative </w:t>
      </w:r>
      <w:r w:rsidR="00FE7E4B">
        <w:rPr>
          <w:rFonts w:cs="Arial"/>
          <w:lang w:val="en-US"/>
        </w:rPr>
        <w:t>Energy Systems Consulting (AESC)</w:t>
      </w:r>
      <w:r w:rsidR="009E5A1F">
        <w:rPr>
          <w:rFonts w:cs="Arial"/>
          <w:lang w:val="en-US"/>
        </w:rPr>
        <w:t xml:space="preserve"> was awarded the MSSR solicitation</w:t>
      </w:r>
      <w:r w:rsidR="00AC175E">
        <w:rPr>
          <w:rFonts w:cs="Arial"/>
          <w:lang w:val="en-US"/>
        </w:rPr>
        <w:t>, following a</w:t>
      </w:r>
      <w:r w:rsidR="00875DED">
        <w:rPr>
          <w:rFonts w:cs="Arial"/>
          <w:lang w:val="en-US"/>
        </w:rPr>
        <w:t xml:space="preserve"> competitive </w:t>
      </w:r>
      <w:r w:rsidR="008C2AF3">
        <w:rPr>
          <w:rFonts w:cs="Arial"/>
          <w:lang w:val="en-US"/>
        </w:rPr>
        <w:t>bid</w:t>
      </w:r>
      <w:r w:rsidR="008C33E3">
        <w:rPr>
          <w:rFonts w:cs="Arial"/>
          <w:lang w:val="en-US"/>
        </w:rPr>
        <w:t xml:space="preserve"> p</w:t>
      </w:r>
      <w:r w:rsidR="008C2AF3">
        <w:rPr>
          <w:rFonts w:cs="Arial"/>
          <w:lang w:val="en-US"/>
        </w:rPr>
        <w:t>rocess</w:t>
      </w:r>
      <w:r w:rsidR="009E5A1F">
        <w:rPr>
          <w:rFonts w:cs="Arial"/>
          <w:lang w:val="en-US"/>
        </w:rPr>
        <w:t>.</w:t>
      </w:r>
      <w:r w:rsidR="004A6B5A">
        <w:rPr>
          <w:rFonts w:cs="Arial"/>
          <w:lang w:val="en-US"/>
        </w:rPr>
        <w:t xml:space="preserve"> </w:t>
      </w:r>
      <w:r w:rsidR="008C33E3">
        <w:rPr>
          <w:rFonts w:cs="Arial"/>
          <w:lang w:val="en-US"/>
        </w:rPr>
        <w:t>MSSR</w:t>
      </w:r>
      <w:r w:rsidR="00FF1264" w:rsidRPr="005F49A1">
        <w:rPr>
          <w:rFonts w:cs="Arial"/>
          <w:lang w:val="en-US"/>
        </w:rPr>
        <w:t xml:space="preserve"> is</w:t>
      </w:r>
      <w:r w:rsidR="00455294">
        <w:rPr>
          <w:rFonts w:cs="Arial"/>
          <w:lang w:val="en-US"/>
        </w:rPr>
        <w:t xml:space="preserve"> a resource </w:t>
      </w:r>
      <w:r w:rsidR="00455294">
        <w:rPr>
          <w:rFonts w:cs="Arial"/>
          <w:lang w:val="en-US"/>
        </w:rPr>
        <w:lastRenderedPageBreak/>
        <w:t>acquisition program which is</w:t>
      </w:r>
      <w:r w:rsidR="00FF1264" w:rsidRPr="005F49A1">
        <w:rPr>
          <w:rFonts w:cs="Arial"/>
          <w:lang w:val="en-US"/>
        </w:rPr>
        <w:t xml:space="preserve"> </w:t>
      </w:r>
      <w:r w:rsidR="001D0FD3">
        <w:rPr>
          <w:rFonts w:cs="Arial"/>
          <w:lang w:val="en-US"/>
        </w:rPr>
        <w:t>Aggregator</w:t>
      </w:r>
      <w:r w:rsidR="00FF1264" w:rsidRPr="005F49A1">
        <w:rPr>
          <w:rFonts w:cs="Arial"/>
          <w:lang w:val="en-US"/>
        </w:rPr>
        <w:t>-delivered</w:t>
      </w:r>
      <w:r w:rsidR="00455294">
        <w:rPr>
          <w:rFonts w:cs="Arial"/>
          <w:lang w:val="en-US"/>
        </w:rPr>
        <w:t xml:space="preserve"> and</w:t>
      </w:r>
      <w:r w:rsidR="00FF1264" w:rsidRPr="005F49A1">
        <w:rPr>
          <w:rFonts w:cs="Arial"/>
          <w:lang w:val="en-US"/>
        </w:rPr>
        <w:t xml:space="preserve"> pay-for-performance</w:t>
      </w:r>
      <w:r w:rsidR="00853BA9">
        <w:rPr>
          <w:rFonts w:cs="Arial"/>
          <w:lang w:val="en-US"/>
        </w:rPr>
        <w:t>.</w:t>
      </w:r>
      <w:r w:rsidR="00FF1264" w:rsidRPr="005F49A1">
        <w:rPr>
          <w:rFonts w:cs="Arial"/>
          <w:lang w:val="en-US"/>
        </w:rPr>
        <w:t xml:space="preserve"> </w:t>
      </w:r>
      <w:r w:rsidR="00F27FB7">
        <w:rPr>
          <w:rFonts w:cs="Arial"/>
          <w:lang w:val="en-US"/>
        </w:rPr>
        <w:t>The Program</w:t>
      </w:r>
      <w:r w:rsidR="00853BA9">
        <w:rPr>
          <w:rFonts w:cs="Arial"/>
          <w:lang w:val="en-US"/>
        </w:rPr>
        <w:t xml:space="preserve"> is </w:t>
      </w:r>
      <w:r w:rsidR="00FF1264" w:rsidRPr="005F49A1">
        <w:rPr>
          <w:rFonts w:cs="Arial"/>
          <w:lang w:val="en-US"/>
        </w:rPr>
        <w:t xml:space="preserve">designed to deliver measurable impacts at the meter through demand side interventions including building retrofits, optimization, and load flexibility strategies. </w:t>
      </w:r>
      <w:r w:rsidR="001D0FD3">
        <w:rPr>
          <w:rFonts w:cs="Arial"/>
          <w:lang w:val="en-US"/>
        </w:rPr>
        <w:t>Aggregator</w:t>
      </w:r>
      <w:r w:rsidR="00FF1264" w:rsidRPr="005F49A1">
        <w:rPr>
          <w:rFonts w:cs="Arial"/>
          <w:lang w:val="en-US"/>
        </w:rPr>
        <w:t xml:space="preserve">s are paid based on weather-normalized hourly energy impacts, measured at the customer meter over a one-year M&amp;V period. Program incentives are correlated to Total System Benefit (TSB), a measure of lifetime grid-avoided costs, and reward projects that deliver </w:t>
      </w:r>
      <w:r w:rsidR="002D4DD2">
        <w:rPr>
          <w:rFonts w:cs="Arial"/>
          <w:lang w:val="en-US"/>
        </w:rPr>
        <w:t xml:space="preserve">summer </w:t>
      </w:r>
      <w:r w:rsidR="00FF1264" w:rsidRPr="005F49A1">
        <w:rPr>
          <w:rFonts w:cs="Arial"/>
          <w:lang w:val="en-US"/>
        </w:rPr>
        <w:t>peak</w:t>
      </w:r>
      <w:r w:rsidR="009D7B0A">
        <w:rPr>
          <w:rFonts w:cs="Arial"/>
          <w:lang w:val="en-US"/>
        </w:rPr>
        <w:t xml:space="preserve"> kW</w:t>
      </w:r>
      <w:r w:rsidR="00FF1264" w:rsidRPr="005F49A1">
        <w:rPr>
          <w:rFonts w:cs="Arial"/>
          <w:lang w:val="en-US"/>
        </w:rPr>
        <w:t xml:space="preserve"> </w:t>
      </w:r>
      <w:r w:rsidR="00F81FD0">
        <w:rPr>
          <w:rFonts w:cs="Arial"/>
          <w:lang w:val="en-US"/>
        </w:rPr>
        <w:t>reduction</w:t>
      </w:r>
      <w:r w:rsidR="002D4DD2">
        <w:rPr>
          <w:rStyle w:val="FootnoteReference"/>
          <w:rFonts w:cs="Arial"/>
          <w:lang w:val="en-US"/>
        </w:rPr>
        <w:footnoteReference w:id="6"/>
      </w:r>
      <w:r w:rsidR="00FF1264" w:rsidRPr="005F49A1">
        <w:rPr>
          <w:rFonts w:cs="Arial"/>
          <w:lang w:val="en-US"/>
        </w:rPr>
        <w:t>, as well as</w:t>
      </w:r>
      <w:r w:rsidR="00B62CE2">
        <w:rPr>
          <w:rFonts w:cs="Arial"/>
          <w:lang w:val="en-US"/>
        </w:rPr>
        <w:t xml:space="preserve"> measures that have longer Effective Useful Life (EUL).</w:t>
      </w:r>
      <w:r w:rsidR="00BE3268">
        <w:rPr>
          <w:rFonts w:cs="Arial"/>
          <w:lang w:val="en-US"/>
        </w:rPr>
        <w:t xml:space="preserve">  </w:t>
      </w:r>
      <w:r w:rsidR="00BE3268" w:rsidRPr="002B2BDB">
        <w:rPr>
          <w:rFonts w:cs="Arial"/>
          <w:lang w:val="en-US"/>
        </w:rPr>
        <w:t>AESC has sub-contracted with Resource Innovations (RI)</w:t>
      </w:r>
      <w:r w:rsidR="007244E3">
        <w:rPr>
          <w:rFonts w:cs="Arial"/>
          <w:lang w:val="en-US"/>
        </w:rPr>
        <w:t>, Earth Advantage (EA),</w:t>
      </w:r>
      <w:r w:rsidR="00BE3268">
        <w:rPr>
          <w:rFonts w:cs="Arial"/>
          <w:lang w:val="en-US"/>
        </w:rPr>
        <w:t xml:space="preserve"> </w:t>
      </w:r>
      <w:r w:rsidR="00BE3268" w:rsidRPr="002B2BDB">
        <w:rPr>
          <w:rFonts w:cs="Arial"/>
          <w:lang w:val="en-US"/>
        </w:rPr>
        <w:t>and ASK Energy</w:t>
      </w:r>
      <w:r w:rsidR="00BE3268">
        <w:rPr>
          <w:rFonts w:cs="Arial"/>
          <w:lang w:val="en-US"/>
        </w:rPr>
        <w:t xml:space="preserve"> (ASK)</w:t>
      </w:r>
      <w:r w:rsidR="00BE3268" w:rsidRPr="002B2BDB">
        <w:rPr>
          <w:rFonts w:cs="Arial"/>
          <w:lang w:val="en-US"/>
        </w:rPr>
        <w:t xml:space="preserve"> to support program implementation. Collectively these partners are the</w:t>
      </w:r>
      <w:r w:rsidR="00BE3268">
        <w:rPr>
          <w:rFonts w:cs="Arial"/>
          <w:lang w:val="en-US"/>
        </w:rPr>
        <w:t xml:space="preserve"> “AESC </w:t>
      </w:r>
      <w:r w:rsidR="00BE3268" w:rsidRPr="002B2BDB">
        <w:rPr>
          <w:rFonts w:cs="Arial"/>
          <w:lang w:val="en-US"/>
        </w:rPr>
        <w:t xml:space="preserve">Team”. </w:t>
      </w:r>
      <w:r w:rsidR="00BE3268">
        <w:rPr>
          <w:rFonts w:cs="Arial"/>
          <w:lang w:val="en-US"/>
        </w:rPr>
        <w:t xml:space="preserve"> </w:t>
      </w:r>
      <w:r w:rsidR="002A3926">
        <w:rPr>
          <w:rFonts w:cs="Arial"/>
          <w:lang w:val="en-US"/>
        </w:rPr>
        <w:t xml:space="preserve">Enrolled </w:t>
      </w:r>
      <w:r w:rsidR="00BE3268">
        <w:rPr>
          <w:rFonts w:cs="Arial"/>
          <w:lang w:val="en-US"/>
        </w:rPr>
        <w:t>Aggregator</w:t>
      </w:r>
      <w:r w:rsidR="00BE3268" w:rsidRPr="002B2BDB">
        <w:rPr>
          <w:rFonts w:cs="Arial"/>
          <w:lang w:val="en-US"/>
        </w:rPr>
        <w:t>s</w:t>
      </w:r>
      <w:r w:rsidR="000116D1">
        <w:rPr>
          <w:rStyle w:val="FootnoteReference"/>
          <w:rFonts w:cs="Arial"/>
          <w:lang w:val="en-US"/>
        </w:rPr>
        <w:footnoteReference w:id="7"/>
      </w:r>
      <w:r w:rsidR="00BE3268" w:rsidRPr="002B2BDB">
        <w:rPr>
          <w:rFonts w:cs="Arial"/>
          <w:lang w:val="en-US"/>
        </w:rPr>
        <w:t xml:space="preserve"> recruit customers and install projects.</w:t>
      </w:r>
    </w:p>
    <w:p w14:paraId="59D0F194" w14:textId="77777777" w:rsidR="00D11D02" w:rsidRDefault="00D11D02" w:rsidP="7B0EED14">
      <w:pPr>
        <w:widowControl w:val="0"/>
        <w:tabs>
          <w:tab w:val="left" w:pos="1041"/>
        </w:tabs>
        <w:spacing w:before="0" w:line="240" w:lineRule="auto"/>
        <w:rPr>
          <w:rFonts w:cs="Arial"/>
          <w:lang w:val="en-US"/>
        </w:rPr>
      </w:pPr>
    </w:p>
    <w:p w14:paraId="5CF144F4" w14:textId="68865D15" w:rsidR="004D7984" w:rsidRDefault="00534C9F" w:rsidP="00B54114">
      <w:pPr>
        <w:pStyle w:val="Body1"/>
        <w:spacing w:after="120" w:line="240" w:lineRule="auto"/>
      </w:pPr>
      <w:r w:rsidRPr="008C069E">
        <w:t xml:space="preserve">MSSR uses primarily population-based Normalized Meter Energy Consumption (Pop-NMEC), paired with some site-specific NMEC (Site-NMEC), to measure, verify, and pay for TSB delivered to the grid. Program </w:t>
      </w:r>
      <w:r w:rsidR="00DD7F08">
        <w:t>E</w:t>
      </w:r>
      <w:r w:rsidRPr="008C069E">
        <w:t xml:space="preserve">nrolled Aggregators will have primary responsibility for identifying and enrolling customers that meet program requirements and deliver TSB. </w:t>
      </w:r>
      <w:r w:rsidR="002A3926">
        <w:t xml:space="preserve">Enrolled </w:t>
      </w:r>
      <w:r w:rsidRPr="008C069E">
        <w:t xml:space="preserve">Aggregators will work with the </w:t>
      </w:r>
      <w:r w:rsidR="00AC37A6">
        <w:t>AESC Team</w:t>
      </w:r>
      <w:r w:rsidRPr="008C069E">
        <w:t xml:space="preserve"> to confirm estimated TSB and receive payments based on measured TSB</w:t>
      </w:r>
      <w:r>
        <w:t xml:space="preserve"> as determined by </w:t>
      </w:r>
      <w:r w:rsidR="00C03EBD">
        <w:t>the Ca</w:t>
      </w:r>
      <w:r w:rsidR="00E20C9C">
        <w:t>lifornia E</w:t>
      </w:r>
      <w:r w:rsidR="0056290A">
        <w:t>nergy Data and Reporting System (CEDARS) Cost-effectiveness Tool (CET)</w:t>
      </w:r>
      <w:r w:rsidRPr="008C069E">
        <w:t xml:space="preserve">.  </w:t>
      </w:r>
      <w:r w:rsidR="008208FB" w:rsidRPr="008C069E">
        <w:t xml:space="preserve">The </w:t>
      </w:r>
      <w:r w:rsidR="008208FB">
        <w:t xml:space="preserve">Commercial </w:t>
      </w:r>
      <w:r w:rsidR="008208FB" w:rsidRPr="008C069E">
        <w:t xml:space="preserve">Program’s objective is to deliver cost-effective </w:t>
      </w:r>
      <w:r w:rsidR="008208FB">
        <w:t xml:space="preserve">TSB and lifecycle </w:t>
      </w:r>
      <w:r w:rsidR="008208FB" w:rsidRPr="008C069E">
        <w:t>Summer Peak kW savings</w:t>
      </w:r>
      <w:r w:rsidR="008208FB">
        <w:t>.</w:t>
      </w:r>
    </w:p>
    <w:p w14:paraId="6B32AB42" w14:textId="77777777" w:rsidR="005D6ECF" w:rsidRDefault="005D6ECF" w:rsidP="00B54114">
      <w:pPr>
        <w:pStyle w:val="Body1"/>
        <w:spacing w:after="120" w:line="240" w:lineRule="auto"/>
      </w:pPr>
      <w:r>
        <w:t xml:space="preserve">It is anticipated that approximately 90% of commercial TSB will be measured using Pop-NMEC and 10% using Site-Level NMEC.  </w:t>
      </w:r>
    </w:p>
    <w:p w14:paraId="45605851" w14:textId="77777777" w:rsidR="00B237B5" w:rsidRPr="00B237B5" w:rsidRDefault="00B237B5" w:rsidP="005F49A1">
      <w:pPr>
        <w:pStyle w:val="Body1"/>
      </w:pPr>
    </w:p>
    <w:p w14:paraId="41F82C65" w14:textId="3559E877" w:rsidR="00B237F3" w:rsidRDefault="00972029" w:rsidP="00B54114">
      <w:pPr>
        <w:pStyle w:val="Heading2"/>
        <w:numPr>
          <w:ilvl w:val="0"/>
          <w:numId w:val="20"/>
        </w:numPr>
      </w:pPr>
      <w:bookmarkStart w:id="17" w:name="_Toc174365023"/>
      <w:r w:rsidRPr="00972029">
        <w:t>Program Delivery and Customer Services</w:t>
      </w:r>
      <w:bookmarkEnd w:id="17"/>
    </w:p>
    <w:p w14:paraId="5CAAA48B" w14:textId="77777777" w:rsidR="00774745" w:rsidRDefault="00774745" w:rsidP="00774745">
      <w:pPr>
        <w:widowControl w:val="0"/>
        <w:tabs>
          <w:tab w:val="left" w:pos="1041"/>
        </w:tabs>
        <w:spacing w:before="0" w:line="240" w:lineRule="auto"/>
        <w:rPr>
          <w:rFonts w:eastAsia="Times New Roman" w:cs="Arial"/>
          <w:lang w:val="en-US"/>
        </w:rPr>
      </w:pPr>
    </w:p>
    <w:p w14:paraId="7D91AA2B" w14:textId="5B2CD833" w:rsidR="00F713A5" w:rsidRDefault="00955446" w:rsidP="00862D53">
      <w:pPr>
        <w:widowControl w:val="0"/>
        <w:tabs>
          <w:tab w:val="left" w:pos="1041"/>
        </w:tabs>
        <w:spacing w:before="0" w:line="240" w:lineRule="auto"/>
        <w:rPr>
          <w:rFonts w:eastAsia="Times New Roman" w:cs="Arial"/>
          <w:lang w:val="en-US" w:eastAsia="x-none"/>
        </w:rPr>
      </w:pPr>
      <w:r w:rsidRPr="00955446">
        <w:rPr>
          <w:rFonts w:eastAsia="Times New Roman" w:cs="Arial"/>
          <w:lang w:val="en-US" w:eastAsia="x-none"/>
        </w:rPr>
        <w:t xml:space="preserve">The core strategy </w:t>
      </w:r>
      <w:r w:rsidR="0010382C">
        <w:rPr>
          <w:rFonts w:eastAsia="Times New Roman" w:cs="Arial"/>
          <w:lang w:val="en-US" w:eastAsia="x-none"/>
        </w:rPr>
        <w:t>of MSSR is</w:t>
      </w:r>
      <w:r w:rsidR="00615EB8">
        <w:rPr>
          <w:rFonts w:eastAsia="Times New Roman" w:cs="Arial"/>
          <w:lang w:val="en-US" w:eastAsia="x-none"/>
        </w:rPr>
        <w:t xml:space="preserve"> to</w:t>
      </w:r>
      <w:r w:rsidR="0010382C">
        <w:rPr>
          <w:rFonts w:eastAsia="Times New Roman" w:cs="Arial"/>
          <w:lang w:val="en-US" w:eastAsia="x-none"/>
        </w:rPr>
        <w:t xml:space="preserve"> accommodate a wide variety of projects and a simplified process for project acceptance</w:t>
      </w:r>
      <w:r w:rsidR="00615EB8">
        <w:rPr>
          <w:rFonts w:eastAsia="Times New Roman" w:cs="Arial"/>
          <w:lang w:val="en-US" w:eastAsia="x-none"/>
        </w:rPr>
        <w:t>, lever</w:t>
      </w:r>
      <w:r w:rsidR="00EA5198">
        <w:rPr>
          <w:rFonts w:eastAsia="Times New Roman" w:cs="Arial"/>
          <w:lang w:val="en-US" w:eastAsia="x-none"/>
        </w:rPr>
        <w:t>ag</w:t>
      </w:r>
      <w:r w:rsidR="00615EB8">
        <w:rPr>
          <w:rFonts w:eastAsia="Times New Roman" w:cs="Arial"/>
          <w:lang w:val="en-US" w:eastAsia="x-none"/>
        </w:rPr>
        <w:t xml:space="preserve">ing </w:t>
      </w:r>
      <w:r w:rsidR="004F51E9">
        <w:rPr>
          <w:rFonts w:eastAsia="Times New Roman" w:cs="Arial"/>
          <w:lang w:val="en-US" w:eastAsia="x-none"/>
        </w:rPr>
        <w:t>p</w:t>
      </w:r>
      <w:r w:rsidR="00615EB8">
        <w:rPr>
          <w:rFonts w:eastAsia="Times New Roman" w:cs="Arial"/>
          <w:lang w:val="en-US" w:eastAsia="x-none"/>
        </w:rPr>
        <w:t>opulation-</w:t>
      </w:r>
      <w:r w:rsidR="004F51E9">
        <w:rPr>
          <w:rFonts w:eastAsia="Times New Roman" w:cs="Arial"/>
          <w:lang w:val="en-US" w:eastAsia="x-none"/>
        </w:rPr>
        <w:t xml:space="preserve">based </w:t>
      </w:r>
      <w:r w:rsidR="00615EB8">
        <w:rPr>
          <w:rFonts w:eastAsia="Times New Roman" w:cs="Arial"/>
          <w:lang w:val="en-US" w:eastAsia="x-none"/>
        </w:rPr>
        <w:t>NMEC</w:t>
      </w:r>
      <w:r w:rsidRPr="00955446">
        <w:rPr>
          <w:rFonts w:eastAsia="Times New Roman" w:cs="Arial"/>
          <w:lang w:val="en-US" w:eastAsia="x-none"/>
        </w:rPr>
        <w:t>.</w:t>
      </w:r>
      <w:r w:rsidR="00EA5198">
        <w:rPr>
          <w:rFonts w:eastAsia="Times New Roman" w:cs="Arial"/>
          <w:lang w:val="en-US" w:eastAsia="x-none"/>
        </w:rPr>
        <w:t xml:space="preserve">  In addition, high</w:t>
      </w:r>
      <w:r w:rsidR="00214E9B">
        <w:rPr>
          <w:rFonts w:eastAsia="Times New Roman" w:cs="Arial"/>
          <w:lang w:val="en-US" w:eastAsia="x-none"/>
        </w:rPr>
        <w:t xml:space="preserve"> </w:t>
      </w:r>
      <w:r w:rsidR="00EA5198">
        <w:rPr>
          <w:rFonts w:eastAsia="Times New Roman" w:cs="Arial"/>
          <w:lang w:val="en-US" w:eastAsia="x-none"/>
        </w:rPr>
        <w:t>value</w:t>
      </w:r>
      <w:r w:rsidR="00214E9B">
        <w:rPr>
          <w:rFonts w:eastAsia="Times New Roman" w:cs="Arial"/>
          <w:lang w:val="en-US" w:eastAsia="x-none"/>
        </w:rPr>
        <w:t xml:space="preserve"> projects</w:t>
      </w:r>
      <w:r w:rsidR="00111C7E" w:rsidRPr="00111C7E">
        <w:rPr>
          <w:rFonts w:eastAsia="Times New Roman" w:cs="Arial"/>
          <w:lang w:val="en-US" w:eastAsia="x-none"/>
        </w:rPr>
        <w:t xml:space="preserve"> </w:t>
      </w:r>
      <w:r w:rsidR="00111C7E">
        <w:rPr>
          <w:rFonts w:eastAsia="Times New Roman" w:cs="Arial"/>
          <w:lang w:val="en-US" w:eastAsia="x-none"/>
        </w:rPr>
        <w:t xml:space="preserve">that do not fit within </w:t>
      </w:r>
      <w:r w:rsidR="001B791A">
        <w:rPr>
          <w:rFonts w:eastAsia="Times New Roman" w:cs="Arial"/>
          <w:lang w:val="en-US" w:eastAsia="x-none"/>
        </w:rPr>
        <w:t>Pop-</w:t>
      </w:r>
      <w:r w:rsidR="00111C7E">
        <w:rPr>
          <w:rFonts w:eastAsia="Times New Roman" w:cs="Arial"/>
          <w:lang w:val="en-US" w:eastAsia="x-none"/>
        </w:rPr>
        <w:t>NMEC parameters</w:t>
      </w:r>
      <w:r w:rsidR="00214E9B">
        <w:rPr>
          <w:rFonts w:eastAsia="Times New Roman" w:cs="Arial"/>
          <w:lang w:val="en-US" w:eastAsia="x-none"/>
        </w:rPr>
        <w:t xml:space="preserve"> </w:t>
      </w:r>
      <w:r w:rsidR="00111C7E">
        <w:rPr>
          <w:rFonts w:eastAsia="Times New Roman" w:cs="Arial"/>
          <w:lang w:val="en-US" w:eastAsia="x-none"/>
        </w:rPr>
        <w:t>and</w:t>
      </w:r>
      <w:r w:rsidR="00214E9B">
        <w:rPr>
          <w:rFonts w:eastAsia="Times New Roman" w:cs="Arial"/>
          <w:lang w:val="en-US" w:eastAsia="x-none"/>
        </w:rPr>
        <w:t xml:space="preserve"> meet a TRC threshold,</w:t>
      </w:r>
      <w:r w:rsidR="00EA5198">
        <w:rPr>
          <w:rFonts w:eastAsia="Times New Roman" w:cs="Arial"/>
          <w:lang w:val="en-US" w:eastAsia="x-none"/>
        </w:rPr>
        <w:t xml:space="preserve"> </w:t>
      </w:r>
      <w:r w:rsidR="00F36B99">
        <w:rPr>
          <w:rFonts w:eastAsia="Times New Roman" w:cs="Arial"/>
          <w:lang w:val="en-US" w:eastAsia="x-none"/>
        </w:rPr>
        <w:t>may be able to</w:t>
      </w:r>
      <w:r w:rsidR="00EA5198">
        <w:rPr>
          <w:rFonts w:eastAsia="Times New Roman" w:cs="Arial"/>
          <w:lang w:val="en-US" w:eastAsia="x-none"/>
        </w:rPr>
        <w:t xml:space="preserve"> </w:t>
      </w:r>
      <w:r w:rsidR="00EE486B">
        <w:rPr>
          <w:rFonts w:eastAsia="Times New Roman" w:cs="Arial"/>
          <w:lang w:val="en-US" w:eastAsia="x-none"/>
        </w:rPr>
        <w:t xml:space="preserve">enroll </w:t>
      </w:r>
      <w:r w:rsidR="00025B2F">
        <w:rPr>
          <w:rFonts w:eastAsia="Times New Roman" w:cs="Arial"/>
          <w:lang w:val="en-US" w:eastAsia="x-none"/>
        </w:rPr>
        <w:t>through</w:t>
      </w:r>
      <w:r w:rsidR="00EE486B">
        <w:rPr>
          <w:rFonts w:eastAsia="Times New Roman" w:cs="Arial"/>
          <w:lang w:val="en-US" w:eastAsia="x-none"/>
        </w:rPr>
        <w:t xml:space="preserve"> the</w:t>
      </w:r>
      <w:r w:rsidR="00EA5198">
        <w:rPr>
          <w:rFonts w:eastAsia="Times New Roman" w:cs="Arial"/>
          <w:lang w:val="en-US" w:eastAsia="x-none"/>
        </w:rPr>
        <w:t xml:space="preserve"> </w:t>
      </w:r>
      <w:r w:rsidR="001B791A">
        <w:rPr>
          <w:rFonts w:eastAsia="Times New Roman" w:cs="Arial"/>
          <w:lang w:val="en-US" w:eastAsia="x-none"/>
        </w:rPr>
        <w:t>S</w:t>
      </w:r>
      <w:r w:rsidR="00EA5198">
        <w:rPr>
          <w:rFonts w:eastAsia="Times New Roman" w:cs="Arial"/>
          <w:lang w:val="en-US" w:eastAsia="x-none"/>
        </w:rPr>
        <w:t>ite-NMEC</w:t>
      </w:r>
      <w:r w:rsidR="00EE486B">
        <w:rPr>
          <w:rFonts w:eastAsia="Times New Roman" w:cs="Arial"/>
          <w:lang w:val="en-US" w:eastAsia="x-none"/>
        </w:rPr>
        <w:t xml:space="preserve"> pathway</w:t>
      </w:r>
      <w:r w:rsidR="00EA5198">
        <w:rPr>
          <w:rFonts w:eastAsia="Times New Roman" w:cs="Arial"/>
          <w:lang w:val="en-US" w:eastAsia="x-none"/>
        </w:rPr>
        <w:t xml:space="preserve">. </w:t>
      </w:r>
      <w:r w:rsidRPr="00955446">
        <w:rPr>
          <w:rFonts w:eastAsia="Times New Roman" w:cs="Arial"/>
          <w:lang w:val="en-US" w:eastAsia="x-none"/>
        </w:rPr>
        <w:t xml:space="preserve"> </w:t>
      </w:r>
      <w:r w:rsidR="00615EB8">
        <w:rPr>
          <w:rFonts w:eastAsia="Times New Roman" w:cs="Arial"/>
          <w:lang w:val="en-US" w:eastAsia="x-none"/>
        </w:rPr>
        <w:t>Enrolled</w:t>
      </w:r>
      <w:r w:rsidRPr="00955446">
        <w:rPr>
          <w:rFonts w:eastAsia="Times New Roman" w:cs="Arial"/>
          <w:lang w:val="en-US" w:eastAsia="x-none"/>
        </w:rPr>
        <w:t xml:space="preserve"> </w:t>
      </w:r>
      <w:r w:rsidR="00615EB8">
        <w:rPr>
          <w:rFonts w:eastAsia="Times New Roman" w:cs="Arial"/>
          <w:lang w:val="en-US" w:eastAsia="x-none"/>
        </w:rPr>
        <w:t>A</w:t>
      </w:r>
      <w:r w:rsidRPr="00955446">
        <w:rPr>
          <w:rFonts w:eastAsia="Times New Roman" w:cs="Arial"/>
          <w:lang w:val="en-US" w:eastAsia="x-none"/>
        </w:rPr>
        <w:t xml:space="preserve">ggregators have the flexibility to provide solutions for </w:t>
      </w:r>
      <w:r>
        <w:rPr>
          <w:rFonts w:eastAsia="Times New Roman" w:cs="Arial"/>
          <w:lang w:val="en-US" w:eastAsia="x-none"/>
        </w:rPr>
        <w:t>c</w:t>
      </w:r>
      <w:r w:rsidRPr="00955446">
        <w:rPr>
          <w:rFonts w:eastAsia="Times New Roman" w:cs="Arial"/>
          <w:lang w:val="en-US" w:eastAsia="x-none"/>
        </w:rPr>
        <w:t xml:space="preserve">ustomers that </w:t>
      </w:r>
      <w:r w:rsidR="00BF7680">
        <w:rPr>
          <w:rFonts w:eastAsia="Times New Roman" w:cs="Arial"/>
          <w:lang w:val="en-US" w:eastAsia="x-none"/>
        </w:rPr>
        <w:t xml:space="preserve">meet technological and pricing </w:t>
      </w:r>
      <w:r w:rsidRPr="00955446">
        <w:rPr>
          <w:rFonts w:eastAsia="Times New Roman" w:cs="Arial"/>
          <w:lang w:val="en-US" w:eastAsia="x-none"/>
        </w:rPr>
        <w:t xml:space="preserve">needs, </w:t>
      </w:r>
      <w:r w:rsidR="00A15CF7">
        <w:rPr>
          <w:rFonts w:eastAsia="Times New Roman" w:cs="Arial"/>
          <w:lang w:val="en-US" w:eastAsia="x-none"/>
        </w:rPr>
        <w:t xml:space="preserve">while also maximizing </w:t>
      </w:r>
      <w:r w:rsidR="00701644">
        <w:rPr>
          <w:rFonts w:eastAsia="Times New Roman" w:cs="Arial"/>
          <w:lang w:val="en-US" w:eastAsia="x-none"/>
        </w:rPr>
        <w:t>grid value and cost-effectiveness</w:t>
      </w:r>
      <w:r w:rsidRPr="00955446">
        <w:rPr>
          <w:rFonts w:eastAsia="Times New Roman" w:cs="Arial"/>
          <w:lang w:val="en-US" w:eastAsia="x-none"/>
        </w:rPr>
        <w:t xml:space="preserve">. </w:t>
      </w:r>
    </w:p>
    <w:p w14:paraId="0D9DE76F" w14:textId="77777777" w:rsidR="00072B22" w:rsidRDefault="00072B22" w:rsidP="00862D53">
      <w:pPr>
        <w:widowControl w:val="0"/>
        <w:tabs>
          <w:tab w:val="left" w:pos="1041"/>
        </w:tabs>
        <w:spacing w:before="0" w:line="240" w:lineRule="auto"/>
        <w:rPr>
          <w:rFonts w:eastAsia="Times New Roman" w:cs="Arial"/>
          <w:lang w:val="en-US"/>
        </w:rPr>
      </w:pPr>
    </w:p>
    <w:p w14:paraId="4B35F016" w14:textId="63ED2D56" w:rsidR="00072B22" w:rsidRDefault="00DC37ED" w:rsidP="00B54114">
      <w:pPr>
        <w:pStyle w:val="Body1"/>
        <w:spacing w:after="120" w:line="240" w:lineRule="auto"/>
      </w:pPr>
      <w:r w:rsidRPr="00DC37ED">
        <w:t xml:space="preserve">The range of services, products and tools provided by the </w:t>
      </w:r>
      <w:r>
        <w:t>A</w:t>
      </w:r>
      <w:r w:rsidRPr="00DC37ED">
        <w:t xml:space="preserve">ggregators is diverse.  They have full flexibility to propose services, tools, or interventions (as defined in the “Eligibility” and “Qualifying Measures” section in the attached M&amp;V plan) to customers to encourage adoption, effectuate consumption changes, and manage energy.  </w:t>
      </w:r>
      <w:r w:rsidR="00072B22">
        <w:t xml:space="preserve">While the AESC Team will support customer outreach through limited targeting, Aggregators have responsibility for identifying, selling, contracting, and implementing qualified projects with their customers. In some cases, the AESC Team may provide customer referrals to Aggregators. To mitigate risk for customers, only Enrolled Aggregators may offer MSSR incentives to customers. </w:t>
      </w:r>
    </w:p>
    <w:p w14:paraId="33929371" w14:textId="0F9E1FE4" w:rsidR="009E76ED" w:rsidRPr="00170A5B" w:rsidRDefault="009E76ED" w:rsidP="00B54114">
      <w:pPr>
        <w:spacing w:line="240" w:lineRule="auto"/>
        <w:rPr>
          <w:rFonts w:ascii="Avenir Next LT Pro" w:hAnsi="Avenir Next LT Pro"/>
        </w:rPr>
      </w:pPr>
      <w:r w:rsidRPr="00170A5B">
        <w:rPr>
          <w:rFonts w:eastAsia="Times New Roman" w:cs="Arial"/>
          <w:lang w:val="en-US" w:eastAsia="x-none"/>
        </w:rPr>
        <w:t xml:space="preserve">This program is not designed to address hard-to-reach customer segments, but it is flexible and may be a viable program for doing so. If </w:t>
      </w:r>
      <w:r>
        <w:rPr>
          <w:rFonts w:eastAsia="Times New Roman" w:cs="Arial"/>
          <w:lang w:val="en-US" w:eastAsia="x-none"/>
        </w:rPr>
        <w:t>A</w:t>
      </w:r>
      <w:r w:rsidRPr="00170A5B">
        <w:rPr>
          <w:rFonts w:eastAsia="Times New Roman" w:cs="Arial"/>
          <w:lang w:val="en-US" w:eastAsia="x-none"/>
        </w:rPr>
        <w:t>ggregators have a business model that can target this customer segment cost effectively, they will be highly valuable participants</w:t>
      </w:r>
      <w:r w:rsidRPr="00170A5B">
        <w:rPr>
          <w:rFonts w:ascii="Avenir Next LT Pro" w:hAnsi="Avenir Next LT Pro"/>
        </w:rPr>
        <w:t xml:space="preserve">.  </w:t>
      </w:r>
    </w:p>
    <w:p w14:paraId="26058D7D" w14:textId="7A7F5FA5" w:rsidR="00955446" w:rsidRPr="00B54114" w:rsidRDefault="00E64649" w:rsidP="008B233D">
      <w:pPr>
        <w:pStyle w:val="Heading3"/>
        <w:rPr>
          <w:rFonts w:cs="Arial"/>
        </w:rPr>
      </w:pPr>
      <w:bookmarkStart w:id="18" w:name="_Toc174365024"/>
      <w:r>
        <w:rPr>
          <w:rFonts w:cs="Arial"/>
        </w:rPr>
        <w:lastRenderedPageBreak/>
        <w:t>Market Channels</w:t>
      </w:r>
      <w:bookmarkEnd w:id="18"/>
    </w:p>
    <w:p w14:paraId="3F88952E" w14:textId="0A9F68D7" w:rsidR="0070493D" w:rsidRDefault="00774745" w:rsidP="000C05A7">
      <w:pPr>
        <w:widowControl w:val="0"/>
        <w:tabs>
          <w:tab w:val="left" w:pos="1041"/>
        </w:tabs>
        <w:spacing w:before="0" w:line="240" w:lineRule="auto"/>
        <w:rPr>
          <w:rFonts w:eastAsia="Times New Roman" w:cs="Arial"/>
          <w:lang w:val="en-US"/>
        </w:rPr>
      </w:pPr>
      <w:r>
        <w:rPr>
          <w:rFonts w:eastAsia="Times New Roman" w:cs="Arial"/>
          <w:lang w:val="en-US"/>
        </w:rPr>
        <w:t xml:space="preserve">MSSR offers </w:t>
      </w:r>
      <w:r w:rsidR="00554595">
        <w:rPr>
          <w:rFonts w:eastAsia="Times New Roman" w:cs="Arial"/>
          <w:lang w:val="en-US"/>
        </w:rPr>
        <w:t>Pop-</w:t>
      </w:r>
      <w:r>
        <w:rPr>
          <w:rFonts w:eastAsia="Times New Roman" w:cs="Arial"/>
          <w:lang w:val="en-US"/>
        </w:rPr>
        <w:t xml:space="preserve">NMEC and </w:t>
      </w:r>
      <w:r w:rsidR="00554595">
        <w:rPr>
          <w:rFonts w:eastAsia="Times New Roman" w:cs="Arial"/>
          <w:lang w:val="en-US"/>
        </w:rPr>
        <w:t>Site-N</w:t>
      </w:r>
      <w:r>
        <w:rPr>
          <w:rFonts w:eastAsia="Times New Roman" w:cs="Arial"/>
          <w:lang w:val="en-US"/>
        </w:rPr>
        <w:t xml:space="preserve">MEC channels within MSSR. </w:t>
      </w:r>
      <w:r w:rsidRPr="3AB6A278">
        <w:rPr>
          <w:rFonts w:eastAsia="Times New Roman" w:cs="Arial"/>
          <w:lang w:val="en-US"/>
        </w:rPr>
        <w:t xml:space="preserve">The majority of the projects will be measured using </w:t>
      </w:r>
      <w:r w:rsidR="00554595">
        <w:rPr>
          <w:rFonts w:eastAsia="Times New Roman" w:cs="Arial"/>
          <w:lang w:val="en-US"/>
        </w:rPr>
        <w:t>Pop-</w:t>
      </w:r>
      <w:r w:rsidRPr="3AB6A278">
        <w:rPr>
          <w:rFonts w:eastAsia="Times New Roman" w:cs="Arial"/>
          <w:lang w:val="en-US"/>
        </w:rPr>
        <w:t xml:space="preserve">NMEC. The AESC Team will enroll select projects for Site-NMEC that meet a minimum savings and </w:t>
      </w:r>
      <w:r w:rsidR="005470D1">
        <w:rPr>
          <w:rFonts w:eastAsia="Times New Roman" w:cs="Arial"/>
          <w:lang w:val="en-US"/>
        </w:rPr>
        <w:t>TRC</w:t>
      </w:r>
      <w:r w:rsidRPr="3AB6A278">
        <w:rPr>
          <w:rFonts w:eastAsia="Times New Roman" w:cs="Arial"/>
          <w:lang w:val="en-US"/>
        </w:rPr>
        <w:t xml:space="preserve"> threshold and would not otherwise qualify for Pop-NMEC.</w:t>
      </w:r>
      <w:r>
        <w:rPr>
          <w:rFonts w:eastAsia="Times New Roman" w:cs="Arial"/>
          <w:lang w:val="en-US"/>
        </w:rPr>
        <w:t xml:space="preserve"> </w:t>
      </w:r>
      <w:r w:rsidRPr="3AB6A278">
        <w:rPr>
          <w:rFonts w:eastAsia="Times New Roman" w:cs="Arial"/>
          <w:lang w:val="en-US"/>
        </w:rPr>
        <w:t>Thresholds will be defined in the Program Management Plan</w:t>
      </w:r>
      <w:r>
        <w:t xml:space="preserve"> (</w:t>
      </w:r>
      <w:r w:rsidRPr="3AB6A278">
        <w:rPr>
          <w:rFonts w:eastAsia="Times New Roman" w:cs="Arial"/>
          <w:lang w:val="en-US"/>
        </w:rPr>
        <w:t>PMP).</w:t>
      </w:r>
    </w:p>
    <w:p w14:paraId="603A9579" w14:textId="763541E7" w:rsidR="0070493D" w:rsidRDefault="0070493D" w:rsidP="0070493D">
      <w:pPr>
        <w:pStyle w:val="Heading3"/>
        <w:rPr>
          <w:rFonts w:eastAsiaTheme="majorEastAsia" w:cs="Arial"/>
          <w:lang w:val="en-US"/>
        </w:rPr>
      </w:pPr>
      <w:r w:rsidRPr="0070493D">
        <w:rPr>
          <w:rFonts w:eastAsiaTheme="majorEastAsia" w:cs="Arial"/>
          <w:lang w:val="en-US"/>
        </w:rPr>
        <w:t xml:space="preserve"> </w:t>
      </w:r>
      <w:bookmarkStart w:id="19" w:name="_Toc174365025"/>
      <w:r>
        <w:rPr>
          <w:rFonts w:eastAsiaTheme="majorEastAsia" w:cs="Arial"/>
          <w:lang w:val="en-US"/>
        </w:rPr>
        <w:t>Customer Acquisition</w:t>
      </w:r>
      <w:bookmarkEnd w:id="19"/>
    </w:p>
    <w:p w14:paraId="42853466" w14:textId="1EDEA9BF" w:rsidR="0070493D" w:rsidRDefault="0070493D" w:rsidP="00B54114">
      <w:pPr>
        <w:pStyle w:val="Body1"/>
        <w:spacing w:after="120" w:line="240" w:lineRule="auto"/>
      </w:pPr>
      <w:r>
        <w:t xml:space="preserve">The AESC Team will perform select customer outreach, based on potential to provide the most </w:t>
      </w:r>
      <w:r w:rsidR="00F81FD0">
        <w:t>S</w:t>
      </w:r>
      <w:r>
        <w:t xml:space="preserve">ummer </w:t>
      </w:r>
      <w:r w:rsidR="00F81FD0">
        <w:t>P</w:t>
      </w:r>
      <w:r>
        <w:t xml:space="preserve">eak </w:t>
      </w:r>
      <w:r w:rsidR="00F81FD0">
        <w:t>kW</w:t>
      </w:r>
      <w:r>
        <w:t xml:space="preserve"> </w:t>
      </w:r>
      <w:r w:rsidR="00F81FD0">
        <w:t>reduction</w:t>
      </w:r>
      <w:r>
        <w:t xml:space="preserve"> and </w:t>
      </w:r>
      <w:r w:rsidR="005B2223">
        <w:t>TSB</w:t>
      </w:r>
      <w:r>
        <w:t xml:space="preserve">, to raise visibility about MSSR and prompt enrollment from customers.   </w:t>
      </w:r>
    </w:p>
    <w:p w14:paraId="0B38070C" w14:textId="77777777" w:rsidR="0070493D" w:rsidRDefault="0070493D" w:rsidP="00B54114">
      <w:pPr>
        <w:pStyle w:val="Body1"/>
        <w:spacing w:after="120" w:line="240" w:lineRule="auto"/>
      </w:pPr>
      <w:r>
        <w:t xml:space="preserve">Aside from targeted outreach, the majority of customer outreach and engagement will be performed by Enrolled Aggregators.  High potential markets and technologies will be discussed in the Aggregator Training, and a list of high potential markets and technologies will be available to help guide Enrolled Aggregator targeting. </w:t>
      </w:r>
    </w:p>
    <w:p w14:paraId="1F96D9CE" w14:textId="2CC90091" w:rsidR="000C05A7" w:rsidRPr="00253B49" w:rsidRDefault="0070493D" w:rsidP="00B54114">
      <w:pPr>
        <w:pStyle w:val="Body1"/>
        <w:spacing w:after="120" w:line="240" w:lineRule="auto"/>
      </w:pPr>
      <w:r>
        <w:t xml:space="preserve">To prevent program overlap and for the benefit of customer satisfaction, MSSR will coordinate with CCAs, RENs, and other Program Administrators as outlined in the PMP. </w:t>
      </w:r>
    </w:p>
    <w:p w14:paraId="4A83B374" w14:textId="5A3B6733" w:rsidR="000C05A7" w:rsidRDefault="000C05A7" w:rsidP="00B54114">
      <w:pPr>
        <w:pStyle w:val="Heading3"/>
        <w:rPr>
          <w:rFonts w:cs="Arial"/>
        </w:rPr>
      </w:pPr>
      <w:bookmarkStart w:id="20" w:name="_Toc174365026"/>
      <w:r>
        <w:rPr>
          <w:rFonts w:cs="Arial"/>
        </w:rPr>
        <w:t>Program Services</w:t>
      </w:r>
      <w:r w:rsidR="00061490">
        <w:rPr>
          <w:rFonts w:cs="Arial"/>
        </w:rPr>
        <w:t xml:space="preserve"> and Tools</w:t>
      </w:r>
      <w:bookmarkEnd w:id="20"/>
    </w:p>
    <w:p w14:paraId="01673FF5" w14:textId="1829596E" w:rsidR="00835527" w:rsidRPr="008C069E" w:rsidRDefault="00F50167" w:rsidP="00B54114">
      <w:pPr>
        <w:spacing w:after="120" w:line="240" w:lineRule="auto"/>
        <w:rPr>
          <w:rFonts w:cs="Arial"/>
        </w:rPr>
      </w:pPr>
      <w:r>
        <w:rPr>
          <w:rFonts w:cs="Arial"/>
        </w:rPr>
        <w:t>The AESC Team</w:t>
      </w:r>
      <w:r w:rsidR="00835527" w:rsidRPr="008C069E">
        <w:rPr>
          <w:rFonts w:cs="Arial"/>
        </w:rPr>
        <w:t xml:space="preserve"> will</w:t>
      </w:r>
      <w:r w:rsidR="00835527">
        <w:rPr>
          <w:rFonts w:cs="Arial"/>
        </w:rPr>
        <w:t xml:space="preserve"> provide the following services</w:t>
      </w:r>
      <w:r w:rsidR="00216A68">
        <w:rPr>
          <w:rFonts w:cs="Arial"/>
        </w:rPr>
        <w:t xml:space="preserve"> and tools</w:t>
      </w:r>
      <w:r>
        <w:rPr>
          <w:rFonts w:cs="Arial"/>
        </w:rPr>
        <w:t xml:space="preserve"> through MSSR</w:t>
      </w:r>
      <w:r w:rsidR="00835527">
        <w:rPr>
          <w:rFonts w:cs="Arial"/>
        </w:rPr>
        <w:t>:</w:t>
      </w:r>
      <w:r w:rsidR="00835527" w:rsidRPr="008C069E">
        <w:rPr>
          <w:rFonts w:cs="Arial"/>
        </w:rPr>
        <w:t xml:space="preserve"> </w:t>
      </w:r>
    </w:p>
    <w:p w14:paraId="710D380C" w14:textId="7B9FDFDD" w:rsidR="00835527" w:rsidRPr="008C069E" w:rsidRDefault="002E593D" w:rsidP="00B54114">
      <w:pPr>
        <w:pStyle w:val="Bullets1"/>
        <w:spacing w:after="120" w:line="240" w:lineRule="auto"/>
      </w:pPr>
      <w:r>
        <w:t>E</w:t>
      </w:r>
      <w:r w:rsidR="00835527" w:rsidRPr="008C069E">
        <w:t xml:space="preserve">ngage, educate, and enroll Aggregators to identify and implement summer peak </w:t>
      </w:r>
      <w:r w:rsidR="00393364">
        <w:t>kW</w:t>
      </w:r>
      <w:r w:rsidR="00835527" w:rsidRPr="008C069E">
        <w:t xml:space="preserve"> </w:t>
      </w:r>
      <w:r w:rsidR="00393364">
        <w:t>reduction</w:t>
      </w:r>
      <w:r w:rsidR="00835527" w:rsidRPr="008C069E">
        <w:t xml:space="preserve"> projects at customer sites. </w:t>
      </w:r>
    </w:p>
    <w:p w14:paraId="232C1E59" w14:textId="41445989" w:rsidR="00835527" w:rsidRPr="008C069E" w:rsidRDefault="002E593D" w:rsidP="00B54114">
      <w:pPr>
        <w:pStyle w:val="Bullets1"/>
        <w:spacing w:after="120" w:line="240" w:lineRule="auto"/>
      </w:pPr>
      <w:r>
        <w:t>I</w:t>
      </w:r>
      <w:r w:rsidR="00835527" w:rsidRPr="008C069E">
        <w:t xml:space="preserve">ncrease market awareness through </w:t>
      </w:r>
      <w:r w:rsidR="00835527">
        <w:t>education</w:t>
      </w:r>
      <w:r w:rsidR="00835527" w:rsidRPr="008C069E">
        <w:t xml:space="preserve"> to</w:t>
      </w:r>
      <w:r w:rsidR="00835527">
        <w:t xml:space="preserve"> </w:t>
      </w:r>
      <w:r w:rsidR="00835527" w:rsidRPr="008C069E">
        <w:t>markets</w:t>
      </w:r>
      <w:r w:rsidR="00835527">
        <w:t xml:space="preserve"> that do not participate in EE often</w:t>
      </w:r>
      <w:r w:rsidR="00835527" w:rsidRPr="008C069E">
        <w:t xml:space="preserve"> and through coordination with Local Government Partnerships (LGPs) to identify projects and generate Program referrals for the </w:t>
      </w:r>
      <w:r w:rsidR="00835527">
        <w:t>A</w:t>
      </w:r>
      <w:r w:rsidR="00835527" w:rsidRPr="008C069E">
        <w:t xml:space="preserve">ggregator network. </w:t>
      </w:r>
    </w:p>
    <w:p w14:paraId="6E94F041" w14:textId="1E8CACDC" w:rsidR="00835527" w:rsidRPr="008C069E" w:rsidRDefault="002E593D" w:rsidP="00B54114">
      <w:pPr>
        <w:pStyle w:val="Bullets1"/>
        <w:spacing w:after="120" w:line="240" w:lineRule="auto"/>
      </w:pPr>
      <w:r>
        <w:t>U</w:t>
      </w:r>
      <w:r w:rsidR="00835527">
        <w:t xml:space="preserve">sing targeting data, </w:t>
      </w:r>
      <w:r w:rsidR="00835527" w:rsidRPr="008C069E">
        <w:t xml:space="preserve">initially prequalify Pop-NMEC eligible sites, creating a centralized database of potential </w:t>
      </w:r>
      <w:r w:rsidR="00835527">
        <w:t>customers</w:t>
      </w:r>
      <w:r w:rsidR="00835527" w:rsidRPr="008C069E">
        <w:t xml:space="preserve">, which will be prioritized based on energy use and peak usage in targeted markets and regions.  </w:t>
      </w:r>
    </w:p>
    <w:p w14:paraId="62D1E918" w14:textId="12AFCEE9" w:rsidR="00835527" w:rsidRPr="008C069E" w:rsidRDefault="002E593D" w:rsidP="00B54114">
      <w:pPr>
        <w:pStyle w:val="Bullets1"/>
        <w:spacing w:after="120" w:line="240" w:lineRule="auto"/>
      </w:pPr>
      <w:r>
        <w:t>P</w:t>
      </w:r>
      <w:r w:rsidR="00835527" w:rsidRPr="008C069E">
        <w:t>erform targeted outreach to customer</w:t>
      </w:r>
      <w:r w:rsidR="00835527">
        <w:t xml:space="preserve"> type</w:t>
      </w:r>
      <w:r w:rsidR="00835527" w:rsidRPr="008C069E">
        <w:t xml:space="preserve">s. </w:t>
      </w:r>
    </w:p>
    <w:p w14:paraId="29E824BF" w14:textId="34281E91" w:rsidR="00835527" w:rsidRPr="008C069E" w:rsidRDefault="002E593D" w:rsidP="00B54114">
      <w:pPr>
        <w:pStyle w:val="Bullets1"/>
        <w:spacing w:after="120" w:line="240" w:lineRule="auto"/>
      </w:pPr>
      <w:r>
        <w:t>P</w:t>
      </w:r>
      <w:r w:rsidR="00835527" w:rsidRPr="008C069E">
        <w:t xml:space="preserve">rovide Aggregators with training and support throughout the project enrollment, approval, and M&amp;V process.  </w:t>
      </w:r>
    </w:p>
    <w:p w14:paraId="49D683DC" w14:textId="0376B7E9" w:rsidR="00835527" w:rsidRPr="008C069E" w:rsidRDefault="002E593D" w:rsidP="00B54114">
      <w:pPr>
        <w:pStyle w:val="Bullets1"/>
        <w:spacing w:after="120" w:line="240" w:lineRule="auto"/>
      </w:pPr>
      <w:r>
        <w:t>P</w:t>
      </w:r>
      <w:r w:rsidR="00835527" w:rsidRPr="008C069E">
        <w:t xml:space="preserve">rovide </w:t>
      </w:r>
      <w:r w:rsidR="0073276A">
        <w:t>A</w:t>
      </w:r>
      <w:r w:rsidR="0073276A" w:rsidRPr="008C069E">
        <w:t>ggregators with</w:t>
      </w:r>
      <w:r w:rsidR="00835527" w:rsidRPr="008C069E">
        <w:t xml:space="preserve"> no-cost access to tools that determine </w:t>
      </w:r>
      <w:r w:rsidR="00835527">
        <w:t>site</w:t>
      </w:r>
      <w:r w:rsidR="00835527" w:rsidRPr="008C069E">
        <w:t xml:space="preserve"> eligibility, </w:t>
      </w:r>
      <w:r w:rsidR="00835527">
        <w:t xml:space="preserve">project </w:t>
      </w:r>
      <w:r w:rsidR="00835527" w:rsidRPr="008C069E">
        <w:t>TSB</w:t>
      </w:r>
      <w:r w:rsidR="00207804">
        <w:t>,</w:t>
      </w:r>
      <w:r w:rsidR="00835527" w:rsidRPr="008C069E">
        <w:t xml:space="preserve"> and incentive value estimation, along with visibility into M&amp;V and </w:t>
      </w:r>
      <w:r w:rsidR="00835527">
        <w:t xml:space="preserve">payment and </w:t>
      </w:r>
      <w:r w:rsidR="00835527" w:rsidRPr="008C069E">
        <w:t xml:space="preserve">incentive statuses. </w:t>
      </w:r>
    </w:p>
    <w:p w14:paraId="458D6BE8" w14:textId="2529365B" w:rsidR="00835527" w:rsidRPr="008C069E" w:rsidRDefault="002E593D" w:rsidP="00B54114">
      <w:pPr>
        <w:pStyle w:val="Bullets1"/>
        <w:spacing w:after="120" w:line="240" w:lineRule="auto"/>
      </w:pPr>
      <w:r>
        <w:t>E</w:t>
      </w:r>
      <w:r w:rsidR="00835527" w:rsidRPr="008C069E">
        <w:t xml:space="preserve">nroll select projects </w:t>
      </w:r>
      <w:r w:rsidR="00835527">
        <w:t xml:space="preserve">that can bring significant savings to the program </w:t>
      </w:r>
      <w:r w:rsidR="00835527" w:rsidRPr="008C069E">
        <w:t xml:space="preserve">for Site-NMEC that meet a minimum cost-effectiveness threshold and would not otherwise qualify for Pop-NMEC. </w:t>
      </w:r>
      <w:r w:rsidR="00835527">
        <w:t xml:space="preserve">The exact savings and TRC threshold will be defined in the </w:t>
      </w:r>
      <w:r w:rsidR="0073276A">
        <w:t>PMP</w:t>
      </w:r>
      <w:r w:rsidR="00835527">
        <w:t>.</w:t>
      </w:r>
    </w:p>
    <w:p w14:paraId="5D718D14" w14:textId="69B4C461" w:rsidR="00835527" w:rsidRPr="008C069E" w:rsidRDefault="002E593D" w:rsidP="00B54114">
      <w:pPr>
        <w:pStyle w:val="Bullets1"/>
        <w:spacing w:after="120" w:line="240" w:lineRule="auto"/>
      </w:pPr>
      <w:r>
        <w:t>O</w:t>
      </w:r>
      <w:r w:rsidR="00835527" w:rsidRPr="008C069E">
        <w:t xml:space="preserve">ffer </w:t>
      </w:r>
      <w:r w:rsidR="00835527">
        <w:t>PG&amp;E On Bill Financing (</w:t>
      </w:r>
      <w:r w:rsidR="00835527" w:rsidRPr="008C069E">
        <w:t>OBF</w:t>
      </w:r>
      <w:r w:rsidR="00835527">
        <w:t>) upon agreement of incentive and financing mechanisms with PG&amp;E</w:t>
      </w:r>
      <w:r w:rsidR="00835527" w:rsidRPr="008C069E">
        <w:t xml:space="preserve">.  </w:t>
      </w:r>
    </w:p>
    <w:p w14:paraId="683E2463" w14:textId="600BB52F" w:rsidR="00835527" w:rsidRPr="008C069E" w:rsidRDefault="002E593D" w:rsidP="00B54114">
      <w:pPr>
        <w:pStyle w:val="Bullets1"/>
        <w:spacing w:after="120" w:line="240" w:lineRule="auto"/>
      </w:pPr>
      <w:r>
        <w:t>R</w:t>
      </w:r>
      <w:r w:rsidR="00835527" w:rsidRPr="008C069E">
        <w:t xml:space="preserve">eview all project applications, pre- and post-installation, and issue incentive letters and performance period (M&amp;V) notification letters to </w:t>
      </w:r>
      <w:r w:rsidR="00835527">
        <w:t>A</w:t>
      </w:r>
      <w:r w:rsidR="00835527" w:rsidRPr="008C069E">
        <w:t>ggregators</w:t>
      </w:r>
      <w:r w:rsidR="0014286F">
        <w:t>.</w:t>
      </w:r>
      <w:r w:rsidR="00835527" w:rsidRPr="008C069E">
        <w:t xml:space="preserve"> </w:t>
      </w:r>
    </w:p>
    <w:p w14:paraId="3306C7ED" w14:textId="39272E8A" w:rsidR="00835527" w:rsidRPr="008C069E" w:rsidRDefault="002E593D" w:rsidP="00B54114">
      <w:pPr>
        <w:pStyle w:val="Bullets1"/>
        <w:spacing w:after="120" w:line="240" w:lineRule="auto"/>
      </w:pPr>
      <w:r>
        <w:t>T</w:t>
      </w:r>
      <w:r w:rsidR="00835527" w:rsidRPr="008C069E">
        <w:t xml:space="preserve">rack </w:t>
      </w:r>
      <w:r w:rsidR="00835527">
        <w:t>A</w:t>
      </w:r>
      <w:r w:rsidR="00835527" w:rsidRPr="008C069E">
        <w:t>ggregators</w:t>
      </w:r>
      <w:r w:rsidR="0014286F">
        <w:t>’</w:t>
      </w:r>
      <w:r w:rsidR="00835527" w:rsidRPr="008C069E">
        <w:t xml:space="preserve"> projects and update</w:t>
      </w:r>
      <w:r w:rsidR="00835527">
        <w:t xml:space="preserve"> TSB, customer incentive and Aggregator </w:t>
      </w:r>
      <w:r w:rsidR="00835527">
        <w:lastRenderedPageBreak/>
        <w:t xml:space="preserve">payment, summer peak kW, and kWh </w:t>
      </w:r>
      <w:r w:rsidR="00835527" w:rsidRPr="008C069E">
        <w:t>forecasts based on latest data</w:t>
      </w:r>
      <w:r w:rsidR="00835527">
        <w:t>.</w:t>
      </w:r>
      <w:r w:rsidR="00835527" w:rsidRPr="008C069E">
        <w:t xml:space="preserve"> </w:t>
      </w:r>
    </w:p>
    <w:p w14:paraId="2630A066" w14:textId="78E35D30" w:rsidR="00835527" w:rsidRPr="008C069E" w:rsidRDefault="002E593D" w:rsidP="00B54114">
      <w:pPr>
        <w:pStyle w:val="Bullets1"/>
        <w:spacing w:after="120" w:line="240" w:lineRule="auto"/>
      </w:pPr>
      <w:r>
        <w:t>P</w:t>
      </w:r>
      <w:r w:rsidR="00835527" w:rsidRPr="008C069E">
        <w:t xml:space="preserve">ay Aggregator based on TSB. </w:t>
      </w:r>
    </w:p>
    <w:p w14:paraId="32861F9B" w14:textId="2A7102D6" w:rsidR="00835527" w:rsidRDefault="002E593D" w:rsidP="00B54114">
      <w:pPr>
        <w:pStyle w:val="Bullets1"/>
        <w:spacing w:line="240" w:lineRule="auto"/>
      </w:pPr>
      <w:r>
        <w:t>M</w:t>
      </w:r>
      <w:r w:rsidR="00835527" w:rsidRPr="008C069E">
        <w:t xml:space="preserve">anage the incentive forecast, update an </w:t>
      </w:r>
      <w:r w:rsidR="00835527">
        <w:t>A</w:t>
      </w:r>
      <w:r w:rsidR="00835527" w:rsidRPr="008C069E">
        <w:t xml:space="preserve">ggregator-accessible funding tracker, and provide regular funding updates through </w:t>
      </w:r>
      <w:r w:rsidR="00835527">
        <w:t>A</w:t>
      </w:r>
      <w:r w:rsidR="00835527" w:rsidRPr="008C069E">
        <w:t>ggregator newsletters and communications.</w:t>
      </w:r>
    </w:p>
    <w:p w14:paraId="7728912F" w14:textId="77777777" w:rsidR="003F0EFA" w:rsidRDefault="003F0EFA" w:rsidP="7B0EED14">
      <w:pPr>
        <w:widowControl w:val="0"/>
        <w:tabs>
          <w:tab w:val="left" w:pos="1041"/>
        </w:tabs>
        <w:spacing w:before="0" w:line="240" w:lineRule="auto"/>
        <w:rPr>
          <w:rFonts w:cs="Arial"/>
          <w:lang w:val="en-US"/>
        </w:rPr>
      </w:pPr>
    </w:p>
    <w:p w14:paraId="071B7136" w14:textId="77777777" w:rsidR="00C5222B" w:rsidRPr="00B237B5" w:rsidRDefault="001E1358" w:rsidP="003C394D">
      <w:pPr>
        <w:pStyle w:val="Heading2"/>
        <w:numPr>
          <w:ilvl w:val="0"/>
          <w:numId w:val="20"/>
        </w:numPr>
      </w:pPr>
      <w:bookmarkStart w:id="21" w:name="_Toc174109487"/>
      <w:bookmarkStart w:id="22" w:name="_Toc174110661"/>
      <w:bookmarkStart w:id="23" w:name="_Toc174352800"/>
      <w:bookmarkStart w:id="24" w:name="_Toc174109488"/>
      <w:bookmarkStart w:id="25" w:name="_Toc174110662"/>
      <w:bookmarkStart w:id="26" w:name="_Toc174352801"/>
      <w:bookmarkStart w:id="27" w:name="_Toc174109489"/>
      <w:bookmarkStart w:id="28" w:name="_Toc174110663"/>
      <w:bookmarkStart w:id="29" w:name="_Toc174352802"/>
      <w:bookmarkStart w:id="30" w:name="_Toc174365027"/>
      <w:bookmarkEnd w:id="21"/>
      <w:bookmarkEnd w:id="22"/>
      <w:bookmarkEnd w:id="23"/>
      <w:bookmarkEnd w:id="24"/>
      <w:bookmarkEnd w:id="25"/>
      <w:bookmarkEnd w:id="26"/>
      <w:bookmarkEnd w:id="27"/>
      <w:bookmarkEnd w:id="28"/>
      <w:bookmarkEnd w:id="29"/>
      <w:r w:rsidRPr="00B237B5">
        <w:t>Program Design and Best Practices</w:t>
      </w:r>
      <w:bookmarkEnd w:id="30"/>
    </w:p>
    <w:p w14:paraId="461D74C9" w14:textId="1D660DB2" w:rsidR="00011AF9" w:rsidRDefault="00011AF9" w:rsidP="00011AF9">
      <w:pPr>
        <w:pStyle w:val="Heading3"/>
        <w:rPr>
          <w:rFonts w:eastAsiaTheme="majorEastAsia" w:cs="Arial"/>
          <w:lang w:val="en-US"/>
        </w:rPr>
      </w:pPr>
      <w:bookmarkStart w:id="31" w:name="_Toc174365028"/>
      <w:r>
        <w:rPr>
          <w:rFonts w:eastAsiaTheme="majorEastAsia" w:cs="Arial"/>
          <w:lang w:val="en-US"/>
        </w:rPr>
        <w:t>General Program Design</w:t>
      </w:r>
      <w:r w:rsidR="00237E38">
        <w:rPr>
          <w:rFonts w:eastAsiaTheme="majorEastAsia" w:cs="Arial"/>
          <w:lang w:val="en-US"/>
        </w:rPr>
        <w:t xml:space="preserve"> and Approach</w:t>
      </w:r>
      <w:bookmarkEnd w:id="31"/>
    </w:p>
    <w:p w14:paraId="0B378D0A" w14:textId="0754FC48" w:rsidR="00007623" w:rsidRDefault="00007623" w:rsidP="00B54114">
      <w:pPr>
        <w:pStyle w:val="Body1"/>
        <w:spacing w:after="120" w:line="240" w:lineRule="auto"/>
      </w:pPr>
      <w:r w:rsidRPr="551B5F1B">
        <w:t xml:space="preserve">Designed to use </w:t>
      </w:r>
      <w:r w:rsidR="005F1FA8" w:rsidRPr="551B5F1B">
        <w:t>primarily</w:t>
      </w:r>
      <w:r w:rsidRPr="551B5F1B">
        <w:t xml:space="preserve"> </w:t>
      </w:r>
      <w:r w:rsidR="008B3315" w:rsidRPr="551B5F1B">
        <w:t>Pop-</w:t>
      </w:r>
      <w:r w:rsidRPr="551B5F1B">
        <w:t xml:space="preserve">NMEC and a pay-for-performance </w:t>
      </w:r>
      <w:r w:rsidR="0082595F" w:rsidRPr="551B5F1B">
        <w:t>design</w:t>
      </w:r>
      <w:r w:rsidRPr="551B5F1B">
        <w:t xml:space="preserve">, </w:t>
      </w:r>
      <w:r w:rsidR="007E4D5A" w:rsidRPr="551B5F1B">
        <w:t xml:space="preserve">MSSR leverages Aggregators to </w:t>
      </w:r>
      <w:r w:rsidRPr="551B5F1B">
        <w:t xml:space="preserve">identify, enroll, and install projects at customer sites. </w:t>
      </w:r>
      <w:r w:rsidR="005F1FA8" w:rsidRPr="551B5F1B">
        <w:t>Aggregators are paid out on actual M&amp;V performance.</w:t>
      </w:r>
    </w:p>
    <w:p w14:paraId="69B51D93" w14:textId="419B90A7" w:rsidR="000E258F" w:rsidRDefault="000E5DD4" w:rsidP="00862D53">
      <w:pPr>
        <w:pStyle w:val="Body1"/>
        <w:spacing w:after="120" w:line="240" w:lineRule="auto"/>
      </w:pPr>
      <w:r>
        <w:t>The</w:t>
      </w:r>
      <w:r w:rsidR="00011AF9" w:rsidRPr="00D9124B">
        <w:t xml:space="preserve"> </w:t>
      </w:r>
      <w:r w:rsidR="0082595F">
        <w:t>Pop-</w:t>
      </w:r>
      <w:r w:rsidR="00011AF9" w:rsidRPr="00D9124B">
        <w:t>NMEC approach and TSB performance based-payments</w:t>
      </w:r>
      <w:r>
        <w:t xml:space="preserve"> </w:t>
      </w:r>
      <w:r w:rsidR="00B7027A">
        <w:t xml:space="preserve">will </w:t>
      </w:r>
      <w:r w:rsidRPr="00D9124B">
        <w:t>maximize available incentives</w:t>
      </w:r>
      <w:r w:rsidR="00011AF9" w:rsidRPr="00D9124B">
        <w:t xml:space="preserve"> </w:t>
      </w:r>
      <w:r w:rsidR="00B7027A">
        <w:t>and</w:t>
      </w:r>
      <w:r w:rsidR="00011AF9" w:rsidRPr="00D9124B">
        <w:t xml:space="preserve"> result in cost effective TSB. Additionally, to support lifecycle summer peak kW</w:t>
      </w:r>
      <w:r w:rsidR="00FF5337">
        <w:t xml:space="preserve"> reduction,</w:t>
      </w:r>
      <w:r w:rsidR="00011AF9" w:rsidRPr="00D9124B">
        <w:t xml:space="preserve"> the </w:t>
      </w:r>
      <w:r w:rsidR="00DE7B02">
        <w:t>AESC Team</w:t>
      </w:r>
      <w:r w:rsidR="00011AF9" w:rsidRPr="00D9124B">
        <w:t xml:space="preserve"> will </w:t>
      </w:r>
      <w:r w:rsidR="0038420B">
        <w:t xml:space="preserve">supplement Aggregator </w:t>
      </w:r>
      <w:r w:rsidR="00BA7029">
        <w:t xml:space="preserve">efforts by </w:t>
      </w:r>
      <w:r w:rsidR="00BA7029" w:rsidRPr="00D9124B">
        <w:t>target</w:t>
      </w:r>
      <w:r w:rsidR="00BA7029">
        <w:t>ing</w:t>
      </w:r>
      <w:r w:rsidR="00011AF9" w:rsidRPr="00D9124B">
        <w:t xml:space="preserve"> customers located in the hottest inland areas of PG&amp;E’s territory and promot</w:t>
      </w:r>
      <w:r w:rsidR="00BA7029">
        <w:t>ing</w:t>
      </w:r>
      <w:r w:rsidR="00011AF9" w:rsidRPr="00D9124B">
        <w:t xml:space="preserve"> technologies and projects that produce the most summer savings.</w:t>
      </w:r>
      <w:r w:rsidR="00BA7029">
        <w:t xml:space="preserve"> The AESC Team will connect interested </w:t>
      </w:r>
      <w:r w:rsidR="00D77A4C">
        <w:t>customers</w:t>
      </w:r>
      <w:r w:rsidR="00BA7029">
        <w:t xml:space="preserve"> with </w:t>
      </w:r>
      <w:r w:rsidR="00D77A4C">
        <w:t>various Aggregators who can serve their needs.</w:t>
      </w:r>
    </w:p>
    <w:p w14:paraId="75F19366" w14:textId="4CB2F550" w:rsidR="00237E38" w:rsidRDefault="00237E38" w:rsidP="00862D53">
      <w:pPr>
        <w:pStyle w:val="Body1"/>
        <w:spacing w:after="120" w:line="240" w:lineRule="auto"/>
      </w:pPr>
      <w:r w:rsidRPr="008C069E">
        <w:t xml:space="preserve">As a meter-based Program, the </w:t>
      </w:r>
      <w:r w:rsidR="00DE7B02">
        <w:t>AESC Team</w:t>
      </w:r>
      <w:r w:rsidRPr="008C069E">
        <w:t xml:space="preserve"> will measure savings at the whole-building level. Thus, any measure that reduces energy use is qualified for </w:t>
      </w:r>
      <w:r w:rsidR="00DE7B02">
        <w:t>MSSR</w:t>
      </w:r>
      <w:r w:rsidRPr="008C069E">
        <w:t xml:space="preserve">, including to-code, Industry Standard Practice, PG&amp;E expired measures, custom measures (accelerated replacement, add-on equipment, weatherization, behavioral, </w:t>
      </w:r>
      <w:proofErr w:type="spellStart"/>
      <w:r w:rsidRPr="008C069E">
        <w:t>retrocommissioning</w:t>
      </w:r>
      <w:proofErr w:type="spellEnd"/>
      <w:r w:rsidRPr="008C069E">
        <w:t xml:space="preserve"> (RCx), and operational (BRO)), and deemed measures. New construction and added load measures are not allow</w:t>
      </w:r>
      <w:r w:rsidR="00A07624">
        <w:t>ed</w:t>
      </w:r>
      <w:r w:rsidRPr="008C069E">
        <w:t xml:space="preserve">.  </w:t>
      </w:r>
    </w:p>
    <w:p w14:paraId="7289277B" w14:textId="383A848D" w:rsidR="00BF6E81" w:rsidRDefault="00BF6E81" w:rsidP="00B54114">
      <w:pPr>
        <w:pStyle w:val="Body1"/>
        <w:spacing w:after="120" w:line="240" w:lineRule="auto"/>
      </w:pPr>
      <w:r>
        <w:rPr>
          <w:lang w:val="en"/>
        </w:rPr>
        <w:t>S</w:t>
      </w:r>
      <w:r w:rsidRPr="003E73D4">
        <w:rPr>
          <w:lang w:val="en"/>
        </w:rPr>
        <w:t>pecific technologies are best suited to maximizing the avoided costs, but their adoption (and incentive levels) is a function of the customer needs, financing requirements, and other funding mechanisms available to the aggregator to promote adoption through financing options or shared costs.</w:t>
      </w:r>
    </w:p>
    <w:p w14:paraId="2F86BCE7" w14:textId="0BD5CB90" w:rsidR="003824EE" w:rsidRPr="00B54114" w:rsidRDefault="00C120CA" w:rsidP="00B54114">
      <w:pPr>
        <w:pStyle w:val="Body1"/>
        <w:spacing w:after="120" w:line="240" w:lineRule="auto"/>
        <w:rPr>
          <w:lang w:val="en"/>
        </w:rPr>
      </w:pPr>
      <w:r w:rsidRPr="00B54114">
        <w:rPr>
          <w:lang w:val="en"/>
        </w:rPr>
        <w:t xml:space="preserve">Program Design </w:t>
      </w:r>
      <w:r w:rsidR="00190A63" w:rsidRPr="00B54114">
        <w:rPr>
          <w:lang w:val="en"/>
        </w:rPr>
        <w:t xml:space="preserve">flowcharts may be found in the </w:t>
      </w:r>
      <w:r w:rsidR="00635F41" w:rsidRPr="00B54114">
        <w:rPr>
          <w:lang w:val="en"/>
        </w:rPr>
        <w:t>Supporting Document</w:t>
      </w:r>
      <w:r w:rsidR="00190A63" w:rsidRPr="00B54114">
        <w:rPr>
          <w:lang w:val="en"/>
        </w:rPr>
        <w:t>s</w:t>
      </w:r>
      <w:r w:rsidR="0036792B" w:rsidRPr="00B54114">
        <w:rPr>
          <w:lang w:val="en"/>
        </w:rPr>
        <w:t xml:space="preserve">, </w:t>
      </w:r>
      <w:r w:rsidR="60EB6B91" w:rsidRPr="00B54114">
        <w:rPr>
          <w:lang w:val="en"/>
        </w:rPr>
        <w:t>which include</w:t>
      </w:r>
      <w:r w:rsidR="0036792B" w:rsidRPr="00B54114">
        <w:rPr>
          <w:lang w:val="en"/>
        </w:rPr>
        <w:t xml:space="preserve"> Program Theory and Logic Model</w:t>
      </w:r>
      <w:r w:rsidR="00635F41" w:rsidRPr="00B54114">
        <w:rPr>
          <w:lang w:val="en"/>
        </w:rPr>
        <w:t xml:space="preserve"> in Section 2, Process Flow Chart is found in Section 3</w:t>
      </w:r>
      <w:r w:rsidR="0036792B" w:rsidRPr="00B54114">
        <w:rPr>
          <w:lang w:val="en"/>
        </w:rPr>
        <w:t xml:space="preserve">, and Diagram of Program in Section 6.  </w:t>
      </w:r>
    </w:p>
    <w:p w14:paraId="029C8A64" w14:textId="46B0DFF3" w:rsidR="007065B4" w:rsidRPr="00B54114" w:rsidRDefault="007065B4" w:rsidP="00B54114">
      <w:pPr>
        <w:pStyle w:val="Heading4"/>
        <w:rPr>
          <w:rFonts w:eastAsiaTheme="majorEastAsia"/>
        </w:rPr>
      </w:pPr>
      <w:r>
        <w:rPr>
          <w:rFonts w:eastAsiaTheme="majorEastAsia" w:cs="Arial"/>
          <w:lang w:val="en-US"/>
        </w:rPr>
        <w:t>Aggregator Responsibilities</w:t>
      </w:r>
    </w:p>
    <w:p w14:paraId="2E416D6D" w14:textId="77777777" w:rsidR="007065B4" w:rsidRPr="008C069E" w:rsidRDefault="007065B4" w:rsidP="00B54114">
      <w:pPr>
        <w:pStyle w:val="Body1"/>
        <w:spacing w:after="120" w:line="240" w:lineRule="auto"/>
      </w:pPr>
      <w:r>
        <w:t>MSSR will require any Aggregator who is enrolling projects and receiving customer incentives and/or performance-based payments to be an Enrolled Aggregator. Customers must meet the eligibility requirements outlined in the Policies and Procedures (P&amp;P) Manual within the PMP and products must be purchased after project approval as defined in the P&amp;P Manual.</w:t>
      </w:r>
      <w:r w:rsidDel="00D37B02">
        <w:t xml:space="preserve"> </w:t>
      </w:r>
      <w:r>
        <w:t xml:space="preserve">All installations must be completed by the Project Installation Deadline of May 3, 2027. </w:t>
      </w:r>
      <w:r w:rsidDel="0014105F">
        <w:t xml:space="preserve"> </w:t>
      </w:r>
    </w:p>
    <w:p w14:paraId="4E8500F8" w14:textId="63534DF3" w:rsidR="007065B4" w:rsidRDefault="007065B4" w:rsidP="00B54114">
      <w:pPr>
        <w:pStyle w:val="Body1"/>
        <w:spacing w:after="120" w:line="240" w:lineRule="auto"/>
      </w:pPr>
      <w:r w:rsidRPr="3AB6A278">
        <w:t>Upon enrollment, Aggregators will be required to participate</w:t>
      </w:r>
      <w:r>
        <w:t xml:space="preserve"> </w:t>
      </w:r>
      <w:r w:rsidRPr="3AB6A278">
        <w:t>in program training.  This training</w:t>
      </w:r>
      <w:r>
        <w:t xml:space="preserve"> will be recorded for Aggregator use at enrollment and</w:t>
      </w:r>
      <w:r w:rsidRPr="3AB6A278">
        <w:t xml:space="preserve"> will cover programmatic information, requirements for participation, and </w:t>
      </w:r>
      <w:r>
        <w:t xml:space="preserve">details </w:t>
      </w:r>
      <w:r w:rsidRPr="3AB6A278">
        <w:t>on the process.</w:t>
      </w:r>
      <w:r>
        <w:t xml:space="preserve">  While there is no pass/fail process for an Aggregator to sign up and participate in the program, the Aggregator will be required to adhere to the terms and conditions within the Participating Aggregator Agreement (including applicable workforce standards for contractors, accurate energy savings calculations, and complete project application and post-installation packages).  Additionally, self-certification forms for contractor project licensing and permits will be required for post-installation project </w:t>
      </w:r>
      <w:r>
        <w:lastRenderedPageBreak/>
        <w:t xml:space="preserve">approval as needed.  The AESC Team will actively engage and enroll Aggregators into MSSR.  </w:t>
      </w:r>
    </w:p>
    <w:p w14:paraId="717267AE" w14:textId="1481715D" w:rsidR="0072535E" w:rsidRDefault="0072535E" w:rsidP="00D12148">
      <w:pPr>
        <w:pStyle w:val="Heading3"/>
        <w:rPr>
          <w:rFonts w:eastAsiaTheme="majorEastAsia" w:cs="Arial"/>
          <w:lang w:val="en-US"/>
        </w:rPr>
      </w:pPr>
      <w:bookmarkStart w:id="32" w:name="_Toc174365029"/>
      <w:r w:rsidRPr="00B54114">
        <w:rPr>
          <w:rFonts w:eastAsiaTheme="majorEastAsia" w:cs="Arial"/>
          <w:lang w:val="en-US"/>
        </w:rPr>
        <w:t>Strat</w:t>
      </w:r>
      <w:r w:rsidR="00D12148" w:rsidRPr="00B54114">
        <w:rPr>
          <w:rFonts w:eastAsiaTheme="majorEastAsia" w:cs="Arial"/>
          <w:lang w:val="en-US"/>
        </w:rPr>
        <w:t>egies</w:t>
      </w:r>
      <w:r w:rsidR="0008714B">
        <w:rPr>
          <w:rFonts w:eastAsiaTheme="majorEastAsia" w:cs="Arial"/>
          <w:lang w:val="en-US"/>
        </w:rPr>
        <w:t xml:space="preserve"> and Tactics</w:t>
      </w:r>
      <w:bookmarkEnd w:id="32"/>
    </w:p>
    <w:p w14:paraId="09BCE8DB" w14:textId="2EB0A74B" w:rsidR="004E6C96" w:rsidRPr="00C378DB" w:rsidRDefault="004E6C96" w:rsidP="00B54114">
      <w:pPr>
        <w:pStyle w:val="Body1"/>
        <w:spacing w:line="240" w:lineRule="auto"/>
      </w:pPr>
      <w:r w:rsidRPr="00C378DB">
        <w:t>The AESC Team will perform</w:t>
      </w:r>
      <w:r>
        <w:t xml:space="preserve"> outreach to </w:t>
      </w:r>
      <w:r w:rsidR="002506ED">
        <w:t>A</w:t>
      </w:r>
      <w:r>
        <w:t xml:space="preserve">ggregators to prompt enrollment and perform </w:t>
      </w:r>
      <w:r w:rsidRPr="00C378DB">
        <w:t xml:space="preserve">targeted outreach to </w:t>
      </w:r>
      <w:r w:rsidRPr="39D408A8">
        <w:t xml:space="preserve">increase </w:t>
      </w:r>
      <w:r>
        <w:t xml:space="preserve">customer </w:t>
      </w:r>
      <w:r w:rsidRPr="39D408A8">
        <w:t>awareness of</w:t>
      </w:r>
      <w:r w:rsidRPr="00C378DB">
        <w:t xml:space="preserve"> </w:t>
      </w:r>
      <w:r w:rsidR="001A0F12">
        <w:t>MSSR</w:t>
      </w:r>
      <w:r>
        <w:t xml:space="preserve"> </w:t>
      </w:r>
      <w:r w:rsidR="00C93E78">
        <w:t>to</w:t>
      </w:r>
      <w:r>
        <w:t xml:space="preserve"> connect </w:t>
      </w:r>
      <w:r w:rsidR="00F8276E">
        <w:t>A</w:t>
      </w:r>
      <w:r>
        <w:t>ggregators and customer</w:t>
      </w:r>
      <w:r w:rsidR="00F8276E">
        <w:t>s</w:t>
      </w:r>
      <w:r>
        <w:t xml:space="preserve"> together for projects that </w:t>
      </w:r>
      <w:r w:rsidRPr="00C378DB">
        <w:t xml:space="preserve">may provide the </w:t>
      </w:r>
      <w:r w:rsidRPr="39D408A8">
        <w:t xml:space="preserve">highest potential for </w:t>
      </w:r>
      <w:r w:rsidR="00C34E96">
        <w:t>S</w:t>
      </w:r>
      <w:r w:rsidR="00C72671">
        <w:t xml:space="preserve">ummer </w:t>
      </w:r>
      <w:r w:rsidR="00AA1B14">
        <w:t>P</w:t>
      </w:r>
      <w:r w:rsidR="00C72671">
        <w:t>eak kW</w:t>
      </w:r>
      <w:r w:rsidRPr="39D408A8">
        <w:t xml:space="preserve"> </w:t>
      </w:r>
      <w:r w:rsidR="006563D7">
        <w:t>reduction</w:t>
      </w:r>
      <w:r w:rsidRPr="00C378DB">
        <w:t xml:space="preserve"> and TSB. General strategies to achieve these goals include the following:</w:t>
      </w:r>
    </w:p>
    <w:p w14:paraId="2F3DC74E" w14:textId="18BA5375" w:rsidR="004E6C96" w:rsidRPr="00B54114" w:rsidRDefault="004E6C96" w:rsidP="00B54114">
      <w:pPr>
        <w:pStyle w:val="Bullets1"/>
        <w:numPr>
          <w:ilvl w:val="0"/>
          <w:numId w:val="0"/>
        </w:numPr>
        <w:spacing w:line="240" w:lineRule="auto"/>
      </w:pPr>
      <w:r w:rsidRPr="0040436A">
        <w:rPr>
          <w:b/>
          <w:bCs/>
        </w:rPr>
        <w:t>Aggregator Targeting</w:t>
      </w:r>
      <w:r w:rsidRPr="407ADB38">
        <w:t xml:space="preserve">: In alignment with TSB goals and targeted measures, the AESC </w:t>
      </w:r>
      <w:r w:rsidR="00705508">
        <w:t>T</w:t>
      </w:r>
      <w:r w:rsidRPr="407ADB38">
        <w:t>eam will target Aggregators who are familiar with NMEC and can identify and enroll projects that yield high TSB and S</w:t>
      </w:r>
      <w:r w:rsidR="00C34E96">
        <w:t>ummer Peak kW</w:t>
      </w:r>
      <w:r w:rsidRPr="407ADB38">
        <w:t xml:space="preserve"> savings. This includes, but is not limited to the following:</w:t>
      </w:r>
    </w:p>
    <w:p w14:paraId="7013BDD5" w14:textId="2EB29972" w:rsidR="004E6C96" w:rsidRPr="00C378DB" w:rsidRDefault="004E6C96" w:rsidP="00B54114">
      <w:pPr>
        <w:pStyle w:val="Bullets1"/>
        <w:spacing w:after="0" w:line="240" w:lineRule="auto"/>
      </w:pPr>
      <w:r w:rsidRPr="407ADB38">
        <w:t xml:space="preserve">Existing PG&amp;E MAP Aggregators </w:t>
      </w:r>
    </w:p>
    <w:p w14:paraId="4066894E" w14:textId="4FABB2C9" w:rsidR="004E6C96" w:rsidRPr="00C378DB" w:rsidRDefault="004E6C96" w:rsidP="00B54114">
      <w:pPr>
        <w:pStyle w:val="Bullets1"/>
        <w:spacing w:after="0" w:line="240" w:lineRule="auto"/>
      </w:pPr>
      <w:r w:rsidRPr="00C378DB">
        <w:t xml:space="preserve">Regional </w:t>
      </w:r>
      <w:r w:rsidR="00220DAA">
        <w:t>A</w:t>
      </w:r>
      <w:r w:rsidRPr="00C378DB">
        <w:t xml:space="preserve">ggregators  </w:t>
      </w:r>
    </w:p>
    <w:p w14:paraId="38AE4D61" w14:textId="420246E7" w:rsidR="004E6C96" w:rsidRDefault="004E6C96" w:rsidP="00B54114">
      <w:pPr>
        <w:pStyle w:val="Bullets1"/>
        <w:spacing w:after="0" w:line="240" w:lineRule="auto"/>
      </w:pPr>
      <w:r w:rsidRPr="00C378DB">
        <w:t xml:space="preserve">RCx providers and </w:t>
      </w:r>
      <w:r w:rsidR="001A0F12">
        <w:t>Energy Service Companies (</w:t>
      </w:r>
      <w:r w:rsidRPr="00C378DB">
        <w:t>ESCO</w:t>
      </w:r>
      <w:r w:rsidR="001A0F12">
        <w:t>s)</w:t>
      </w:r>
      <w:r w:rsidRPr="00C378DB">
        <w:t xml:space="preserve"> </w:t>
      </w:r>
    </w:p>
    <w:p w14:paraId="11DB4620" w14:textId="5905A9F8" w:rsidR="004E6C96" w:rsidRPr="00C378DB" w:rsidRDefault="004E6C96" w:rsidP="00B54114">
      <w:pPr>
        <w:pStyle w:val="Bullets1"/>
        <w:spacing w:after="0" w:line="240" w:lineRule="auto"/>
      </w:pPr>
      <w:r w:rsidRPr="00C378DB">
        <w:t>Load Shift-enabling</w:t>
      </w:r>
      <w:r>
        <w:t xml:space="preserve"> measures</w:t>
      </w:r>
    </w:p>
    <w:p w14:paraId="241E02D5" w14:textId="25F50348" w:rsidR="004E6C96" w:rsidRPr="00C378DB" w:rsidRDefault="004E6C96" w:rsidP="00B54114">
      <w:pPr>
        <w:pStyle w:val="Bullets1"/>
        <w:spacing w:after="0" w:line="240" w:lineRule="auto"/>
      </w:pPr>
      <w:r w:rsidRPr="407ADB38">
        <w:t xml:space="preserve">Third-party program installers </w:t>
      </w:r>
    </w:p>
    <w:p w14:paraId="2E5F6A9D" w14:textId="764BD8AA" w:rsidR="004E6C96" w:rsidRDefault="004E6C96" w:rsidP="00B54114">
      <w:pPr>
        <w:pStyle w:val="Bullets1"/>
        <w:spacing w:after="0" w:line="240" w:lineRule="auto"/>
      </w:pPr>
      <w:r w:rsidRPr="00C378DB">
        <w:t>“Super-Aggregators”</w:t>
      </w:r>
      <w:r w:rsidR="001A0F12">
        <w:rPr>
          <w:rStyle w:val="FootnoteReference"/>
          <w:b/>
          <w:bCs/>
        </w:rPr>
        <w:footnoteReference w:id="8"/>
      </w:r>
    </w:p>
    <w:p w14:paraId="2D3254ED" w14:textId="77777777" w:rsidR="00B42F93" w:rsidRDefault="00B42F93" w:rsidP="00B54114">
      <w:pPr>
        <w:pStyle w:val="Bullets1"/>
        <w:numPr>
          <w:ilvl w:val="0"/>
          <w:numId w:val="0"/>
        </w:numPr>
        <w:spacing w:after="0" w:line="240" w:lineRule="auto"/>
        <w:ind w:left="1080" w:hanging="360"/>
      </w:pPr>
    </w:p>
    <w:p w14:paraId="733E5295" w14:textId="4E378E5E" w:rsidR="00686A37" w:rsidRDefault="006305D6" w:rsidP="00686A37">
      <w:pPr>
        <w:pStyle w:val="Bullets1"/>
        <w:numPr>
          <w:ilvl w:val="0"/>
          <w:numId w:val="0"/>
        </w:numPr>
        <w:spacing w:line="240" w:lineRule="auto"/>
      </w:pPr>
      <w:r>
        <w:rPr>
          <w:b/>
          <w:bCs/>
        </w:rPr>
        <w:t>Customer and</w:t>
      </w:r>
      <w:r w:rsidR="006C34CF">
        <w:rPr>
          <w:b/>
          <w:bCs/>
        </w:rPr>
        <w:t xml:space="preserve"> Measure</w:t>
      </w:r>
      <w:r w:rsidR="008412CD">
        <w:rPr>
          <w:b/>
          <w:bCs/>
        </w:rPr>
        <w:t xml:space="preserve"> Targeting</w:t>
      </w:r>
      <w:r w:rsidR="0012366D">
        <w:rPr>
          <w:b/>
          <w:bCs/>
        </w:rPr>
        <w:t xml:space="preserve"> </w:t>
      </w:r>
      <w:r w:rsidR="0012366D" w:rsidRPr="007B4626">
        <w:t xml:space="preserve">to raise visibility about the </w:t>
      </w:r>
      <w:r w:rsidR="0012366D">
        <w:t>P</w:t>
      </w:r>
      <w:r w:rsidR="0012366D" w:rsidRPr="007B4626">
        <w:t xml:space="preserve">rogram and prompt enrollment from customers and projects that may provide the most </w:t>
      </w:r>
      <w:r w:rsidR="00220DAA">
        <w:t>S</w:t>
      </w:r>
      <w:r w:rsidR="0012366D" w:rsidRPr="007B4626">
        <w:t xml:space="preserve">ummer </w:t>
      </w:r>
      <w:r w:rsidR="00220DAA">
        <w:t>P</w:t>
      </w:r>
      <w:r w:rsidR="0012366D" w:rsidRPr="007B4626">
        <w:t>eak</w:t>
      </w:r>
      <w:r w:rsidR="00220DAA">
        <w:t xml:space="preserve"> kW</w:t>
      </w:r>
      <w:r w:rsidR="0012366D" w:rsidRPr="007B4626">
        <w:t xml:space="preserve"> reduction and most valu</w:t>
      </w:r>
      <w:r w:rsidR="0012366D">
        <w:t>able</w:t>
      </w:r>
      <w:r w:rsidR="0012366D" w:rsidRPr="007B4626">
        <w:t xml:space="preserve"> </w:t>
      </w:r>
      <w:r w:rsidR="00852C08">
        <w:t>TSB</w:t>
      </w:r>
      <w:r w:rsidR="0012366D" w:rsidRPr="007B4626">
        <w:t xml:space="preserve">.  </w:t>
      </w:r>
    </w:p>
    <w:p w14:paraId="1B8EF493" w14:textId="5DB599C1" w:rsidR="00DC1107" w:rsidRPr="00C378DB" w:rsidRDefault="00DC1107" w:rsidP="00B54114">
      <w:pPr>
        <w:pStyle w:val="Bullets1"/>
      </w:pPr>
      <w:r w:rsidRPr="00C378DB">
        <w:rPr>
          <w:b/>
        </w:rPr>
        <w:t>Locational Targeting:</w:t>
      </w:r>
      <w:r w:rsidRPr="00C378DB">
        <w:t xml:space="preserve"> While the Program is available to qualified customers in all PG&amp;E territories, the Program will prioritize targeting </w:t>
      </w:r>
      <w:r w:rsidRPr="39D408A8">
        <w:t>Climate Zones (</w:t>
      </w:r>
      <w:r w:rsidRPr="00C378DB">
        <w:t>CZ</w:t>
      </w:r>
      <w:r w:rsidRPr="39D408A8">
        <w:t>)</w:t>
      </w:r>
      <w:r w:rsidRPr="00C378DB">
        <w:t xml:space="preserve"> 12, 13, 3 and 4 where summer peak is driven by addressable loads.  </w:t>
      </w:r>
    </w:p>
    <w:p w14:paraId="564965D8" w14:textId="117E9A92" w:rsidR="00DC1107" w:rsidRDefault="00DC1107" w:rsidP="00B54114">
      <w:pPr>
        <w:pStyle w:val="Bullets1"/>
        <w:spacing w:line="240" w:lineRule="auto"/>
      </w:pPr>
      <w:r w:rsidRPr="00C378DB">
        <w:rPr>
          <w:b/>
          <w:bCs/>
        </w:rPr>
        <w:t>Market Segment Targeting:</w:t>
      </w:r>
      <w:r w:rsidRPr="00C378DB">
        <w:t xml:space="preserve"> The Program will prioritize </w:t>
      </w:r>
      <w:r>
        <w:t xml:space="preserve">working with </w:t>
      </w:r>
      <w:r w:rsidR="003F58FC">
        <w:t>A</w:t>
      </w:r>
      <w:r>
        <w:t xml:space="preserve">ggregators to </w:t>
      </w:r>
      <w:r w:rsidRPr="00C378DB">
        <w:t xml:space="preserve">target market segments with high summer usage, such as retail, real estate, grocery, convenience, restaurant, lodging, medical, warehouses, and refrigerated warehouse and public sector facilities including police, fire, jails, libraries, recreation, and emergency operations. </w:t>
      </w:r>
      <w:r>
        <w:t>Among these general market segments, retail chains and portfolios of buildings will be prioritized for targeting.</w:t>
      </w:r>
    </w:p>
    <w:p w14:paraId="1F617847" w14:textId="58F3CA9B" w:rsidR="005B03C4" w:rsidRDefault="00B42F93" w:rsidP="005B03C4">
      <w:pPr>
        <w:pStyle w:val="Bullets1"/>
        <w:spacing w:after="120" w:line="240" w:lineRule="auto"/>
      </w:pPr>
      <w:r w:rsidRPr="007B4626">
        <w:rPr>
          <w:b/>
          <w:bCs/>
        </w:rPr>
        <w:t xml:space="preserve">Measures: </w:t>
      </w:r>
      <w:r w:rsidRPr="007B4626">
        <w:t xml:space="preserve">Recommended measure bundles for targeted segments will be incorporated into </w:t>
      </w:r>
      <w:r>
        <w:t>A</w:t>
      </w:r>
      <w:r w:rsidRPr="007B4626">
        <w:t>ggregator</w:t>
      </w:r>
      <w:r w:rsidRPr="007B4626" w:rsidDel="00C6080A">
        <w:t xml:space="preserve"> </w:t>
      </w:r>
      <w:r w:rsidRPr="007B4626">
        <w:t xml:space="preserve">training and resources. </w:t>
      </w:r>
    </w:p>
    <w:p w14:paraId="256C2CB3" w14:textId="621FF82D" w:rsidR="003F58FC" w:rsidRPr="007B4626" w:rsidRDefault="003F58FC" w:rsidP="00B54114">
      <w:pPr>
        <w:pStyle w:val="Bullets1"/>
        <w:numPr>
          <w:ilvl w:val="0"/>
          <w:numId w:val="0"/>
        </w:numPr>
      </w:pPr>
      <w:r w:rsidRPr="007B4626">
        <w:t xml:space="preserve">Outreach strategies will include direct marketing and emails to the </w:t>
      </w:r>
      <w:r>
        <w:t>MSSR</w:t>
      </w:r>
      <w:r w:rsidRPr="007B4626">
        <w:t xml:space="preserve">’s existing Aggregators and networks, webinars, newsletters, social media campaigns, contractor organization conference booths and presentations, and industry association marketing partnerships. Outreach activities, status, and notes will be </w:t>
      </w:r>
      <w:r>
        <w:t>regularly track</w:t>
      </w:r>
      <w:r w:rsidR="000114FD">
        <w:t>ed</w:t>
      </w:r>
      <w:r>
        <w:t xml:space="preserve"> and</w:t>
      </w:r>
      <w:r w:rsidRPr="007B4626">
        <w:t xml:space="preserve"> </w:t>
      </w:r>
      <w:r>
        <w:t>e</w:t>
      </w:r>
      <w:r w:rsidRPr="007B4626">
        <w:t xml:space="preserve">nrolled </w:t>
      </w:r>
      <w:r>
        <w:t>A</w:t>
      </w:r>
      <w:r w:rsidRPr="007B4626">
        <w:t xml:space="preserve">ggregators will be provided </w:t>
      </w:r>
      <w:r>
        <w:t>P</w:t>
      </w:r>
      <w:r w:rsidRPr="007B4626">
        <w:t xml:space="preserve">rogram-approved materials including logos and badges showing they are enrolled and will be added to the </w:t>
      </w:r>
      <w:r>
        <w:t>P</w:t>
      </w:r>
      <w:r w:rsidRPr="007B4626">
        <w:t xml:space="preserve">rogram’s public-facing </w:t>
      </w:r>
      <w:r>
        <w:t>A</w:t>
      </w:r>
      <w:r w:rsidRPr="007B4626">
        <w:t xml:space="preserve">ggregator page with links to their website.  </w:t>
      </w:r>
    </w:p>
    <w:p w14:paraId="0CC106E4" w14:textId="07E01DA8" w:rsidR="000E258F" w:rsidRPr="005F49A1" w:rsidRDefault="00F43801" w:rsidP="005F49A1">
      <w:pPr>
        <w:pStyle w:val="Heading3"/>
        <w:rPr>
          <w:rFonts w:eastAsiaTheme="majorEastAsia" w:cs="Arial"/>
          <w:lang w:val="en-US"/>
        </w:rPr>
      </w:pPr>
      <w:bookmarkStart w:id="33" w:name="_Toc174365030"/>
      <w:r w:rsidRPr="005F49A1">
        <w:rPr>
          <w:rFonts w:eastAsiaTheme="majorEastAsia" w:cs="Arial"/>
          <w:lang w:val="en-US"/>
        </w:rPr>
        <w:lastRenderedPageBreak/>
        <w:t>Best Practices</w:t>
      </w:r>
      <w:bookmarkEnd w:id="33"/>
    </w:p>
    <w:p w14:paraId="4664CDD3" w14:textId="26198AFF" w:rsidR="003E73D4" w:rsidRDefault="003E73D4" w:rsidP="00B54114">
      <w:pPr>
        <w:pStyle w:val="Body1"/>
        <w:spacing w:after="0"/>
      </w:pPr>
      <w:r w:rsidRPr="551B5F1B">
        <w:t xml:space="preserve">MSSR adopts several key best practices. Firstly, measuring, and paying upon, verified savings at the meter rather than engineering estimates. Secondly, providing ongoing access to site-level performance so </w:t>
      </w:r>
      <w:r w:rsidR="001E612E">
        <w:t>A</w:t>
      </w:r>
      <w:r w:rsidRPr="551B5F1B">
        <w:t xml:space="preserve">ggregators can address any performance issues outright to realize maximum savings and support continued customer engagement. Lastly, balancing cost effectiveness requirements and </w:t>
      </w:r>
      <w:r w:rsidR="009B1E14">
        <w:t>A</w:t>
      </w:r>
      <w:r w:rsidRPr="551B5F1B">
        <w:t>ggregator risk by considering</w:t>
      </w:r>
      <w:r w:rsidR="0092798A" w:rsidRPr="551B5F1B">
        <w:t xml:space="preserve"> cost-effectiveness</w:t>
      </w:r>
      <w:r w:rsidRPr="551B5F1B">
        <w:t xml:space="preserve"> </w:t>
      </w:r>
      <w:r w:rsidR="0092798A" w:rsidRPr="551B5F1B">
        <w:t xml:space="preserve">(e.g. </w:t>
      </w:r>
      <w:proofErr w:type="spellStart"/>
      <w:r w:rsidR="0092798A" w:rsidRPr="551B5F1B">
        <w:t>TRCNoAdmin</w:t>
      </w:r>
      <w:proofErr w:type="spellEnd"/>
      <w:r w:rsidR="0092798A" w:rsidRPr="551B5F1B">
        <w:t>)</w:t>
      </w:r>
      <w:r w:rsidRPr="551B5F1B">
        <w:t xml:space="preserve"> ratios when approving and enrolling projects. </w:t>
      </w:r>
    </w:p>
    <w:p w14:paraId="4ACA91B3" w14:textId="77777777" w:rsidR="009B1E14" w:rsidRDefault="009B1E14" w:rsidP="009B1E14">
      <w:pPr>
        <w:pStyle w:val="Body1"/>
        <w:spacing w:after="0"/>
      </w:pPr>
    </w:p>
    <w:p w14:paraId="2438EA73" w14:textId="3CF62A89" w:rsidR="003E73D4" w:rsidRPr="00EA1A1D" w:rsidRDefault="003E73D4" w:rsidP="00B54114">
      <w:pPr>
        <w:pStyle w:val="Body1"/>
        <w:spacing w:after="0"/>
      </w:pPr>
      <w:r w:rsidRPr="00EA1A1D">
        <w:t>The key program strategies and tactics to reduce barriers for program participation are:</w:t>
      </w:r>
    </w:p>
    <w:p w14:paraId="36870C9A" w14:textId="23CBC61D" w:rsidR="003E73D4" w:rsidRPr="00EA1A1D" w:rsidRDefault="003E73D4" w:rsidP="00B54114">
      <w:pPr>
        <w:pStyle w:val="Body1"/>
        <w:numPr>
          <w:ilvl w:val="0"/>
          <w:numId w:val="39"/>
        </w:numPr>
        <w:spacing w:after="0"/>
      </w:pPr>
      <w:r w:rsidRPr="00EA1A1D">
        <w:t>Reduce technical and administrative barriers associated with traditional deemed, custom, and site</w:t>
      </w:r>
      <w:r w:rsidR="009B2933">
        <w:t>-</w:t>
      </w:r>
      <w:r w:rsidRPr="00EA1A1D">
        <w:t xml:space="preserve">specific NMEC project development pathways. </w:t>
      </w:r>
    </w:p>
    <w:p w14:paraId="75FB4D14" w14:textId="433ADCD3" w:rsidR="003E73D4" w:rsidRPr="00EA1A1D" w:rsidRDefault="003E73D4" w:rsidP="00B54114">
      <w:pPr>
        <w:pStyle w:val="Body1"/>
        <w:numPr>
          <w:ilvl w:val="0"/>
          <w:numId w:val="39"/>
        </w:numPr>
        <w:spacing w:after="0"/>
      </w:pPr>
      <w:r w:rsidRPr="00EA1A1D">
        <w:t xml:space="preserve">Matching customers with </w:t>
      </w:r>
      <w:r w:rsidR="009B2933">
        <w:t>A</w:t>
      </w:r>
      <w:r w:rsidRPr="00EA1A1D">
        <w:t>ggregators who are best-equipped to meet their needs, and tying those needs to grid-optimized solutions (as valued in the avoided cost calculator (ACC) adopted by the Commission).</w:t>
      </w:r>
    </w:p>
    <w:p w14:paraId="44C8F000" w14:textId="77777777" w:rsidR="003E73D4" w:rsidRDefault="003E73D4" w:rsidP="00856DB7">
      <w:pPr>
        <w:pStyle w:val="Body1"/>
        <w:numPr>
          <w:ilvl w:val="0"/>
          <w:numId w:val="39"/>
        </w:numPr>
        <w:spacing w:after="0"/>
      </w:pPr>
      <w:r w:rsidRPr="00EA1A1D">
        <w:t xml:space="preserve">Leveraging a key benefit of population-level NMEC programs - the inclusion of to-code savings opportunities </w:t>
      </w:r>
      <w:r>
        <w:t>to</w:t>
      </w:r>
      <w:r w:rsidRPr="00EA1A1D">
        <w:t xml:space="preserve"> reduc</w:t>
      </w:r>
      <w:r>
        <w:t>e</w:t>
      </w:r>
      <w:r w:rsidRPr="00EA1A1D">
        <w:t xml:space="preserve"> “stranded” savings opportunities.</w:t>
      </w:r>
    </w:p>
    <w:p w14:paraId="31BE24C5" w14:textId="77777777" w:rsidR="00856DB7" w:rsidRDefault="00856DB7" w:rsidP="00B54114">
      <w:pPr>
        <w:pStyle w:val="Body1"/>
        <w:spacing w:after="0"/>
        <w:ind w:left="360"/>
      </w:pPr>
    </w:p>
    <w:p w14:paraId="59AE82D5" w14:textId="3574AB68" w:rsidR="00C5222B" w:rsidRPr="00A22340" w:rsidRDefault="001E1358" w:rsidP="00856DB7">
      <w:pPr>
        <w:pStyle w:val="Heading2"/>
        <w:numPr>
          <w:ilvl w:val="0"/>
          <w:numId w:val="20"/>
        </w:numPr>
      </w:pPr>
      <w:bookmarkStart w:id="34" w:name="_Toc174109494"/>
      <w:bookmarkStart w:id="35" w:name="_Toc174110668"/>
      <w:bookmarkStart w:id="36" w:name="_Toc174352807"/>
      <w:bookmarkStart w:id="37" w:name="_Toc174109495"/>
      <w:bookmarkStart w:id="38" w:name="_Toc174110669"/>
      <w:bookmarkStart w:id="39" w:name="_Toc174352808"/>
      <w:bookmarkStart w:id="40" w:name="_Toc174109496"/>
      <w:bookmarkStart w:id="41" w:name="_Toc174110670"/>
      <w:bookmarkStart w:id="42" w:name="_Toc174352809"/>
      <w:bookmarkStart w:id="43" w:name="_Toc174109497"/>
      <w:bookmarkStart w:id="44" w:name="_Toc174110671"/>
      <w:bookmarkStart w:id="45" w:name="_Toc174352810"/>
      <w:bookmarkStart w:id="46" w:name="_Toc174109498"/>
      <w:bookmarkStart w:id="47" w:name="_Toc174110672"/>
      <w:bookmarkStart w:id="48" w:name="_Toc174352811"/>
      <w:bookmarkStart w:id="49" w:name="_Toc174109499"/>
      <w:bookmarkStart w:id="50" w:name="_Toc174110673"/>
      <w:bookmarkStart w:id="51" w:name="_Toc174352812"/>
      <w:bookmarkStart w:id="52" w:name="_Toc174109500"/>
      <w:bookmarkStart w:id="53" w:name="_Toc174110674"/>
      <w:bookmarkStart w:id="54" w:name="_Toc174352813"/>
      <w:bookmarkStart w:id="55" w:name="_Toc174109501"/>
      <w:bookmarkStart w:id="56" w:name="_Toc174110675"/>
      <w:bookmarkStart w:id="57" w:name="_Toc174352814"/>
      <w:bookmarkStart w:id="58" w:name="_Toc174109502"/>
      <w:bookmarkStart w:id="59" w:name="_Toc174110676"/>
      <w:bookmarkStart w:id="60" w:name="_Toc174352815"/>
      <w:bookmarkStart w:id="61" w:name="_Toc174109503"/>
      <w:bookmarkStart w:id="62" w:name="_Toc174110677"/>
      <w:bookmarkStart w:id="63" w:name="_Toc174352816"/>
      <w:bookmarkStart w:id="64" w:name="_Toc174109504"/>
      <w:bookmarkStart w:id="65" w:name="_Toc174110678"/>
      <w:bookmarkStart w:id="66" w:name="_Toc174352817"/>
      <w:bookmarkStart w:id="67" w:name="_Toc174109505"/>
      <w:bookmarkStart w:id="68" w:name="_Toc174110679"/>
      <w:bookmarkStart w:id="69" w:name="_Toc174352818"/>
      <w:bookmarkStart w:id="70" w:name="_Toc174109506"/>
      <w:bookmarkStart w:id="71" w:name="_Toc174110680"/>
      <w:bookmarkStart w:id="72" w:name="_Toc174352819"/>
      <w:bookmarkStart w:id="73" w:name="_Toc174109507"/>
      <w:bookmarkStart w:id="74" w:name="_Toc174110681"/>
      <w:bookmarkStart w:id="75" w:name="_Toc174352820"/>
      <w:bookmarkStart w:id="76" w:name="_Toc174109508"/>
      <w:bookmarkStart w:id="77" w:name="_Toc174110682"/>
      <w:bookmarkStart w:id="78" w:name="_Toc174352821"/>
      <w:bookmarkStart w:id="79" w:name="_Toc17436503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A22340">
        <w:t>Innovation</w:t>
      </w:r>
      <w:bookmarkEnd w:id="79"/>
      <w:r w:rsidRPr="00A22340">
        <w:t xml:space="preserve"> </w:t>
      </w:r>
    </w:p>
    <w:p w14:paraId="1406D2FF" w14:textId="711370CD" w:rsidR="009D6AEC" w:rsidRPr="00EE67D0" w:rsidRDefault="00EE67D0" w:rsidP="00856DB7">
      <w:pPr>
        <w:widowControl w:val="0"/>
        <w:tabs>
          <w:tab w:val="left" w:pos="1041"/>
        </w:tabs>
        <w:spacing w:before="0" w:line="240" w:lineRule="auto"/>
        <w:rPr>
          <w:rFonts w:cs="Arial"/>
          <w:lang w:val="en-US"/>
        </w:rPr>
      </w:pPr>
      <w:r w:rsidRPr="00863C19">
        <w:rPr>
          <w:rFonts w:cs="Arial"/>
          <w:lang w:val="en-US"/>
        </w:rPr>
        <w:t>The</w:t>
      </w:r>
      <w:r w:rsidR="00566BF2" w:rsidRPr="00863C19">
        <w:rPr>
          <w:rFonts w:cs="Arial"/>
          <w:lang w:val="en-US"/>
        </w:rPr>
        <w:t xml:space="preserve"> following</w:t>
      </w:r>
      <w:r w:rsidRPr="00863C19">
        <w:rPr>
          <w:rFonts w:cs="Arial"/>
          <w:lang w:val="en-US"/>
        </w:rPr>
        <w:t xml:space="preserve"> innovations </w:t>
      </w:r>
      <w:r w:rsidR="00C3161A" w:rsidRPr="00863C19">
        <w:rPr>
          <w:rFonts w:cs="Arial"/>
          <w:lang w:val="en-US"/>
        </w:rPr>
        <w:t>w</w:t>
      </w:r>
      <w:r w:rsidRPr="00863C19">
        <w:rPr>
          <w:rFonts w:cs="Arial"/>
          <w:lang w:val="en-US"/>
        </w:rPr>
        <w:t xml:space="preserve">ill increase </w:t>
      </w:r>
      <w:r w:rsidR="00C3161A" w:rsidRPr="00863C19">
        <w:rPr>
          <w:rFonts w:cs="Arial"/>
          <w:lang w:val="en-US"/>
        </w:rPr>
        <w:t>MSSR</w:t>
      </w:r>
      <w:r w:rsidRPr="00863C19">
        <w:rPr>
          <w:rFonts w:cs="Arial"/>
          <w:lang w:val="en-US"/>
        </w:rPr>
        <w:t xml:space="preserve"> impacts through refined program targeting, enable broader Aggregator participation, and improve modeling automation, accuracy, and efficiency</w:t>
      </w:r>
      <w:r w:rsidR="006B6259" w:rsidRPr="00863C19">
        <w:rPr>
          <w:rFonts w:cs="Arial"/>
          <w:lang w:val="en-US"/>
        </w:rPr>
        <w:t>:</w:t>
      </w:r>
    </w:p>
    <w:p w14:paraId="6707D918" w14:textId="57B0F1E3" w:rsidR="009D6AEC" w:rsidRPr="008F7DC6" w:rsidRDefault="00262608" w:rsidP="00856DB7">
      <w:pPr>
        <w:pStyle w:val="Bullets1"/>
        <w:spacing w:after="0"/>
        <w:ind w:left="936"/>
      </w:pPr>
      <w:r>
        <w:t>A</w:t>
      </w:r>
      <w:r w:rsidR="00E330C3">
        <w:t xml:space="preserve">nalyze customer AMI data by </w:t>
      </w:r>
      <w:r w:rsidR="00CA4C3B" w:rsidRPr="00CA4C3B">
        <w:t>zip codes and NAICS code to identify specific cus</w:t>
      </w:r>
      <w:r w:rsidR="00CA4C3B">
        <w:t>to</w:t>
      </w:r>
      <w:r w:rsidR="00CA4C3B" w:rsidRPr="00CA4C3B">
        <w:t xml:space="preserve">mers with </w:t>
      </w:r>
      <w:r w:rsidR="00CA4C3B">
        <w:t>high summer peak</w:t>
      </w:r>
      <w:r w:rsidR="00CA4C3B" w:rsidRPr="00CA4C3B">
        <w:t xml:space="preserve"> </w:t>
      </w:r>
      <w:r w:rsidR="003D73DA">
        <w:t>load</w:t>
      </w:r>
      <w:r w:rsidR="00CA4C3B" w:rsidRPr="00CA4C3B">
        <w:t xml:space="preserve"> </w:t>
      </w:r>
      <w:r w:rsidR="00C748E9">
        <w:t>with high</w:t>
      </w:r>
      <w:r w:rsidR="00CA4C3B" w:rsidRPr="00CA4C3B">
        <w:t xml:space="preserve"> potential for reduction.</w:t>
      </w:r>
      <w:r w:rsidR="003D73DA">
        <w:t xml:space="preserve">  </w:t>
      </w:r>
      <w:r w:rsidR="004A478D">
        <w:t xml:space="preserve">Based on this analysis, </w:t>
      </w:r>
      <w:r w:rsidR="008C62E8">
        <w:t>promising</w:t>
      </w:r>
      <w:r w:rsidR="002C7D6F">
        <w:t xml:space="preserve"> customers </w:t>
      </w:r>
      <w:r w:rsidR="00ED0891">
        <w:t>will be screened for eligibility</w:t>
      </w:r>
      <w:r w:rsidR="00523C06">
        <w:t xml:space="preserve"> and the AESC Team will </w:t>
      </w:r>
      <w:r w:rsidR="00427D96">
        <w:t>target these pre-qualified customers</w:t>
      </w:r>
      <w:r>
        <w:t xml:space="preserve"> to raise program awareness and elicit interest.</w:t>
      </w:r>
      <w:r w:rsidR="00BA427A">
        <w:t xml:space="preserve">  </w:t>
      </w:r>
      <w:r w:rsidR="00BA427A" w:rsidDel="00F76CD6">
        <w:t xml:space="preserve"> </w:t>
      </w:r>
    </w:p>
    <w:p w14:paraId="0121C226" w14:textId="064AF263" w:rsidR="008B51E4" w:rsidRPr="008923F3" w:rsidRDefault="008923F3" w:rsidP="00856DB7">
      <w:pPr>
        <w:pStyle w:val="Bullets1"/>
        <w:spacing w:after="0"/>
        <w:ind w:left="936"/>
      </w:pPr>
      <w:r>
        <w:t>E</w:t>
      </w:r>
      <w:r w:rsidR="00EE67D0">
        <w:t>ngage</w:t>
      </w:r>
      <w:r w:rsidR="63D9D129">
        <w:t xml:space="preserve"> and educate </w:t>
      </w:r>
      <w:r w:rsidR="00EB2840">
        <w:t>Local Government Partnerships (</w:t>
      </w:r>
      <w:r w:rsidR="00EE67D0">
        <w:t>LGPs</w:t>
      </w:r>
      <w:r w:rsidR="00EB2840">
        <w:t>)</w:t>
      </w:r>
      <w:r w:rsidR="00EE67D0">
        <w:t xml:space="preserve"> on available Program incentives</w:t>
      </w:r>
      <w:r w:rsidR="2596E21D">
        <w:t>, best customer target profiles,</w:t>
      </w:r>
      <w:r w:rsidR="00436CD7">
        <w:t xml:space="preserve"> and coordinate best approaches to share leads</w:t>
      </w:r>
      <w:r w:rsidR="00EE67D0">
        <w:t xml:space="preserve">. </w:t>
      </w:r>
    </w:p>
    <w:p w14:paraId="3DCFED98" w14:textId="74CB503A" w:rsidR="00C63275" w:rsidRPr="009C276B" w:rsidRDefault="009C276B" w:rsidP="00856DB7">
      <w:pPr>
        <w:pStyle w:val="Bullets1"/>
        <w:spacing w:after="0"/>
        <w:ind w:left="936"/>
        <w:rPr>
          <w:bCs/>
        </w:rPr>
      </w:pPr>
      <w:r>
        <w:rPr>
          <w:rFonts w:eastAsiaTheme="majorEastAsia"/>
        </w:rPr>
        <w:t xml:space="preserve">Encourage emerging technologies, by </w:t>
      </w:r>
      <w:r>
        <w:rPr>
          <w:bCs/>
        </w:rPr>
        <w:t>l</w:t>
      </w:r>
      <w:r w:rsidR="00EE67D0" w:rsidRPr="00EE67D0">
        <w:rPr>
          <w:bCs/>
        </w:rPr>
        <w:t>everag</w:t>
      </w:r>
      <w:r>
        <w:rPr>
          <w:bCs/>
        </w:rPr>
        <w:t>ing</w:t>
      </w:r>
      <w:r w:rsidR="00EE67D0" w:rsidRPr="00EE67D0">
        <w:rPr>
          <w:bCs/>
        </w:rPr>
        <w:t xml:space="preserve"> the </w:t>
      </w:r>
      <w:proofErr w:type="spellStart"/>
      <w:r w:rsidR="00EE67D0" w:rsidRPr="00EE67D0">
        <w:rPr>
          <w:bCs/>
        </w:rPr>
        <w:t>CalNEXT</w:t>
      </w:r>
      <w:proofErr w:type="spellEnd"/>
      <w:r w:rsidR="00EE67D0" w:rsidRPr="00EE67D0">
        <w:rPr>
          <w:bCs/>
        </w:rPr>
        <w:t xml:space="preserve"> program</w:t>
      </w:r>
      <w:r>
        <w:rPr>
          <w:bCs/>
        </w:rPr>
        <w:t>.</w:t>
      </w:r>
      <w:r w:rsidR="00EE67D0" w:rsidRPr="00EE67D0">
        <w:rPr>
          <w:bCs/>
        </w:rPr>
        <w:t xml:space="preserve"> </w:t>
      </w:r>
    </w:p>
    <w:p w14:paraId="0994F761" w14:textId="56146704" w:rsidR="00EE67D0" w:rsidRDefault="003618B9" w:rsidP="00856DB7">
      <w:pPr>
        <w:pStyle w:val="Bullets1"/>
        <w:spacing w:after="0"/>
        <w:ind w:left="936"/>
      </w:pPr>
      <w:r>
        <w:rPr>
          <w:rFonts w:eastAsiaTheme="majorEastAsia"/>
        </w:rPr>
        <w:t>Expand customer eligibility</w:t>
      </w:r>
      <w:r w:rsidR="00352BF6">
        <w:rPr>
          <w:rFonts w:eastAsiaTheme="majorEastAsia"/>
        </w:rPr>
        <w:t xml:space="preserve"> and improve M&amp;V </w:t>
      </w:r>
      <w:r w:rsidR="003300AB">
        <w:rPr>
          <w:rFonts w:eastAsiaTheme="majorEastAsia"/>
        </w:rPr>
        <w:t>anal</w:t>
      </w:r>
      <w:r w:rsidR="00785950">
        <w:rPr>
          <w:rFonts w:eastAsiaTheme="majorEastAsia"/>
        </w:rPr>
        <w:t>ysis</w:t>
      </w:r>
      <w:r>
        <w:rPr>
          <w:rFonts w:eastAsiaTheme="majorEastAsia"/>
        </w:rPr>
        <w:t xml:space="preserve"> through</w:t>
      </w:r>
      <w:r w:rsidR="00EA32C9">
        <w:rPr>
          <w:rFonts w:eastAsiaTheme="majorEastAsia"/>
        </w:rPr>
        <w:t xml:space="preserve"> </w:t>
      </w:r>
      <w:r w:rsidR="00C748E9">
        <w:t>Site-</w:t>
      </w:r>
      <w:r w:rsidR="00EA32C9">
        <w:t>NMEC</w:t>
      </w:r>
      <w:r>
        <w:t>,</w:t>
      </w:r>
      <w:r w:rsidR="00EA32C9">
        <w:t xml:space="preserve"> </w:t>
      </w:r>
      <w:r w:rsidR="003E7947">
        <w:t>modeling solar</w:t>
      </w:r>
      <w:r w:rsidR="009B63AD">
        <w:t xml:space="preserve"> data, </w:t>
      </w:r>
      <w:r w:rsidR="00CB59F6">
        <w:t xml:space="preserve">supporting </w:t>
      </w:r>
      <w:r w:rsidR="00F23F58">
        <w:t>multiple</w:t>
      </w:r>
      <w:r w:rsidR="00CB59F6">
        <w:t xml:space="preserve"> regression models,</w:t>
      </w:r>
      <w:r w:rsidR="005836C5">
        <w:t xml:space="preserve"> and</w:t>
      </w:r>
      <w:r w:rsidR="00CB59F6">
        <w:t xml:space="preserve"> </w:t>
      </w:r>
      <w:r w:rsidR="004A7C2B">
        <w:t xml:space="preserve">modeling </w:t>
      </w:r>
      <w:r w:rsidR="00964B2A">
        <w:t xml:space="preserve">electrification </w:t>
      </w:r>
      <w:r w:rsidR="004A7C2B">
        <w:t>paired</w:t>
      </w:r>
      <w:r w:rsidR="00964B2A">
        <w:t xml:space="preserve"> </w:t>
      </w:r>
      <w:r w:rsidR="00B74FEE">
        <w:t>with energy efficiency</w:t>
      </w:r>
      <w:r w:rsidR="00964B2A">
        <w:t>.</w:t>
      </w:r>
      <w:r w:rsidR="00EE67D0" w:rsidRPr="00EE67D0">
        <w:t xml:space="preserve"> </w:t>
      </w:r>
    </w:p>
    <w:p w14:paraId="141F1494" w14:textId="2213EB75" w:rsidR="00F360EA" w:rsidRDefault="00F360EA" w:rsidP="00856DB7">
      <w:pPr>
        <w:pStyle w:val="Bullets1"/>
        <w:spacing w:after="0"/>
        <w:ind w:left="936"/>
      </w:pPr>
      <w:r>
        <w:rPr>
          <w:rFonts w:eastAsiaTheme="majorEastAsia"/>
        </w:rPr>
        <w:t xml:space="preserve">Provide Enrolled Aggregators optional no-cost access to </w:t>
      </w:r>
      <w:r w:rsidR="00C748E9">
        <w:rPr>
          <w:rFonts w:eastAsiaTheme="majorEastAsia"/>
        </w:rPr>
        <w:t>m</w:t>
      </w:r>
      <w:r w:rsidRPr="005F49A1">
        <w:rPr>
          <w:rFonts w:eastAsiaTheme="majorEastAsia"/>
        </w:rPr>
        <w:t xml:space="preserve">easure </w:t>
      </w:r>
      <w:r w:rsidR="00C748E9">
        <w:rPr>
          <w:rFonts w:eastAsiaTheme="majorEastAsia"/>
        </w:rPr>
        <w:t>c</w:t>
      </w:r>
      <w:r w:rsidRPr="005F49A1">
        <w:rPr>
          <w:rFonts w:eastAsiaTheme="majorEastAsia"/>
        </w:rPr>
        <w:t xml:space="preserve">alculators </w:t>
      </w:r>
      <w:r>
        <w:rPr>
          <w:rFonts w:eastAsiaTheme="majorEastAsia"/>
        </w:rPr>
        <w:t xml:space="preserve">to generate </w:t>
      </w:r>
      <w:r w:rsidRPr="00EE67D0">
        <w:rPr>
          <w:bCs/>
        </w:rPr>
        <w:t xml:space="preserve">accurate savings estimates </w:t>
      </w:r>
      <w:r>
        <w:rPr>
          <w:bCs/>
        </w:rPr>
        <w:t xml:space="preserve">and </w:t>
      </w:r>
      <w:r w:rsidRPr="00EE67D0">
        <w:rPr>
          <w:bCs/>
        </w:rPr>
        <w:t xml:space="preserve">streamline </w:t>
      </w:r>
      <w:r>
        <w:rPr>
          <w:bCs/>
        </w:rPr>
        <w:t>processes</w:t>
      </w:r>
      <w:r w:rsidR="00E51BF9">
        <w:rPr>
          <w:bCs/>
        </w:rPr>
        <w:t>.</w:t>
      </w:r>
      <w:r w:rsidRPr="00EE67D0">
        <w:rPr>
          <w:bCs/>
        </w:rPr>
        <w:t xml:space="preserve">  </w:t>
      </w:r>
    </w:p>
    <w:p w14:paraId="04FE76CB" w14:textId="5D176989" w:rsidR="00763390" w:rsidRDefault="006932D7" w:rsidP="00856DB7">
      <w:pPr>
        <w:pStyle w:val="Bullets1"/>
        <w:numPr>
          <w:ilvl w:val="0"/>
          <w:numId w:val="0"/>
        </w:numPr>
        <w:spacing w:after="0"/>
      </w:pPr>
      <w:r>
        <w:t xml:space="preserve">To </w:t>
      </w:r>
      <w:r w:rsidR="00763390">
        <w:t>measure the performance</w:t>
      </w:r>
      <w:r w:rsidR="00767B62">
        <w:t xml:space="preserve"> and effectiveness</w:t>
      </w:r>
      <w:r w:rsidR="00763390">
        <w:t xml:space="preserve"> of these innovative program elements, t</w:t>
      </w:r>
      <w:r w:rsidR="008E54C3">
        <w:t>he</w:t>
      </w:r>
      <w:r w:rsidR="0091173A">
        <w:t xml:space="preserve"> AESC</w:t>
      </w:r>
      <w:r w:rsidR="008E54C3">
        <w:t xml:space="preserve"> Team will</w:t>
      </w:r>
      <w:r w:rsidR="00763390">
        <w:t>:</w:t>
      </w:r>
    </w:p>
    <w:p w14:paraId="456727D9" w14:textId="4C28DC53" w:rsidR="00DE753A" w:rsidRDefault="003E626C" w:rsidP="00B54114">
      <w:pPr>
        <w:pStyle w:val="Bullets1"/>
        <w:spacing w:after="0" w:line="240" w:lineRule="auto"/>
      </w:pPr>
      <w:r>
        <w:t xml:space="preserve">Track the </w:t>
      </w:r>
      <w:r w:rsidR="00B47AC8">
        <w:t>percentage</w:t>
      </w:r>
      <w:r>
        <w:t xml:space="preserve"> of</w:t>
      </w:r>
      <w:r w:rsidR="00FC6202">
        <w:t xml:space="preserve"> targeted customers that resulted in post-installation approved</w:t>
      </w:r>
      <w:r w:rsidR="00EA362F">
        <w:t xml:space="preserve"> projects</w:t>
      </w:r>
      <w:r w:rsidR="00A912AC">
        <w:t>.</w:t>
      </w:r>
    </w:p>
    <w:p w14:paraId="0A22469C" w14:textId="34F4E948" w:rsidR="00C0260E" w:rsidRDefault="00C0260E">
      <w:pPr>
        <w:pStyle w:val="Bullets1"/>
        <w:spacing w:after="0" w:line="240" w:lineRule="auto"/>
      </w:pPr>
      <w:r>
        <w:t xml:space="preserve">Track the </w:t>
      </w:r>
      <w:r w:rsidR="00B47AC8">
        <w:t>percentage</w:t>
      </w:r>
      <w:r>
        <w:t xml:space="preserve"> of LGP customers that resulted in post-installation approved projects.</w:t>
      </w:r>
    </w:p>
    <w:p w14:paraId="702B2121" w14:textId="713CA850" w:rsidR="00C0260E" w:rsidRDefault="00C0260E" w:rsidP="00B54114">
      <w:pPr>
        <w:pStyle w:val="Bullets1"/>
        <w:spacing w:after="0" w:line="240" w:lineRule="auto"/>
      </w:pPr>
      <w:r>
        <w:t xml:space="preserve">Track the number of </w:t>
      </w:r>
      <w:proofErr w:type="spellStart"/>
      <w:r>
        <w:t>CalN</w:t>
      </w:r>
      <w:r w:rsidR="00C748E9">
        <w:t>EXT</w:t>
      </w:r>
      <w:proofErr w:type="spellEnd"/>
      <w:r>
        <w:t xml:space="preserve"> technologies that result in at least one post-installation approved project.</w:t>
      </w:r>
    </w:p>
    <w:p w14:paraId="79C3DF94" w14:textId="0C8FACE4" w:rsidR="002B5AB5" w:rsidRDefault="000B0A74" w:rsidP="00856DB7">
      <w:pPr>
        <w:pStyle w:val="Bullets1"/>
        <w:spacing w:after="0" w:line="240" w:lineRule="auto"/>
      </w:pPr>
      <w:r>
        <w:t>Track</w:t>
      </w:r>
      <w:r w:rsidR="00F3671B">
        <w:t xml:space="preserve"> the percent</w:t>
      </w:r>
      <w:r w:rsidR="00B47AC8">
        <w:t>age</w:t>
      </w:r>
      <w:r w:rsidR="00F3671B">
        <w:t xml:space="preserve"> of TSB</w:t>
      </w:r>
      <w:r w:rsidR="00422B85">
        <w:t xml:space="preserve"> measured</w:t>
      </w:r>
      <w:r w:rsidR="002522FE">
        <w:t xml:space="preserve"> through the </w:t>
      </w:r>
      <w:r w:rsidR="00C748E9">
        <w:t>Site-</w:t>
      </w:r>
      <w:r w:rsidR="005C3911">
        <w:t>NMEC pathway</w:t>
      </w:r>
      <w:r w:rsidR="00AB27EA">
        <w:t>.</w:t>
      </w:r>
    </w:p>
    <w:p w14:paraId="45BD5CD5" w14:textId="5C2BE0E8" w:rsidR="00043613" w:rsidRDefault="00043613" w:rsidP="00B54114">
      <w:pPr>
        <w:pStyle w:val="Bullets1"/>
        <w:numPr>
          <w:ilvl w:val="0"/>
          <w:numId w:val="0"/>
        </w:numPr>
        <w:spacing w:after="0" w:line="240" w:lineRule="auto"/>
        <w:ind w:left="1080"/>
      </w:pPr>
    </w:p>
    <w:p w14:paraId="0C2F8B35" w14:textId="2B9835DC" w:rsidR="00E3292C" w:rsidRDefault="00F52CB7" w:rsidP="00B54114">
      <w:pPr>
        <w:pStyle w:val="Bullets1"/>
        <w:spacing w:after="0" w:line="240" w:lineRule="auto"/>
      </w:pPr>
      <w:r>
        <w:t xml:space="preserve">Track </w:t>
      </w:r>
      <w:r w:rsidR="00106A76">
        <w:t>Aggregators</w:t>
      </w:r>
      <w:r w:rsidR="00586D6E">
        <w:t>’</w:t>
      </w:r>
      <w:r>
        <w:t xml:space="preserve"> satisfaction with </w:t>
      </w:r>
      <w:r w:rsidR="006E21C6">
        <w:t>the provided</w:t>
      </w:r>
      <w:r w:rsidR="008A5618">
        <w:t xml:space="preserve"> </w:t>
      </w:r>
      <w:r w:rsidR="00C748E9">
        <w:t>m</w:t>
      </w:r>
      <w:r w:rsidR="0084302C">
        <w:t xml:space="preserve">easure </w:t>
      </w:r>
      <w:r w:rsidR="00C748E9">
        <w:t>c</w:t>
      </w:r>
      <w:r w:rsidR="0084302C">
        <w:t xml:space="preserve">alculators and </w:t>
      </w:r>
      <w:r w:rsidR="006E21C6">
        <w:t>tools.</w:t>
      </w:r>
    </w:p>
    <w:p w14:paraId="6275804B" w14:textId="77777777" w:rsidR="00A7120E" w:rsidRPr="00EE67D0" w:rsidRDefault="00A7120E" w:rsidP="00D44C65">
      <w:pPr>
        <w:pStyle w:val="Bullets1"/>
        <w:numPr>
          <w:ilvl w:val="0"/>
          <w:numId w:val="0"/>
        </w:numPr>
        <w:spacing w:after="0"/>
      </w:pPr>
    </w:p>
    <w:p w14:paraId="52AB5B5C" w14:textId="77777777" w:rsidR="00C5222B" w:rsidRPr="00A22340" w:rsidRDefault="001E1358" w:rsidP="003C394D">
      <w:pPr>
        <w:pStyle w:val="Heading2"/>
        <w:numPr>
          <w:ilvl w:val="0"/>
          <w:numId w:val="20"/>
        </w:numPr>
      </w:pPr>
      <w:bookmarkStart w:id="80" w:name="_Toc172271246"/>
      <w:bookmarkStart w:id="81" w:name="_Toc172271247"/>
      <w:bookmarkStart w:id="82" w:name="_Toc172271248"/>
      <w:bookmarkStart w:id="83" w:name="_Toc172271249"/>
      <w:bookmarkStart w:id="84" w:name="_Toc172271250"/>
      <w:bookmarkStart w:id="85" w:name="_Toc172271251"/>
      <w:bookmarkStart w:id="86" w:name="_Toc174365032"/>
      <w:bookmarkEnd w:id="80"/>
      <w:bookmarkEnd w:id="81"/>
      <w:bookmarkEnd w:id="82"/>
      <w:bookmarkEnd w:id="83"/>
      <w:bookmarkEnd w:id="84"/>
      <w:bookmarkEnd w:id="85"/>
      <w:r w:rsidRPr="00A22340">
        <w:t>Metrics</w:t>
      </w:r>
      <w:bookmarkEnd w:id="86"/>
    </w:p>
    <w:p w14:paraId="12DCB7F5" w14:textId="57E591AD" w:rsidR="00C5222B" w:rsidRDefault="001E1358" w:rsidP="7B0EED14">
      <w:pPr>
        <w:widowControl w:val="0"/>
        <w:tabs>
          <w:tab w:val="left" w:pos="1041"/>
        </w:tabs>
        <w:spacing w:before="0" w:line="240" w:lineRule="auto"/>
        <w:rPr>
          <w:rFonts w:cs="Arial"/>
          <w:lang w:val="en-US"/>
        </w:rPr>
      </w:pPr>
      <w:r w:rsidRPr="7B0EED14">
        <w:rPr>
          <w:rFonts w:cs="Arial"/>
          <w:lang w:val="en-US"/>
        </w:rPr>
        <w:t>The primary metrics for tracking program progress will be the</w:t>
      </w:r>
      <w:r w:rsidR="008550FD">
        <w:rPr>
          <w:rFonts w:cs="Arial"/>
          <w:lang w:val="en-US"/>
        </w:rPr>
        <w:t xml:space="preserve"> TSB,</w:t>
      </w:r>
      <w:r w:rsidR="00B5426B">
        <w:rPr>
          <w:rFonts w:cs="Arial"/>
          <w:lang w:val="en-US"/>
        </w:rPr>
        <w:t xml:space="preserve"> Lifecycle Summer Peak kW,</w:t>
      </w:r>
      <w:r w:rsidRPr="7B0EED14">
        <w:rPr>
          <w:rFonts w:cs="Arial"/>
          <w:lang w:val="en-US"/>
        </w:rPr>
        <w:t xml:space="preserve"> </w:t>
      </w:r>
      <w:r w:rsidR="00FA3439">
        <w:rPr>
          <w:rFonts w:cs="Arial"/>
          <w:lang w:val="en-US"/>
        </w:rPr>
        <w:t xml:space="preserve">and </w:t>
      </w:r>
      <w:r w:rsidRPr="7B0EED14">
        <w:rPr>
          <w:rFonts w:cs="Arial"/>
          <w:lang w:val="en-US"/>
        </w:rPr>
        <w:t>energy savings (kWh</w:t>
      </w:r>
      <w:r w:rsidR="005C3119">
        <w:rPr>
          <w:rFonts w:cs="Arial"/>
          <w:lang w:val="en-US"/>
        </w:rPr>
        <w:t xml:space="preserve">, </w:t>
      </w:r>
      <w:proofErr w:type="spellStart"/>
      <w:r w:rsidR="005C3119">
        <w:rPr>
          <w:rFonts w:cs="Arial"/>
          <w:lang w:val="en-US"/>
        </w:rPr>
        <w:t>therm</w:t>
      </w:r>
      <w:proofErr w:type="spellEnd"/>
      <w:r w:rsidRPr="7B0EED14">
        <w:rPr>
          <w:rFonts w:cs="Arial"/>
          <w:lang w:val="en-US"/>
        </w:rPr>
        <w:t xml:space="preserve">), all of which are included in the reporting requirements. </w:t>
      </w:r>
    </w:p>
    <w:p w14:paraId="794BEEE5" w14:textId="77777777" w:rsidR="00A22340" w:rsidRPr="00A22340" w:rsidRDefault="00A22340" w:rsidP="00A22340">
      <w:pPr>
        <w:widowControl w:val="0"/>
        <w:tabs>
          <w:tab w:val="left" w:pos="1041"/>
        </w:tabs>
        <w:spacing w:before="0" w:line="240" w:lineRule="auto"/>
        <w:rPr>
          <w:rFonts w:cs="Arial"/>
        </w:rPr>
      </w:pPr>
    </w:p>
    <w:p w14:paraId="3889FC2F" w14:textId="041BD6E1" w:rsidR="00C5222B" w:rsidRPr="00A22340" w:rsidRDefault="00A531F9" w:rsidP="00A22340">
      <w:pPr>
        <w:widowControl w:val="0"/>
        <w:tabs>
          <w:tab w:val="left" w:pos="1041"/>
        </w:tabs>
        <w:spacing w:before="0" w:line="240" w:lineRule="auto"/>
        <w:rPr>
          <w:rFonts w:cs="Arial"/>
        </w:rPr>
      </w:pPr>
      <w:r>
        <w:rPr>
          <w:rFonts w:cs="Arial"/>
        </w:rPr>
        <w:t>AESC</w:t>
      </w:r>
      <w:r w:rsidR="001E1358" w:rsidRPr="00A22340">
        <w:rPr>
          <w:rFonts w:cs="Arial"/>
        </w:rPr>
        <w:t xml:space="preserve"> </w:t>
      </w:r>
      <w:r w:rsidR="007233AC">
        <w:rPr>
          <w:rFonts w:cs="Arial"/>
        </w:rPr>
        <w:t>will</w:t>
      </w:r>
      <w:r w:rsidR="001E1358" w:rsidRPr="00A22340">
        <w:rPr>
          <w:rFonts w:cs="Arial"/>
        </w:rPr>
        <w:t xml:space="preserve"> track the following program metrics in the monthly</w:t>
      </w:r>
      <w:r w:rsidR="00ED72E7">
        <w:rPr>
          <w:rFonts w:cs="Arial"/>
        </w:rPr>
        <w:t xml:space="preserve">, </w:t>
      </w:r>
      <w:r w:rsidR="00C61F0A">
        <w:rPr>
          <w:rFonts w:cs="Arial"/>
        </w:rPr>
        <w:t>quarterly</w:t>
      </w:r>
      <w:r w:rsidR="00ED72E7">
        <w:rPr>
          <w:rFonts w:cs="Arial"/>
        </w:rPr>
        <w:t>, and annual</w:t>
      </w:r>
      <w:r w:rsidR="00C61F0A">
        <w:rPr>
          <w:rFonts w:cs="Arial"/>
        </w:rPr>
        <w:t xml:space="preserve"> report</w:t>
      </w:r>
      <w:r w:rsidR="00ED72E7">
        <w:rPr>
          <w:rFonts w:cs="Arial"/>
        </w:rPr>
        <w:t>ing</w:t>
      </w:r>
      <w:r w:rsidR="001E1358" w:rsidRPr="00A22340">
        <w:rPr>
          <w:rFonts w:cs="Arial"/>
        </w:rPr>
        <w:t xml:space="preserve"> for </w:t>
      </w:r>
      <w:r w:rsidR="004B3BF3">
        <w:rPr>
          <w:rFonts w:cs="Arial"/>
        </w:rPr>
        <w:t>e</w:t>
      </w:r>
      <w:r w:rsidR="001E1358" w:rsidRPr="00A22340">
        <w:rPr>
          <w:rFonts w:cs="Arial"/>
        </w:rPr>
        <w:t>nrolled and completed projects:</w:t>
      </w:r>
    </w:p>
    <w:p w14:paraId="1522DC8E" w14:textId="415D48CE" w:rsidR="00C02496" w:rsidRDefault="001E1358" w:rsidP="00C02496">
      <w:pPr>
        <w:widowControl w:val="0"/>
        <w:numPr>
          <w:ilvl w:val="0"/>
          <w:numId w:val="7"/>
        </w:numPr>
        <w:tabs>
          <w:tab w:val="left" w:pos="1041"/>
        </w:tabs>
        <w:spacing w:before="0" w:line="240" w:lineRule="auto"/>
        <w:rPr>
          <w:rFonts w:cs="Arial"/>
          <w:lang w:val="en-US"/>
        </w:rPr>
      </w:pPr>
      <w:r w:rsidRPr="00863C19">
        <w:rPr>
          <w:rFonts w:cs="Arial"/>
          <w:lang w:val="en-US"/>
        </w:rPr>
        <w:t>Total program savings (kWh</w:t>
      </w:r>
      <w:r w:rsidR="00C02496" w:rsidRPr="00863C19">
        <w:rPr>
          <w:rFonts w:cs="Arial"/>
          <w:lang w:val="en-US"/>
        </w:rPr>
        <w:t xml:space="preserve">, </w:t>
      </w:r>
      <w:proofErr w:type="spellStart"/>
      <w:r w:rsidR="00C02496" w:rsidRPr="00863C19">
        <w:rPr>
          <w:rFonts w:cs="Arial"/>
          <w:lang w:val="en-US"/>
        </w:rPr>
        <w:t>therm</w:t>
      </w:r>
      <w:proofErr w:type="spellEnd"/>
      <w:r w:rsidRPr="00863C19">
        <w:rPr>
          <w:rFonts w:cs="Arial"/>
          <w:lang w:val="en-US"/>
        </w:rPr>
        <w:t>)</w:t>
      </w:r>
    </w:p>
    <w:p w14:paraId="72991246" w14:textId="0E22C3C5" w:rsidR="00A5599B" w:rsidRPr="00C02496" w:rsidRDefault="00A5599B" w:rsidP="00C02496">
      <w:pPr>
        <w:widowControl w:val="0"/>
        <w:numPr>
          <w:ilvl w:val="0"/>
          <w:numId w:val="7"/>
        </w:numPr>
        <w:tabs>
          <w:tab w:val="left" w:pos="1041"/>
        </w:tabs>
        <w:spacing w:before="0" w:line="240" w:lineRule="auto"/>
        <w:rPr>
          <w:rFonts w:cs="Arial"/>
        </w:rPr>
      </w:pPr>
      <w:r>
        <w:rPr>
          <w:rFonts w:cs="Arial"/>
        </w:rPr>
        <w:t>Summer Peak kW</w:t>
      </w:r>
      <w:r w:rsidR="00EE2F29">
        <w:rPr>
          <w:rFonts w:cs="Arial"/>
        </w:rPr>
        <w:t xml:space="preserve"> savings</w:t>
      </w:r>
    </w:p>
    <w:p w14:paraId="6BBE6985" w14:textId="28A4954B" w:rsidR="00EA0ABC" w:rsidRPr="00457BDD" w:rsidRDefault="006F19BE" w:rsidP="00457BDD">
      <w:pPr>
        <w:widowControl w:val="0"/>
        <w:numPr>
          <w:ilvl w:val="0"/>
          <w:numId w:val="7"/>
        </w:numPr>
        <w:tabs>
          <w:tab w:val="left" w:pos="1041"/>
        </w:tabs>
        <w:spacing w:before="0" w:line="240" w:lineRule="auto"/>
        <w:rPr>
          <w:rFonts w:cs="Arial"/>
        </w:rPr>
      </w:pPr>
      <w:r>
        <w:rPr>
          <w:rFonts w:cs="Arial"/>
        </w:rPr>
        <w:t>Forecasted</w:t>
      </w:r>
      <w:r w:rsidR="00AD13C4">
        <w:rPr>
          <w:rFonts w:cs="Arial"/>
        </w:rPr>
        <w:t xml:space="preserve"> and Measured</w:t>
      </w:r>
      <w:r>
        <w:rPr>
          <w:rFonts w:cs="Arial"/>
        </w:rPr>
        <w:t xml:space="preserve"> </w:t>
      </w:r>
      <w:r w:rsidR="009E7C32">
        <w:rPr>
          <w:rFonts w:cs="Arial"/>
        </w:rPr>
        <w:t>Lifecyc</w:t>
      </w:r>
      <w:r w:rsidR="00A3342F">
        <w:rPr>
          <w:rFonts w:cs="Arial"/>
        </w:rPr>
        <w:t>le Summer Peak kW</w:t>
      </w:r>
      <w:r w:rsidR="009D0DF9">
        <w:rPr>
          <w:rStyle w:val="FootnoteReference"/>
          <w:rFonts w:cs="Arial"/>
        </w:rPr>
        <w:footnoteReference w:id="9"/>
      </w:r>
    </w:p>
    <w:p w14:paraId="5F2EECAD" w14:textId="4D001DB6" w:rsidR="00C5222B" w:rsidRPr="00457BDD" w:rsidRDefault="00CB7363" w:rsidP="00EA0ABC">
      <w:pPr>
        <w:widowControl w:val="0"/>
        <w:numPr>
          <w:ilvl w:val="0"/>
          <w:numId w:val="7"/>
        </w:numPr>
        <w:tabs>
          <w:tab w:val="left" w:pos="1041"/>
        </w:tabs>
        <w:spacing w:before="0" w:line="240" w:lineRule="auto"/>
        <w:rPr>
          <w:rFonts w:cs="Arial"/>
        </w:rPr>
      </w:pPr>
      <w:r w:rsidRPr="00EA0ABC">
        <w:rPr>
          <w:rFonts w:cs="Arial"/>
        </w:rPr>
        <w:t>Forecasted</w:t>
      </w:r>
      <w:r w:rsidR="00AD13C4">
        <w:rPr>
          <w:rFonts w:cs="Arial"/>
        </w:rPr>
        <w:t xml:space="preserve"> and Measured</w:t>
      </w:r>
      <w:r w:rsidRPr="00EA0ABC">
        <w:rPr>
          <w:rFonts w:cs="Arial"/>
        </w:rPr>
        <w:t xml:space="preserve"> </w:t>
      </w:r>
      <w:r w:rsidR="001E1358" w:rsidRPr="00EA0ABC">
        <w:rPr>
          <w:rFonts w:cs="Arial"/>
        </w:rPr>
        <w:t>Total Program TSB ($)</w:t>
      </w:r>
    </w:p>
    <w:p w14:paraId="5FB37BED" w14:textId="1880A331" w:rsidR="00C5222B" w:rsidRDefault="001E1358" w:rsidP="00457BDD">
      <w:pPr>
        <w:widowControl w:val="0"/>
        <w:numPr>
          <w:ilvl w:val="0"/>
          <w:numId w:val="7"/>
        </w:numPr>
        <w:tabs>
          <w:tab w:val="left" w:pos="1041"/>
        </w:tabs>
        <w:spacing w:before="0" w:line="240" w:lineRule="auto"/>
        <w:rPr>
          <w:rFonts w:cs="Arial"/>
        </w:rPr>
      </w:pPr>
      <w:r w:rsidRPr="00457BDD">
        <w:rPr>
          <w:rFonts w:cs="Arial"/>
        </w:rPr>
        <w:t>Total Budget Reserved</w:t>
      </w:r>
      <w:r w:rsidR="00AD13C4">
        <w:rPr>
          <w:rFonts w:cs="Arial"/>
        </w:rPr>
        <w:t xml:space="preserve"> and Spend</w:t>
      </w:r>
    </w:p>
    <w:p w14:paraId="67962BB7" w14:textId="3C333CA8" w:rsidR="00A23463" w:rsidRPr="00457BDD" w:rsidRDefault="00A23463" w:rsidP="00457BDD">
      <w:pPr>
        <w:widowControl w:val="0"/>
        <w:numPr>
          <w:ilvl w:val="0"/>
          <w:numId w:val="7"/>
        </w:numPr>
        <w:tabs>
          <w:tab w:val="left" w:pos="1041"/>
        </w:tabs>
        <w:spacing w:before="0" w:line="240" w:lineRule="auto"/>
        <w:rPr>
          <w:rFonts w:cs="Arial"/>
        </w:rPr>
      </w:pPr>
      <w:r>
        <w:rPr>
          <w:rFonts w:cs="Arial"/>
        </w:rPr>
        <w:t>Nu</w:t>
      </w:r>
      <w:r w:rsidR="00F37F2F">
        <w:rPr>
          <w:rFonts w:cs="Arial"/>
        </w:rPr>
        <w:t>mber of Aggregator enrollments</w:t>
      </w:r>
    </w:p>
    <w:p w14:paraId="03A61C87" w14:textId="12B1FAB9" w:rsidR="00C5222B" w:rsidRPr="00457BDD" w:rsidRDefault="001E1358" w:rsidP="00457BDD">
      <w:pPr>
        <w:widowControl w:val="0"/>
        <w:numPr>
          <w:ilvl w:val="0"/>
          <w:numId w:val="7"/>
        </w:numPr>
        <w:tabs>
          <w:tab w:val="left" w:pos="1041"/>
        </w:tabs>
        <w:spacing w:before="0" w:line="240" w:lineRule="auto"/>
        <w:rPr>
          <w:rFonts w:cs="Arial"/>
        </w:rPr>
      </w:pPr>
      <w:r w:rsidRPr="00457BDD">
        <w:rPr>
          <w:rFonts w:cs="Arial"/>
        </w:rPr>
        <w:t>Number of project enrollments</w:t>
      </w:r>
      <w:r w:rsidR="00B04B45">
        <w:rPr>
          <w:rFonts w:cs="Arial"/>
        </w:rPr>
        <w:t xml:space="preserve">               </w:t>
      </w:r>
    </w:p>
    <w:p w14:paraId="16A109F6" w14:textId="65A0B5EF" w:rsidR="00C5222B" w:rsidRDefault="001E1358" w:rsidP="00457BDD">
      <w:pPr>
        <w:widowControl w:val="0"/>
        <w:numPr>
          <w:ilvl w:val="0"/>
          <w:numId w:val="7"/>
        </w:numPr>
        <w:tabs>
          <w:tab w:val="left" w:pos="1041"/>
        </w:tabs>
        <w:spacing w:before="0" w:line="240" w:lineRule="auto"/>
        <w:rPr>
          <w:rFonts w:cs="Arial"/>
        </w:rPr>
      </w:pPr>
      <w:r w:rsidRPr="00457BDD">
        <w:rPr>
          <w:rFonts w:cs="Arial"/>
        </w:rPr>
        <w:t>Number of project installations</w:t>
      </w:r>
    </w:p>
    <w:p w14:paraId="24AA7290" w14:textId="008DF0B4" w:rsidR="00EE179D" w:rsidRDefault="00EE179D" w:rsidP="00457BDD">
      <w:pPr>
        <w:widowControl w:val="0"/>
        <w:numPr>
          <w:ilvl w:val="0"/>
          <w:numId w:val="7"/>
        </w:numPr>
        <w:tabs>
          <w:tab w:val="left" w:pos="1041"/>
        </w:tabs>
        <w:spacing w:before="0" w:line="240" w:lineRule="auto"/>
        <w:rPr>
          <w:rFonts w:cs="Arial"/>
        </w:rPr>
      </w:pPr>
      <w:r w:rsidRPr="00457BDD">
        <w:rPr>
          <w:rFonts w:cs="Arial"/>
        </w:rPr>
        <w:t>Program payment recommendations</w:t>
      </w:r>
      <w:r>
        <w:rPr>
          <w:rFonts w:cs="Arial"/>
        </w:rPr>
        <w:t xml:space="preserve"> ($) </w:t>
      </w:r>
    </w:p>
    <w:p w14:paraId="11763CCF" w14:textId="5E34BB2C" w:rsidR="005A4A6C" w:rsidRDefault="004C43AC" w:rsidP="005A4A6C">
      <w:pPr>
        <w:widowControl w:val="0"/>
        <w:numPr>
          <w:ilvl w:val="0"/>
          <w:numId w:val="7"/>
        </w:numPr>
        <w:tabs>
          <w:tab w:val="left" w:pos="1041"/>
        </w:tabs>
        <w:spacing w:before="0" w:line="240" w:lineRule="auto"/>
        <w:rPr>
          <w:rFonts w:cs="Arial"/>
          <w:lang w:val="en-US"/>
        </w:rPr>
      </w:pPr>
      <w:r w:rsidRPr="00863C19">
        <w:rPr>
          <w:rFonts w:cs="Arial"/>
          <w:lang w:val="en-US"/>
        </w:rPr>
        <w:t>Total Resource Cost</w:t>
      </w:r>
      <w:r w:rsidR="002C4712" w:rsidRPr="00863C19">
        <w:rPr>
          <w:rFonts w:cs="Arial"/>
          <w:lang w:val="en-US"/>
        </w:rPr>
        <w:t xml:space="preserve"> Ratio,</w:t>
      </w:r>
      <w:r w:rsidRPr="00863C19">
        <w:rPr>
          <w:rFonts w:cs="Arial"/>
          <w:lang w:val="en-US"/>
        </w:rPr>
        <w:t xml:space="preserve"> without Admin (TRC </w:t>
      </w:r>
      <w:proofErr w:type="spellStart"/>
      <w:r w:rsidRPr="00863C19">
        <w:rPr>
          <w:rFonts w:cs="Arial"/>
          <w:lang w:val="en-US"/>
        </w:rPr>
        <w:t>RatioNoAdmin</w:t>
      </w:r>
      <w:proofErr w:type="spellEnd"/>
      <w:r w:rsidRPr="00863C19">
        <w:rPr>
          <w:rFonts w:cs="Arial"/>
          <w:lang w:val="en-US"/>
        </w:rPr>
        <w:t xml:space="preserve">) </w:t>
      </w:r>
    </w:p>
    <w:p w14:paraId="791D55B5" w14:textId="03902BAE" w:rsidR="005A4A6C" w:rsidRDefault="005A4A6C" w:rsidP="005A4A6C">
      <w:pPr>
        <w:widowControl w:val="0"/>
        <w:numPr>
          <w:ilvl w:val="0"/>
          <w:numId w:val="7"/>
        </w:numPr>
        <w:tabs>
          <w:tab w:val="left" w:pos="1041"/>
        </w:tabs>
        <w:spacing w:before="0" w:line="240" w:lineRule="auto"/>
        <w:rPr>
          <w:rFonts w:cs="Arial"/>
        </w:rPr>
      </w:pPr>
      <w:r>
        <w:rPr>
          <w:rFonts w:cs="Arial"/>
        </w:rPr>
        <w:t xml:space="preserve">Installed TSB Year-to-Date </w:t>
      </w:r>
    </w:p>
    <w:p w14:paraId="5EA6DC25" w14:textId="7F880482" w:rsidR="00BF3389" w:rsidRDefault="00BF3389" w:rsidP="005A4A6C">
      <w:pPr>
        <w:widowControl w:val="0"/>
        <w:numPr>
          <w:ilvl w:val="0"/>
          <w:numId w:val="7"/>
        </w:numPr>
        <w:tabs>
          <w:tab w:val="left" w:pos="1041"/>
        </w:tabs>
        <w:spacing w:before="0" w:line="240" w:lineRule="auto"/>
        <w:rPr>
          <w:rFonts w:cs="Arial"/>
        </w:rPr>
      </w:pPr>
      <w:r>
        <w:rPr>
          <w:rFonts w:cs="Arial"/>
        </w:rPr>
        <w:t>Customer Satisfaction</w:t>
      </w:r>
      <w:r w:rsidR="004B76F1">
        <w:rPr>
          <w:rFonts w:cs="Arial"/>
        </w:rPr>
        <w:t xml:space="preserve"> </w:t>
      </w:r>
    </w:p>
    <w:p w14:paraId="1A087F7F" w14:textId="6D6546C9" w:rsidR="004B76F1" w:rsidRPr="005A4A6C" w:rsidRDefault="004B76F1" w:rsidP="005A4A6C">
      <w:pPr>
        <w:widowControl w:val="0"/>
        <w:numPr>
          <w:ilvl w:val="0"/>
          <w:numId w:val="7"/>
        </w:numPr>
        <w:tabs>
          <w:tab w:val="left" w:pos="1041"/>
        </w:tabs>
        <w:spacing w:before="0" w:line="240" w:lineRule="auto"/>
        <w:rPr>
          <w:rFonts w:cs="Arial"/>
        </w:rPr>
      </w:pPr>
      <w:r>
        <w:rPr>
          <w:rFonts w:cs="Arial"/>
        </w:rPr>
        <w:t xml:space="preserve">Aggregator Satisfaction </w:t>
      </w:r>
    </w:p>
    <w:p w14:paraId="7728876B" w14:textId="247D6067" w:rsidR="008B367D" w:rsidRDefault="008B367D" w:rsidP="004C43AC">
      <w:pPr>
        <w:widowControl w:val="0"/>
        <w:numPr>
          <w:ilvl w:val="0"/>
          <w:numId w:val="7"/>
        </w:numPr>
        <w:tabs>
          <w:tab w:val="left" w:pos="1041"/>
        </w:tabs>
        <w:spacing w:before="0" w:line="240" w:lineRule="auto"/>
        <w:rPr>
          <w:rFonts w:cs="Arial"/>
        </w:rPr>
      </w:pPr>
      <w:r>
        <w:rPr>
          <w:rFonts w:cs="Arial"/>
        </w:rPr>
        <w:t>Disadvantaged Worker Reporting</w:t>
      </w:r>
      <w:r w:rsidR="00C61F0A">
        <w:rPr>
          <w:rFonts w:cs="Arial"/>
        </w:rPr>
        <w:t xml:space="preserve"> </w:t>
      </w:r>
    </w:p>
    <w:p w14:paraId="217101D2" w14:textId="0641179A" w:rsidR="00461B2B" w:rsidRPr="00461B2B" w:rsidRDefault="007F0A0D" w:rsidP="00461B2B">
      <w:pPr>
        <w:widowControl w:val="0"/>
        <w:numPr>
          <w:ilvl w:val="0"/>
          <w:numId w:val="7"/>
        </w:numPr>
        <w:tabs>
          <w:tab w:val="left" w:pos="1041"/>
        </w:tabs>
        <w:spacing w:before="0" w:line="240" w:lineRule="auto"/>
        <w:rPr>
          <w:rFonts w:cs="Arial"/>
        </w:rPr>
      </w:pPr>
      <w:r>
        <w:rPr>
          <w:rFonts w:cs="Arial"/>
        </w:rPr>
        <w:t>Disadvantaged Communities (</w:t>
      </w:r>
      <w:r w:rsidR="00F4336F">
        <w:rPr>
          <w:rFonts w:cs="Arial"/>
        </w:rPr>
        <w:t>DAC</w:t>
      </w:r>
      <w:r>
        <w:rPr>
          <w:rFonts w:cs="Arial"/>
        </w:rPr>
        <w:t>)</w:t>
      </w:r>
      <w:r w:rsidR="00F4336F">
        <w:rPr>
          <w:rFonts w:cs="Arial"/>
        </w:rPr>
        <w:t xml:space="preserve"> Customer Reporting</w:t>
      </w:r>
      <w:r w:rsidR="00056E4B">
        <w:rPr>
          <w:rFonts w:cs="Arial"/>
        </w:rPr>
        <w:t xml:space="preserve"> </w:t>
      </w:r>
    </w:p>
    <w:p w14:paraId="3B07EE92" w14:textId="4391885C" w:rsidR="00C5222B" w:rsidRPr="00457BDD" w:rsidRDefault="00C5222B" w:rsidP="00884E8C">
      <w:pPr>
        <w:widowControl w:val="0"/>
        <w:tabs>
          <w:tab w:val="left" w:pos="1041"/>
        </w:tabs>
        <w:spacing w:before="0" w:line="240" w:lineRule="auto"/>
        <w:rPr>
          <w:rFonts w:cs="Arial"/>
        </w:rPr>
      </w:pPr>
    </w:p>
    <w:p w14:paraId="3A582677" w14:textId="2F86B80A" w:rsidR="00C5222B" w:rsidRDefault="001E1358" w:rsidP="7B0EED14">
      <w:pPr>
        <w:widowControl w:val="0"/>
        <w:tabs>
          <w:tab w:val="left" w:pos="1041"/>
        </w:tabs>
        <w:spacing w:before="0" w:line="240" w:lineRule="auto"/>
        <w:rPr>
          <w:rFonts w:cs="Arial"/>
          <w:lang w:val="en-US"/>
        </w:rPr>
      </w:pPr>
      <w:r w:rsidRPr="7B0EED14">
        <w:rPr>
          <w:rFonts w:cs="Arial"/>
          <w:lang w:val="en-US"/>
        </w:rPr>
        <w:t>These metrics may be modified based on Commission staff input and final program reporting requirements</w:t>
      </w:r>
      <w:r w:rsidR="00457BDD" w:rsidRPr="7B0EED14">
        <w:rPr>
          <w:rFonts w:cs="Arial"/>
          <w:lang w:val="en-US"/>
        </w:rPr>
        <w:t>.</w:t>
      </w:r>
    </w:p>
    <w:p w14:paraId="2B2D95DC" w14:textId="77777777" w:rsidR="00457BDD" w:rsidRPr="00457BDD" w:rsidRDefault="00457BDD" w:rsidP="00457BDD">
      <w:pPr>
        <w:widowControl w:val="0"/>
        <w:tabs>
          <w:tab w:val="left" w:pos="1041"/>
        </w:tabs>
        <w:spacing w:before="0" w:line="240" w:lineRule="auto"/>
        <w:rPr>
          <w:rFonts w:cs="Arial"/>
        </w:rPr>
      </w:pPr>
    </w:p>
    <w:p w14:paraId="62C86B62" w14:textId="77777777" w:rsidR="00C5222B" w:rsidRPr="00457BDD" w:rsidRDefault="001E1358" w:rsidP="003C394D">
      <w:pPr>
        <w:pStyle w:val="Heading2"/>
        <w:numPr>
          <w:ilvl w:val="0"/>
          <w:numId w:val="20"/>
        </w:numPr>
      </w:pPr>
      <w:bookmarkStart w:id="87" w:name="_Toc174365033"/>
      <w:r w:rsidRPr="00457BDD">
        <w:t>To-Code Savings</w:t>
      </w:r>
      <w:bookmarkEnd w:id="87"/>
    </w:p>
    <w:p w14:paraId="3DCC8BBB" w14:textId="1B579A91" w:rsidR="00C5222B" w:rsidRPr="00457BDD" w:rsidRDefault="00182A00" w:rsidP="7B0EED14">
      <w:pPr>
        <w:widowControl w:val="0"/>
        <w:tabs>
          <w:tab w:val="left" w:pos="1041"/>
        </w:tabs>
        <w:spacing w:before="0" w:line="240" w:lineRule="auto"/>
        <w:rPr>
          <w:rFonts w:cs="Arial"/>
          <w:lang w:val="en-US"/>
        </w:rPr>
      </w:pPr>
      <w:r>
        <w:rPr>
          <w:rFonts w:cs="Arial"/>
          <w:lang w:val="en-US"/>
        </w:rPr>
        <w:t>MSSR</w:t>
      </w:r>
      <w:r w:rsidR="001E1358" w:rsidRPr="7B0EED14">
        <w:rPr>
          <w:rFonts w:cs="Arial"/>
          <w:lang w:val="en-US"/>
        </w:rPr>
        <w:t xml:space="preserve"> is a</w:t>
      </w:r>
      <w:r w:rsidR="00B44238">
        <w:rPr>
          <w:rFonts w:cs="Arial"/>
          <w:lang w:val="en-US"/>
        </w:rPr>
        <w:t xml:space="preserve">n </w:t>
      </w:r>
      <w:r w:rsidR="001E1358" w:rsidRPr="7B0EED14">
        <w:rPr>
          <w:rFonts w:cs="Arial"/>
          <w:lang w:val="en-US"/>
        </w:rPr>
        <w:t xml:space="preserve">NMEC program. All savings will be demonstrated against an existing conditions baseline including to-code savings. </w:t>
      </w:r>
    </w:p>
    <w:p w14:paraId="03F75C8A" w14:textId="77777777" w:rsidR="00DA6B4A" w:rsidRPr="00457BDD" w:rsidRDefault="00DA6B4A" w:rsidP="7B0EED14">
      <w:pPr>
        <w:widowControl w:val="0"/>
        <w:tabs>
          <w:tab w:val="left" w:pos="1041"/>
        </w:tabs>
        <w:spacing w:before="0" w:line="240" w:lineRule="auto"/>
        <w:rPr>
          <w:rFonts w:cs="Arial"/>
          <w:lang w:val="en-US"/>
        </w:rPr>
      </w:pPr>
    </w:p>
    <w:p w14:paraId="6B196BCF" w14:textId="065EF0D1" w:rsidR="00C5222B" w:rsidRDefault="001E1358" w:rsidP="7B0EED14">
      <w:pPr>
        <w:widowControl w:val="0"/>
        <w:tabs>
          <w:tab w:val="left" w:pos="1041"/>
        </w:tabs>
        <w:spacing w:before="0" w:line="240" w:lineRule="auto"/>
        <w:rPr>
          <w:rFonts w:cs="Arial"/>
          <w:lang w:val="en-US"/>
        </w:rPr>
      </w:pPr>
      <w:r w:rsidRPr="7B0EED14">
        <w:rPr>
          <w:rFonts w:cs="Arial"/>
          <w:lang w:val="en-US"/>
        </w:rPr>
        <w:t>Capturing to-code savings may be part of any given project that is implemented as part of this program, for any number of technologies. S</w:t>
      </w:r>
      <w:r w:rsidR="007A42B8" w:rsidRPr="7B0EED14">
        <w:rPr>
          <w:rFonts w:cs="Arial"/>
          <w:lang w:val="en-US"/>
        </w:rPr>
        <w:t>.</w:t>
      </w:r>
      <w:r w:rsidRPr="7B0EED14">
        <w:rPr>
          <w:rFonts w:cs="Arial"/>
          <w:lang w:val="en-US"/>
        </w:rPr>
        <w:t>B</w:t>
      </w:r>
      <w:r w:rsidR="007A42B8" w:rsidRPr="7B0EED14">
        <w:rPr>
          <w:rFonts w:cs="Arial"/>
          <w:lang w:val="en-US"/>
        </w:rPr>
        <w:t xml:space="preserve">. </w:t>
      </w:r>
      <w:r w:rsidRPr="7B0EED14">
        <w:rPr>
          <w:rFonts w:cs="Arial"/>
          <w:lang w:val="en-US"/>
        </w:rPr>
        <w:t>350 has authorized programs to capture below code savings to limit stranded potential.</w:t>
      </w:r>
    </w:p>
    <w:p w14:paraId="073AD6DF" w14:textId="77777777" w:rsidR="0016381D" w:rsidRPr="00457BDD" w:rsidRDefault="0016381D" w:rsidP="00457BDD">
      <w:pPr>
        <w:widowControl w:val="0"/>
        <w:tabs>
          <w:tab w:val="left" w:pos="1041"/>
        </w:tabs>
        <w:spacing w:before="0" w:line="240" w:lineRule="auto"/>
        <w:rPr>
          <w:rFonts w:cs="Arial"/>
        </w:rPr>
      </w:pPr>
    </w:p>
    <w:p w14:paraId="4949CD19" w14:textId="77777777" w:rsidR="00C5222B" w:rsidRPr="00457BDD" w:rsidRDefault="001E1358" w:rsidP="003C394D">
      <w:pPr>
        <w:pStyle w:val="Heading2"/>
        <w:numPr>
          <w:ilvl w:val="0"/>
          <w:numId w:val="20"/>
        </w:numPr>
      </w:pPr>
      <w:bookmarkStart w:id="88" w:name="_Toc174365034"/>
      <w:r w:rsidRPr="00457BDD">
        <w:t>Pilots</w:t>
      </w:r>
      <w:bookmarkEnd w:id="88"/>
    </w:p>
    <w:p w14:paraId="2F4E1D50" w14:textId="5CFB70E8" w:rsidR="00C5222B" w:rsidRPr="00BE3621" w:rsidRDefault="001E1358" w:rsidP="7B0EED14">
      <w:pPr>
        <w:widowControl w:val="0"/>
        <w:tabs>
          <w:tab w:val="left" w:pos="1041"/>
        </w:tabs>
        <w:spacing w:before="0" w:line="240" w:lineRule="auto"/>
        <w:rPr>
          <w:rFonts w:cs="Arial"/>
          <w:lang w:val="en-US"/>
        </w:rPr>
      </w:pPr>
      <w:r w:rsidRPr="7B0EED14">
        <w:rPr>
          <w:rFonts w:cs="Arial"/>
          <w:lang w:val="en-US"/>
        </w:rPr>
        <w:t xml:space="preserve">This section is not applicable to this program.  </w:t>
      </w:r>
    </w:p>
    <w:p w14:paraId="352767E6" w14:textId="77777777" w:rsidR="00457BDD" w:rsidRPr="00BE3621" w:rsidRDefault="00457BDD" w:rsidP="00BE3621">
      <w:pPr>
        <w:widowControl w:val="0"/>
        <w:tabs>
          <w:tab w:val="left" w:pos="1041"/>
        </w:tabs>
        <w:spacing w:before="0" w:line="240" w:lineRule="auto"/>
        <w:rPr>
          <w:rFonts w:cs="Arial"/>
        </w:rPr>
      </w:pPr>
    </w:p>
    <w:p w14:paraId="62C748BF" w14:textId="77777777" w:rsidR="00C5222B" w:rsidRPr="00457BDD" w:rsidRDefault="001E1358" w:rsidP="003C394D">
      <w:pPr>
        <w:pStyle w:val="Heading2"/>
        <w:numPr>
          <w:ilvl w:val="0"/>
          <w:numId w:val="20"/>
        </w:numPr>
      </w:pPr>
      <w:bookmarkStart w:id="89" w:name="_Toc174365035"/>
      <w:r w:rsidRPr="00457BDD">
        <w:t>Workforce Education and Training</w:t>
      </w:r>
      <w:bookmarkEnd w:id="89"/>
    </w:p>
    <w:p w14:paraId="123EBA8E" w14:textId="775709E1" w:rsidR="00C5222B" w:rsidRPr="00BE3621" w:rsidRDefault="005B317E" w:rsidP="7B0EED14">
      <w:pPr>
        <w:widowControl w:val="0"/>
        <w:tabs>
          <w:tab w:val="left" w:pos="1041"/>
        </w:tabs>
        <w:spacing w:before="0" w:line="240" w:lineRule="auto"/>
        <w:rPr>
          <w:rFonts w:cs="Arial"/>
          <w:lang w:val="en-US"/>
        </w:rPr>
      </w:pPr>
      <w:r>
        <w:rPr>
          <w:rFonts w:cs="Arial"/>
          <w:lang w:val="en-US"/>
        </w:rPr>
        <w:t>MSSR</w:t>
      </w:r>
      <w:r w:rsidR="001E1358" w:rsidRPr="7B0EED14">
        <w:rPr>
          <w:rFonts w:cs="Arial"/>
          <w:lang w:val="en-US"/>
        </w:rPr>
        <w:t xml:space="preserve"> does not have a direct component for workforce education and training.  </w:t>
      </w:r>
    </w:p>
    <w:p w14:paraId="76007DC8" w14:textId="77777777" w:rsidR="00BE3621" w:rsidRPr="00BE3621" w:rsidRDefault="00BE3621" w:rsidP="00BE3621">
      <w:pPr>
        <w:widowControl w:val="0"/>
        <w:tabs>
          <w:tab w:val="left" w:pos="1041"/>
        </w:tabs>
        <w:spacing w:before="0" w:line="240" w:lineRule="auto"/>
        <w:rPr>
          <w:rFonts w:cs="Arial"/>
        </w:rPr>
      </w:pPr>
    </w:p>
    <w:p w14:paraId="0B879409" w14:textId="7D21014C" w:rsidR="00C5222B" w:rsidRPr="00457BDD" w:rsidRDefault="001E1358" w:rsidP="003C394D">
      <w:pPr>
        <w:pStyle w:val="Heading2"/>
        <w:numPr>
          <w:ilvl w:val="0"/>
          <w:numId w:val="20"/>
        </w:numPr>
      </w:pPr>
      <w:bookmarkStart w:id="90" w:name="_Toc174365036"/>
      <w:r w:rsidRPr="00457BDD">
        <w:t>Workforce Standards</w:t>
      </w:r>
      <w:bookmarkEnd w:id="90"/>
    </w:p>
    <w:p w14:paraId="026E7BDF" w14:textId="77777777" w:rsidR="00F064BC" w:rsidRPr="004B6C7E" w:rsidRDefault="00F064BC" w:rsidP="00F064BC">
      <w:pPr>
        <w:pStyle w:val="Heading3"/>
      </w:pPr>
      <w:bookmarkStart w:id="91" w:name="_Toc174365037"/>
      <w:r w:rsidRPr="005F49A1">
        <w:rPr>
          <w:rFonts w:cs="Arial"/>
        </w:rPr>
        <w:t>General Workforce Standards</w:t>
      </w:r>
      <w:bookmarkEnd w:id="91"/>
    </w:p>
    <w:p w14:paraId="6392CB76" w14:textId="78F42248" w:rsidR="00F064BC" w:rsidRPr="00BE3621" w:rsidRDefault="00F064BC" w:rsidP="00F064BC">
      <w:pPr>
        <w:pStyle w:val="Body1"/>
        <w:spacing w:after="120"/>
      </w:pPr>
      <w:r w:rsidRPr="7B0EED14">
        <w:t xml:space="preserve">Aggregators that join </w:t>
      </w:r>
      <w:r>
        <w:t>MSSR</w:t>
      </w:r>
      <w:r w:rsidRPr="7B0EED14" w:rsidDel="00CC4F7F">
        <w:t xml:space="preserve"> </w:t>
      </w:r>
      <w:r w:rsidRPr="7B0EED14">
        <w:t xml:space="preserve">will adhere to all requirements for workforce standards established </w:t>
      </w:r>
      <w:r w:rsidRPr="7B0EED14">
        <w:lastRenderedPageBreak/>
        <w:t>by the C</w:t>
      </w:r>
      <w:r>
        <w:t>PUC in</w:t>
      </w:r>
      <w:r w:rsidR="001244EF">
        <w:t xml:space="preserve"> </w:t>
      </w:r>
      <w:r w:rsidR="001244EF">
        <w:rPr>
          <w:rFonts w:cs="Calibri"/>
        </w:rPr>
        <w:t>D</w:t>
      </w:r>
      <w:r w:rsidR="00752B8D">
        <w:rPr>
          <w:rFonts w:cs="Calibri"/>
        </w:rPr>
        <w:t>.18-10-008</w:t>
      </w:r>
      <w:r w:rsidRPr="7B0EED14">
        <w:t xml:space="preserve"> </w:t>
      </w:r>
      <w:r>
        <w:t xml:space="preserve">Program design requires that participating customers comply with </w:t>
      </w:r>
      <w:r w:rsidR="00752B8D">
        <w:rPr>
          <w:rFonts w:cs="Calibri"/>
        </w:rPr>
        <w:t>D.18-10-008</w:t>
      </w:r>
      <w:r w:rsidR="00752B8D" w:rsidRPr="7B0EED14">
        <w:t xml:space="preserve"> </w:t>
      </w:r>
      <w:r>
        <w:t>workforce standards with their staff or through contractors they hire. Projects will be screened for 100% compliance with</w:t>
      </w:r>
      <w:r w:rsidR="00752B8D" w:rsidRPr="00752B8D">
        <w:rPr>
          <w:rFonts w:cs="Calibri"/>
        </w:rPr>
        <w:t xml:space="preserve"> </w:t>
      </w:r>
      <w:r w:rsidR="00752B8D">
        <w:rPr>
          <w:rFonts w:cs="Calibri"/>
        </w:rPr>
        <w:t>D.18-10-008</w:t>
      </w:r>
      <w:r>
        <w:rPr>
          <w:rStyle w:val="Hyperlink"/>
          <w:color w:val="auto"/>
          <w:u w:val="none"/>
        </w:rPr>
        <w:t>.</w:t>
      </w:r>
      <w:r>
        <w:t xml:space="preserve"> The following standards are applicable to HVAC and Advanced Lighting Control Energy Efficiency Programs or Projects.</w:t>
      </w:r>
    </w:p>
    <w:p w14:paraId="01BE0B1B" w14:textId="0BA50F2D" w:rsidR="00507A88" w:rsidRPr="005F49A1" w:rsidRDefault="00507A88" w:rsidP="003F0478">
      <w:pPr>
        <w:pStyle w:val="Heading3"/>
        <w:rPr>
          <w:rFonts w:cs="Arial"/>
        </w:rPr>
      </w:pPr>
      <w:bookmarkStart w:id="92" w:name="_Toc174365038"/>
      <w:r w:rsidRPr="005F49A1">
        <w:rPr>
          <w:rFonts w:cs="Arial"/>
        </w:rPr>
        <w:t>Workforce Standards</w:t>
      </w:r>
      <w:r w:rsidR="00A47DB4" w:rsidRPr="005F49A1">
        <w:rPr>
          <w:rFonts w:cs="Arial"/>
        </w:rPr>
        <w:t xml:space="preserve"> for </w:t>
      </w:r>
      <w:r w:rsidR="00BA6E8F" w:rsidRPr="005F49A1">
        <w:rPr>
          <w:rFonts w:cs="Arial"/>
        </w:rPr>
        <w:t>Heating, Ventilation, and Air Conditioning (“HVAC”) and Advanced Lighting Control Programs or Projects</w:t>
      </w:r>
      <w:bookmarkEnd w:id="92"/>
    </w:p>
    <w:p w14:paraId="46E5D24E" w14:textId="10EAE250" w:rsidR="006D4945" w:rsidRPr="004B6C7E" w:rsidRDefault="006D4945" w:rsidP="005F49A1">
      <w:pPr>
        <w:pStyle w:val="Heading4"/>
      </w:pPr>
      <w:r w:rsidRPr="005F49A1">
        <w:rPr>
          <w:rFonts w:cs="Arial"/>
        </w:rPr>
        <w:t xml:space="preserve">Heating, Ventilation, and Air Conditioning (“HVAC”) Energy Efficiency Programs or Projects: </w:t>
      </w:r>
    </w:p>
    <w:p w14:paraId="79C1CDCE" w14:textId="77777777" w:rsidR="006D4945" w:rsidRDefault="006D4945" w:rsidP="006D4945">
      <w:pPr>
        <w:pStyle w:val="Body1"/>
        <w:spacing w:after="120"/>
      </w:pPr>
      <w:r>
        <w:t>For all Implementer program projects and for each Measure, installed, modified, or maintained in a non-residential setting where the project is seeking an energy efficiency incentive of $3,000 or more, Implementer shall ensure that each worker or technician involved in the project meets at least one of the following criteria:</w:t>
      </w:r>
    </w:p>
    <w:p w14:paraId="1B013F04" w14:textId="7E0A8AFB" w:rsidR="006D4945" w:rsidRDefault="006D4945" w:rsidP="005F49A1">
      <w:pPr>
        <w:pStyle w:val="Body1"/>
        <w:numPr>
          <w:ilvl w:val="2"/>
          <w:numId w:val="37"/>
        </w:numPr>
        <w:spacing w:after="120"/>
      </w:pPr>
      <w:r>
        <w:t xml:space="preserve">Completed an accredited HVAC apprenticeship. </w:t>
      </w:r>
    </w:p>
    <w:p w14:paraId="19DB3494" w14:textId="7582C8D3" w:rsidR="006D4945" w:rsidRDefault="006D4945" w:rsidP="005F49A1">
      <w:pPr>
        <w:pStyle w:val="Body1"/>
        <w:numPr>
          <w:ilvl w:val="2"/>
          <w:numId w:val="37"/>
        </w:numPr>
        <w:spacing w:after="120"/>
      </w:pPr>
      <w:r>
        <w:t xml:space="preserve">Is enrolled in an accredited HVAC apprenticeship. </w:t>
      </w:r>
    </w:p>
    <w:p w14:paraId="097CC71E" w14:textId="355F3A6B" w:rsidR="006D4945" w:rsidRDefault="006D4945" w:rsidP="005F49A1">
      <w:pPr>
        <w:pStyle w:val="Body1"/>
        <w:numPr>
          <w:ilvl w:val="2"/>
          <w:numId w:val="37"/>
        </w:numPr>
        <w:spacing w:after="120"/>
      </w:pPr>
      <w:r>
        <w:t xml:space="preserve">Completed at least five years of work experience at the journey level according to the Department of Industrial Relations definition, Title 8, Section 205, of the California Code of Regulations, passed a practical and written HVAC system installation competency test, and received credentialed training specific to the installation of the technology being installed. </w:t>
      </w:r>
    </w:p>
    <w:p w14:paraId="12EF89F7" w14:textId="2150E6C7" w:rsidR="006D4945" w:rsidRDefault="006D4945" w:rsidP="005F49A1">
      <w:pPr>
        <w:pStyle w:val="Body1"/>
        <w:numPr>
          <w:ilvl w:val="2"/>
          <w:numId w:val="37"/>
        </w:numPr>
        <w:spacing w:after="120"/>
      </w:pPr>
      <w:r>
        <w:t xml:space="preserve">Has a C-20 HVAC contractor license issued by the California Contractor’s State Licensing Board. </w:t>
      </w:r>
    </w:p>
    <w:p w14:paraId="0A8C87D3" w14:textId="77777777" w:rsidR="006D4945" w:rsidRDefault="006D4945" w:rsidP="006D4945">
      <w:pPr>
        <w:pStyle w:val="Body1"/>
        <w:spacing w:after="120"/>
      </w:pPr>
      <w:r>
        <w:t xml:space="preserve">This standard shall not apply where the incentive is paid to any manufacturer, distributor, or retailer of HVAC equipment, unless the manufacturer, distributor, or retailer installs or contracts for the installation of the equipment. </w:t>
      </w:r>
    </w:p>
    <w:p w14:paraId="4C435AE1" w14:textId="62ABB091" w:rsidR="006D4945" w:rsidRPr="00F02000" w:rsidRDefault="006D4945" w:rsidP="005F49A1">
      <w:pPr>
        <w:pStyle w:val="Heading4"/>
      </w:pPr>
      <w:r w:rsidRPr="005F49A1">
        <w:rPr>
          <w:rFonts w:cs="Arial"/>
        </w:rPr>
        <w:t xml:space="preserve">Advanced Lighting Control Programs or Projects: </w:t>
      </w:r>
    </w:p>
    <w:p w14:paraId="14EB9645" w14:textId="28C294B4" w:rsidR="00C5222B" w:rsidRPr="00BE3621" w:rsidRDefault="006D4945" w:rsidP="002E574D">
      <w:pPr>
        <w:pStyle w:val="Body1"/>
        <w:spacing w:after="120"/>
      </w:pPr>
      <w:r>
        <w:t>For all Program Projects and for each Measure, installed in a non-residential setting where the advanced lighting control project is seeking an energy efficiency incentive of $2,000 or more, Implementer shall ensure that all workers or technicians involved in the project are certified by the California Advanced Lighting Controls Training Program. This requirement shall not apply where the incentive is paid to a manufacturer, distributor, or retailer of lighting controls unless the manufacturer, distributor, or retailer installs or contracts for installation of the equipment.</w:t>
      </w:r>
    </w:p>
    <w:p w14:paraId="2CF09FEC" w14:textId="77777777" w:rsidR="00C5222B" w:rsidRPr="00457BDD" w:rsidRDefault="001E1358" w:rsidP="003C394D">
      <w:pPr>
        <w:pStyle w:val="Heading2"/>
        <w:numPr>
          <w:ilvl w:val="0"/>
          <w:numId w:val="20"/>
        </w:numPr>
      </w:pPr>
      <w:bookmarkStart w:id="93" w:name="_Toc174365039"/>
      <w:r w:rsidRPr="00457BDD">
        <w:t>Disadvantaged Worker Plan</w:t>
      </w:r>
      <w:bookmarkEnd w:id="93"/>
    </w:p>
    <w:p w14:paraId="2633E5D2" w14:textId="1399F028" w:rsidR="00C5222B" w:rsidRPr="00BE3621" w:rsidRDefault="005B317E" w:rsidP="005F49A1">
      <w:pPr>
        <w:pStyle w:val="Body1"/>
      </w:pPr>
      <w:r>
        <w:t>MSSR</w:t>
      </w:r>
      <w:r w:rsidR="001E1358" w:rsidRPr="7B0EED14">
        <w:t xml:space="preserve"> does not have a direct component for targeting disadvantaged workers</w:t>
      </w:r>
      <w:r w:rsidR="00A81F9C">
        <w:t>.</w:t>
      </w:r>
      <w:r w:rsidR="001E1358" w:rsidRPr="7B0EED14">
        <w:t xml:space="preserve">  </w:t>
      </w:r>
    </w:p>
    <w:p w14:paraId="30046EE6" w14:textId="77777777" w:rsidR="00C5222B" w:rsidRPr="00BE3621" w:rsidRDefault="00C5222B" w:rsidP="00BE3621">
      <w:pPr>
        <w:widowControl w:val="0"/>
        <w:tabs>
          <w:tab w:val="left" w:pos="1041"/>
        </w:tabs>
        <w:spacing w:before="0" w:line="240" w:lineRule="auto"/>
        <w:rPr>
          <w:rFonts w:cs="Arial"/>
        </w:rPr>
      </w:pPr>
    </w:p>
    <w:p w14:paraId="351F3D94" w14:textId="77777777" w:rsidR="00C5222B" w:rsidRPr="00457BDD" w:rsidRDefault="001E1358" w:rsidP="003C394D">
      <w:pPr>
        <w:pStyle w:val="Heading2"/>
        <w:numPr>
          <w:ilvl w:val="0"/>
          <w:numId w:val="20"/>
        </w:numPr>
      </w:pPr>
      <w:bookmarkStart w:id="94" w:name="_Toc174365040"/>
      <w:r w:rsidRPr="00457BDD">
        <w:t>Additional information</w:t>
      </w:r>
      <w:bookmarkEnd w:id="94"/>
    </w:p>
    <w:p w14:paraId="0A8A304F" w14:textId="35390288" w:rsidR="00C5222B" w:rsidRPr="00BE3621" w:rsidRDefault="00B100EE" w:rsidP="7B0EED14">
      <w:pPr>
        <w:widowControl w:val="0"/>
        <w:tabs>
          <w:tab w:val="left" w:pos="1041"/>
        </w:tabs>
        <w:spacing w:before="0" w:line="240" w:lineRule="auto"/>
        <w:rPr>
          <w:rFonts w:cs="Arial"/>
          <w:lang w:val="en-US"/>
        </w:rPr>
      </w:pPr>
      <w:r>
        <w:rPr>
          <w:rFonts w:cs="Arial"/>
          <w:lang w:val="en-US"/>
        </w:rPr>
        <w:t>PG&amp;E acknowledges that th</w:t>
      </w:r>
      <w:r w:rsidR="00C02E2B">
        <w:rPr>
          <w:rFonts w:cs="Arial"/>
          <w:lang w:val="en-US"/>
        </w:rPr>
        <w:t>e implementation of MSSR</w:t>
      </w:r>
      <w:r>
        <w:rPr>
          <w:rFonts w:cs="Arial"/>
          <w:lang w:val="en-US"/>
        </w:rPr>
        <w:t xml:space="preserve"> will </w:t>
      </w:r>
      <w:r w:rsidR="00C02E2B">
        <w:rPr>
          <w:rFonts w:cs="Arial"/>
          <w:lang w:val="en-US"/>
        </w:rPr>
        <w:t xml:space="preserve">generate </w:t>
      </w:r>
      <w:r w:rsidR="00FA43EA">
        <w:rPr>
          <w:rFonts w:cs="Arial"/>
          <w:lang w:val="en-US"/>
        </w:rPr>
        <w:t xml:space="preserve">interactive market effects that will </w:t>
      </w:r>
      <w:r w:rsidR="00BF6988">
        <w:rPr>
          <w:rFonts w:cs="Arial"/>
          <w:lang w:val="en-US"/>
        </w:rPr>
        <w:t xml:space="preserve">impact the </w:t>
      </w:r>
      <w:r w:rsidR="0002639E">
        <w:rPr>
          <w:rFonts w:cs="Arial"/>
          <w:lang w:val="en-US"/>
        </w:rPr>
        <w:t>delivery of</w:t>
      </w:r>
      <w:r w:rsidR="00FA43EA">
        <w:rPr>
          <w:rFonts w:cs="Arial"/>
          <w:lang w:val="en-US"/>
        </w:rPr>
        <w:t xml:space="preserve"> </w:t>
      </w:r>
      <w:r w:rsidR="00C02E2B">
        <w:rPr>
          <w:rFonts w:cs="Arial"/>
          <w:lang w:val="en-US"/>
        </w:rPr>
        <w:t xml:space="preserve">other </w:t>
      </w:r>
      <w:r w:rsidR="00BF6988">
        <w:rPr>
          <w:rFonts w:cs="Arial"/>
          <w:lang w:val="en-US"/>
        </w:rPr>
        <w:t xml:space="preserve">programs </w:t>
      </w:r>
      <w:r w:rsidR="0002639E">
        <w:rPr>
          <w:rFonts w:cs="Arial"/>
          <w:lang w:val="en-US"/>
        </w:rPr>
        <w:t>within its broader</w:t>
      </w:r>
      <w:r w:rsidR="00BF6988">
        <w:rPr>
          <w:rFonts w:cs="Arial"/>
          <w:lang w:val="en-US"/>
        </w:rPr>
        <w:t xml:space="preserve"> EE portfolio.</w:t>
      </w:r>
      <w:r w:rsidR="0002639E">
        <w:rPr>
          <w:rFonts w:cs="Arial"/>
          <w:lang w:val="en-US"/>
        </w:rPr>
        <w:t xml:space="preserve"> </w:t>
      </w:r>
      <w:r w:rsidR="00E000B7">
        <w:rPr>
          <w:rFonts w:cs="Arial"/>
          <w:lang w:val="en-US"/>
        </w:rPr>
        <w:t xml:space="preserve">A detailed discussion </w:t>
      </w:r>
      <w:r w:rsidR="007779F8">
        <w:rPr>
          <w:rFonts w:cs="Arial"/>
          <w:lang w:val="en-US"/>
        </w:rPr>
        <w:t xml:space="preserve">will </w:t>
      </w:r>
      <w:r w:rsidR="000A047F">
        <w:rPr>
          <w:rFonts w:cs="Arial"/>
          <w:lang w:val="en-US"/>
        </w:rPr>
        <w:t>be</w:t>
      </w:r>
      <w:r w:rsidR="007779F8">
        <w:rPr>
          <w:rFonts w:cs="Arial"/>
          <w:lang w:val="en-US"/>
        </w:rPr>
        <w:t xml:space="preserve"> </w:t>
      </w:r>
      <w:r w:rsidR="00DB5481">
        <w:rPr>
          <w:rFonts w:cs="Arial"/>
          <w:lang w:val="en-US"/>
        </w:rPr>
        <w:t>forthcoming in the</w:t>
      </w:r>
      <w:r w:rsidR="007779F8">
        <w:rPr>
          <w:rFonts w:cs="Arial"/>
          <w:lang w:val="en-US"/>
        </w:rPr>
        <w:t xml:space="preserve"> PMP</w:t>
      </w:r>
      <w:r w:rsidR="00DB5481">
        <w:rPr>
          <w:rFonts w:cs="Arial"/>
          <w:lang w:val="en-US"/>
        </w:rPr>
        <w:t>.</w:t>
      </w:r>
      <w:r w:rsidR="007779F8">
        <w:rPr>
          <w:rFonts w:cs="Arial"/>
          <w:lang w:val="en-US"/>
        </w:rPr>
        <w:t xml:space="preserve"> </w:t>
      </w:r>
      <w:r w:rsidR="00BF6988">
        <w:rPr>
          <w:rFonts w:cs="Arial"/>
          <w:lang w:val="en-US"/>
        </w:rPr>
        <w:t xml:space="preserve"> </w:t>
      </w:r>
      <w:r w:rsidR="001E1358" w:rsidRPr="7B0EED14">
        <w:rPr>
          <w:rFonts w:cs="Arial"/>
          <w:lang w:val="en-US"/>
        </w:rPr>
        <w:br w:type="page"/>
      </w:r>
    </w:p>
    <w:p w14:paraId="726BFC7F" w14:textId="244B4AB9" w:rsidR="00C5222B" w:rsidRDefault="001E1358" w:rsidP="003C394D">
      <w:pPr>
        <w:pStyle w:val="Heading1"/>
      </w:pPr>
      <w:bookmarkStart w:id="95" w:name="_Toc174365041"/>
      <w:r w:rsidRPr="00D55586">
        <w:lastRenderedPageBreak/>
        <w:t>Supporting Documents</w:t>
      </w:r>
      <w:bookmarkEnd w:id="95"/>
    </w:p>
    <w:p w14:paraId="777E66CE" w14:textId="77777777" w:rsidR="002A060A" w:rsidRPr="002A060A" w:rsidRDefault="002A060A" w:rsidP="002A060A">
      <w:pPr>
        <w:widowControl w:val="0"/>
        <w:tabs>
          <w:tab w:val="left" w:pos="1041"/>
        </w:tabs>
        <w:spacing w:before="0" w:line="240" w:lineRule="auto"/>
        <w:rPr>
          <w:rFonts w:cs="Arial"/>
        </w:rPr>
      </w:pPr>
    </w:p>
    <w:p w14:paraId="33C27E03" w14:textId="77777777" w:rsidR="00C5222B" w:rsidRPr="002A060A" w:rsidRDefault="001E1358" w:rsidP="003C394D">
      <w:pPr>
        <w:pStyle w:val="Heading2"/>
        <w:numPr>
          <w:ilvl w:val="0"/>
          <w:numId w:val="26"/>
        </w:numPr>
      </w:pPr>
      <w:bookmarkStart w:id="96" w:name="_Toc174365042"/>
      <w:r w:rsidRPr="002A060A">
        <w:t>Program Manuals and Program Rules</w:t>
      </w:r>
      <w:bookmarkEnd w:id="96"/>
    </w:p>
    <w:p w14:paraId="733EF691" w14:textId="2547C750" w:rsidR="00624FE7" w:rsidRDefault="001E1358" w:rsidP="005F49A1">
      <w:pPr>
        <w:widowControl w:val="0"/>
        <w:tabs>
          <w:tab w:val="left" w:pos="1041"/>
        </w:tabs>
        <w:spacing w:before="0" w:line="240" w:lineRule="auto"/>
        <w:rPr>
          <w:rFonts w:cs="Arial"/>
        </w:rPr>
      </w:pPr>
      <w:r w:rsidRPr="7B0EED14">
        <w:rPr>
          <w:rFonts w:cs="Arial"/>
          <w:lang w:val="en-US"/>
        </w:rPr>
        <w:t xml:space="preserve">A </w:t>
      </w:r>
      <w:r w:rsidR="007F212A">
        <w:rPr>
          <w:rFonts w:cs="Arial"/>
          <w:lang w:val="en-US"/>
        </w:rPr>
        <w:t>P</w:t>
      </w:r>
      <w:r w:rsidRPr="7B0EED14">
        <w:rPr>
          <w:rFonts w:cs="Arial"/>
          <w:lang w:val="en-US"/>
        </w:rPr>
        <w:t xml:space="preserve">rogram </w:t>
      </w:r>
      <w:r w:rsidR="007F212A">
        <w:rPr>
          <w:rFonts w:cs="Arial"/>
          <w:lang w:val="en-US"/>
        </w:rPr>
        <w:t>Management Plan (PMP)</w:t>
      </w:r>
      <w:r w:rsidRPr="7B0EED14">
        <w:rPr>
          <w:rFonts w:cs="Arial"/>
          <w:lang w:val="en-US"/>
        </w:rPr>
        <w:t xml:space="preserve"> containing rules for participation is provided with this </w:t>
      </w:r>
      <w:r w:rsidR="0096295C">
        <w:rPr>
          <w:rFonts w:cs="Arial"/>
          <w:lang w:val="en-US"/>
        </w:rPr>
        <w:t>I</w:t>
      </w:r>
      <w:r w:rsidR="0096295C" w:rsidRPr="7B0EED14">
        <w:rPr>
          <w:rFonts w:cs="Arial"/>
          <w:lang w:val="en-US"/>
        </w:rPr>
        <w:t xml:space="preserve">mplementation </w:t>
      </w:r>
      <w:r w:rsidR="0096295C">
        <w:rPr>
          <w:rFonts w:cs="Arial"/>
          <w:lang w:val="en-US"/>
        </w:rPr>
        <w:t>P</w:t>
      </w:r>
      <w:r w:rsidR="0096295C" w:rsidRPr="7B0EED14">
        <w:rPr>
          <w:rFonts w:cs="Arial"/>
          <w:lang w:val="en-US"/>
        </w:rPr>
        <w:t>lan</w:t>
      </w:r>
      <w:r w:rsidRPr="7B0EED14">
        <w:rPr>
          <w:rFonts w:cs="Arial"/>
          <w:lang w:val="en-US"/>
        </w:rPr>
        <w:t xml:space="preserve"> and </w:t>
      </w:r>
      <w:r w:rsidR="007F212A">
        <w:rPr>
          <w:rFonts w:cs="Arial"/>
          <w:lang w:val="en-US"/>
        </w:rPr>
        <w:t>will</w:t>
      </w:r>
      <w:r w:rsidRPr="7B0EED14">
        <w:rPr>
          <w:rFonts w:cs="Arial"/>
          <w:lang w:val="en-US"/>
        </w:rPr>
        <w:t xml:space="preserve"> </w:t>
      </w:r>
      <w:r w:rsidR="007F212A">
        <w:rPr>
          <w:rFonts w:cs="Arial"/>
          <w:lang w:val="en-US"/>
        </w:rPr>
        <w:t>be</w:t>
      </w:r>
      <w:r w:rsidRPr="7B0EED14">
        <w:rPr>
          <w:rFonts w:cs="Arial"/>
          <w:lang w:val="en-US"/>
        </w:rPr>
        <w:t xml:space="preserve"> integrated into the </w:t>
      </w:r>
      <w:r w:rsidR="001C1385">
        <w:rPr>
          <w:rFonts w:cs="Arial"/>
          <w:lang w:val="en-US"/>
        </w:rPr>
        <w:t>AESC MSSR</w:t>
      </w:r>
      <w:r w:rsidRPr="7B0EED14">
        <w:rPr>
          <w:rFonts w:cs="Arial"/>
          <w:lang w:val="en-US"/>
        </w:rPr>
        <w:t xml:space="preserve"> web</w:t>
      </w:r>
      <w:r w:rsidR="001C1385">
        <w:rPr>
          <w:rFonts w:cs="Arial"/>
        </w:rPr>
        <w:t>site</w:t>
      </w:r>
      <w:r w:rsidR="007F212A">
        <w:rPr>
          <w:rFonts w:cs="Arial"/>
        </w:rPr>
        <w:t xml:space="preserve"> once established</w:t>
      </w:r>
      <w:r w:rsidR="00926674">
        <w:rPr>
          <w:rFonts w:cs="Arial"/>
        </w:rPr>
        <w:t>.</w:t>
      </w:r>
    </w:p>
    <w:p w14:paraId="7130D6B8" w14:textId="7A283CFC" w:rsidR="005E6324" w:rsidRDefault="005E6324" w:rsidP="00624FE7">
      <w:pPr>
        <w:widowControl w:val="0"/>
        <w:tabs>
          <w:tab w:val="left" w:pos="1041"/>
        </w:tabs>
        <w:spacing w:before="0" w:line="240" w:lineRule="auto"/>
        <w:jc w:val="center"/>
        <w:rPr>
          <w:rFonts w:cs="Arial"/>
        </w:rPr>
      </w:pPr>
    </w:p>
    <w:p w14:paraId="74B88794" w14:textId="4DB6110B" w:rsidR="005E6324" w:rsidRDefault="003218AF" w:rsidP="00624FE7">
      <w:pPr>
        <w:widowControl w:val="0"/>
        <w:tabs>
          <w:tab w:val="left" w:pos="1041"/>
        </w:tabs>
        <w:spacing w:before="0" w:line="240" w:lineRule="auto"/>
        <w:jc w:val="center"/>
        <w:rPr>
          <w:rFonts w:cs="Arial"/>
        </w:rPr>
      </w:pPr>
      <w:r>
        <w:rPr>
          <w:rFonts w:cs="Arial"/>
        </w:rPr>
        <w:t>[PMP Documentation to be Attached]</w:t>
      </w:r>
    </w:p>
    <w:p w14:paraId="2E0DFFFD" w14:textId="77777777" w:rsidR="003C394D" w:rsidRPr="002A060A" w:rsidRDefault="003C394D" w:rsidP="002A060A">
      <w:pPr>
        <w:widowControl w:val="0"/>
        <w:tabs>
          <w:tab w:val="left" w:pos="1041"/>
        </w:tabs>
        <w:spacing w:before="0" w:line="240" w:lineRule="auto"/>
        <w:rPr>
          <w:rFonts w:cs="Arial"/>
        </w:rPr>
      </w:pPr>
    </w:p>
    <w:p w14:paraId="4C0426C4" w14:textId="10FBB84E" w:rsidR="00C5222B" w:rsidRPr="002A060A" w:rsidRDefault="001E1358" w:rsidP="003C394D">
      <w:pPr>
        <w:pStyle w:val="Heading2"/>
        <w:numPr>
          <w:ilvl w:val="0"/>
          <w:numId w:val="26"/>
        </w:numPr>
      </w:pPr>
      <w:bookmarkStart w:id="97" w:name="_Ref172035069"/>
      <w:bookmarkStart w:id="98" w:name="_Toc174365043"/>
      <w:r w:rsidRPr="002A060A">
        <w:t>Program Theory and Program Logic Model</w:t>
      </w:r>
      <w:bookmarkEnd w:id="97"/>
      <w:bookmarkEnd w:id="98"/>
    </w:p>
    <w:p w14:paraId="7F137F8E" w14:textId="77777777" w:rsidR="0094290D" w:rsidRDefault="0094290D" w:rsidP="002A060A">
      <w:pPr>
        <w:widowControl w:val="0"/>
        <w:tabs>
          <w:tab w:val="left" w:pos="1041"/>
        </w:tabs>
        <w:spacing w:before="0" w:line="240" w:lineRule="auto"/>
        <w:rPr>
          <w:rFonts w:cs="Arial"/>
          <w:lang w:val="en-US"/>
        </w:rPr>
      </w:pPr>
    </w:p>
    <w:p w14:paraId="62FD0FE0" w14:textId="5C40A29A" w:rsidR="00C5222B" w:rsidRPr="002A060A" w:rsidRDefault="0094290D" w:rsidP="002A060A">
      <w:pPr>
        <w:widowControl w:val="0"/>
        <w:tabs>
          <w:tab w:val="left" w:pos="1041"/>
        </w:tabs>
        <w:spacing w:before="0" w:line="240" w:lineRule="auto"/>
        <w:rPr>
          <w:rFonts w:cs="Arial"/>
        </w:rPr>
      </w:pPr>
      <w:r w:rsidRPr="0094290D">
        <w:rPr>
          <w:rFonts w:cs="Arial"/>
          <w:lang w:val="en-US"/>
        </w:rPr>
        <w:fldChar w:fldCharType="begin"/>
      </w:r>
      <w:r w:rsidRPr="0094290D">
        <w:rPr>
          <w:rFonts w:cs="Arial"/>
          <w:lang w:val="en-US"/>
        </w:rPr>
        <w:instrText xml:space="preserve"> REF _Ref172060441 \h </w:instrText>
      </w:r>
      <w:r>
        <w:rPr>
          <w:rFonts w:cs="Arial"/>
          <w:lang w:val="en-US"/>
        </w:rPr>
        <w:instrText xml:space="preserve"> \* MERGEFORMAT </w:instrText>
      </w:r>
      <w:r w:rsidRPr="0094290D">
        <w:rPr>
          <w:rFonts w:cs="Arial"/>
          <w:lang w:val="en-US"/>
        </w:rPr>
      </w:r>
      <w:r w:rsidRPr="0094290D">
        <w:rPr>
          <w:rFonts w:cs="Arial"/>
          <w:lang w:val="en-US"/>
        </w:rPr>
        <w:fldChar w:fldCharType="separate"/>
      </w:r>
      <w:r w:rsidRPr="005F49A1">
        <w:rPr>
          <w:rFonts w:cs="Arial"/>
        </w:rPr>
        <w:t xml:space="preserve">Figure </w:t>
      </w:r>
      <w:r w:rsidRPr="005F49A1">
        <w:rPr>
          <w:rFonts w:cs="Arial"/>
          <w:noProof/>
        </w:rPr>
        <w:t>1</w:t>
      </w:r>
      <w:r w:rsidRPr="0094290D">
        <w:rPr>
          <w:rFonts w:cs="Arial"/>
          <w:lang w:val="en-US"/>
        </w:rPr>
        <w:fldChar w:fldCharType="end"/>
      </w:r>
      <w:r>
        <w:rPr>
          <w:rFonts w:cs="Arial"/>
          <w:lang w:val="en-US"/>
        </w:rPr>
        <w:t xml:space="preserve"> below </w:t>
      </w:r>
      <w:r w:rsidR="00924BB6">
        <w:rPr>
          <w:rFonts w:cs="Arial"/>
        </w:rPr>
        <w:t>depicts the MSSR program logic model diagram</w:t>
      </w:r>
      <w:r w:rsidR="00435940">
        <w:rPr>
          <w:rFonts w:cs="Arial"/>
        </w:rPr>
        <w:t>, showing the connections between program goals and objectives, activities, and the short-term, intermediate-term- and long-term outcomes</w:t>
      </w:r>
      <w:r w:rsidR="00DE7B02">
        <w:rPr>
          <w:rFonts w:cs="Arial"/>
        </w:rPr>
        <w:t xml:space="preserve">.  </w:t>
      </w:r>
    </w:p>
    <w:p w14:paraId="1314B394" w14:textId="77777777" w:rsidR="00DE7B02" w:rsidRPr="002A060A" w:rsidRDefault="00DE7B02" w:rsidP="002A060A">
      <w:pPr>
        <w:widowControl w:val="0"/>
        <w:tabs>
          <w:tab w:val="left" w:pos="1041"/>
        </w:tabs>
        <w:spacing w:before="0" w:line="240" w:lineRule="auto"/>
        <w:rPr>
          <w:rFonts w:cs="Arial"/>
        </w:rPr>
      </w:pPr>
    </w:p>
    <w:p w14:paraId="336D59B3" w14:textId="7186B01A" w:rsidR="00816C5B" w:rsidRDefault="000828CF" w:rsidP="00816C5B">
      <w:pPr>
        <w:widowControl w:val="0"/>
        <w:tabs>
          <w:tab w:val="left" w:pos="1041"/>
        </w:tabs>
        <w:spacing w:before="0"/>
        <w:jc w:val="center"/>
      </w:pPr>
      <w:r w:rsidRPr="000828CF">
        <w:rPr>
          <w:noProof/>
        </w:rPr>
        <w:drawing>
          <wp:inline distT="0" distB="0" distL="0" distR="0" wp14:anchorId="571EBD4B" wp14:editId="5C9DBAB4">
            <wp:extent cx="5943600" cy="5412740"/>
            <wp:effectExtent l="0" t="0" r="0" b="0"/>
            <wp:docPr id="1682463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341486" name=""/>
                    <pic:cNvPicPr/>
                  </pic:nvPicPr>
                  <pic:blipFill>
                    <a:blip r:embed="rId12"/>
                    <a:stretch>
                      <a:fillRect/>
                    </a:stretch>
                  </pic:blipFill>
                  <pic:spPr>
                    <a:xfrm>
                      <a:off x="0" y="0"/>
                      <a:ext cx="5943600" cy="5412740"/>
                    </a:xfrm>
                    <a:prstGeom prst="rect">
                      <a:avLst/>
                    </a:prstGeom>
                  </pic:spPr>
                </pic:pic>
              </a:graphicData>
            </a:graphic>
          </wp:inline>
        </w:drawing>
      </w:r>
    </w:p>
    <w:p w14:paraId="06BF9CA4" w14:textId="2CB37BF1" w:rsidR="00566441" w:rsidRDefault="00816C5B" w:rsidP="007526DA">
      <w:pPr>
        <w:pStyle w:val="Caption"/>
        <w:jc w:val="center"/>
        <w:rPr>
          <w:b/>
          <w:sz w:val="28"/>
          <w:szCs w:val="28"/>
        </w:rPr>
      </w:pPr>
      <w:bookmarkStart w:id="99" w:name="_Ref172060441"/>
      <w:bookmarkStart w:id="100" w:name="_Ref172060435"/>
      <w:r w:rsidRPr="000D1A3C">
        <w:t xml:space="preserve">Figure </w:t>
      </w:r>
      <w:r w:rsidRPr="000D1A3C">
        <w:fldChar w:fldCharType="begin"/>
      </w:r>
      <w:r w:rsidRPr="000D1A3C">
        <w:instrText xml:space="preserve"> SEQ Figure \* ARABIC </w:instrText>
      </w:r>
      <w:r w:rsidRPr="000D1A3C">
        <w:fldChar w:fldCharType="separate"/>
      </w:r>
      <w:r w:rsidR="00BD4397">
        <w:rPr>
          <w:noProof/>
        </w:rPr>
        <w:t>1</w:t>
      </w:r>
      <w:r w:rsidRPr="000D1A3C">
        <w:fldChar w:fldCharType="end"/>
      </w:r>
      <w:bookmarkEnd w:id="99"/>
      <w:r w:rsidRPr="00A22340">
        <w:t xml:space="preserve">: </w:t>
      </w:r>
      <w:r>
        <w:t>MSSR</w:t>
      </w:r>
      <w:r w:rsidRPr="00A22340">
        <w:t xml:space="preserve"> </w:t>
      </w:r>
      <w:r>
        <w:t>Program Logic Model Diagram</w:t>
      </w:r>
      <w:bookmarkEnd w:id="100"/>
      <w:r w:rsidR="00566441">
        <w:rPr>
          <w:b/>
          <w:sz w:val="28"/>
          <w:szCs w:val="28"/>
        </w:rPr>
        <w:br w:type="page"/>
      </w:r>
    </w:p>
    <w:p w14:paraId="16055C0F" w14:textId="4425CBCF" w:rsidR="00EB5BCB" w:rsidRDefault="00EB5BCB" w:rsidP="00EB5BCB">
      <w:pPr>
        <w:widowControl w:val="0"/>
        <w:spacing w:before="0"/>
        <w:ind w:right="98"/>
        <w:rPr>
          <w:rFonts w:cs="Arial"/>
          <w:bCs/>
        </w:rPr>
      </w:pPr>
    </w:p>
    <w:p w14:paraId="79088ADA" w14:textId="77777777" w:rsidR="00F5348B" w:rsidRPr="00EB5BCB" w:rsidRDefault="00F5348B" w:rsidP="00EB5BCB">
      <w:pPr>
        <w:widowControl w:val="0"/>
        <w:spacing w:before="0"/>
        <w:ind w:right="98"/>
        <w:rPr>
          <w:rFonts w:cs="Arial"/>
          <w:bCs/>
        </w:rPr>
      </w:pPr>
    </w:p>
    <w:p w14:paraId="44A623E2" w14:textId="77777777" w:rsidR="00C5222B" w:rsidRPr="00563CBD" w:rsidRDefault="001E1358" w:rsidP="003C394D">
      <w:pPr>
        <w:pStyle w:val="Heading2"/>
        <w:numPr>
          <w:ilvl w:val="0"/>
          <w:numId w:val="26"/>
        </w:numPr>
      </w:pPr>
      <w:bookmarkStart w:id="101" w:name="_Toc174365044"/>
      <w:r w:rsidRPr="00563CBD">
        <w:t>Process Flow Chart</w:t>
      </w:r>
      <w:bookmarkEnd w:id="101"/>
    </w:p>
    <w:p w14:paraId="6D2C41F7" w14:textId="0013F70C" w:rsidR="003E076E" w:rsidRPr="003E076E" w:rsidRDefault="001E1358" w:rsidP="005F49A1">
      <w:pPr>
        <w:widowControl w:val="0"/>
        <w:tabs>
          <w:tab w:val="left" w:pos="1041"/>
        </w:tabs>
        <w:spacing w:before="0" w:line="240" w:lineRule="auto"/>
        <w:rPr>
          <w:rFonts w:cs="Arial"/>
          <w:lang w:val="en-US"/>
        </w:rPr>
      </w:pPr>
      <w:r w:rsidRPr="00563CBD">
        <w:rPr>
          <w:rFonts w:cs="Arial"/>
        </w:rPr>
        <w:t xml:space="preserve">The following graphic illustrates the process flow for </w:t>
      </w:r>
      <w:r w:rsidR="00085AE9">
        <w:rPr>
          <w:rFonts w:cs="Arial"/>
        </w:rPr>
        <w:t>MSSR</w:t>
      </w:r>
      <w:r w:rsidR="00357373">
        <w:rPr>
          <w:rFonts w:cs="Arial"/>
        </w:rPr>
        <w:t xml:space="preserve"> for the Aggregators and the</w:t>
      </w:r>
      <w:r w:rsidR="00085AE9">
        <w:rPr>
          <w:rFonts w:cs="Arial"/>
        </w:rPr>
        <w:t xml:space="preserve"> AESC Tea</w:t>
      </w:r>
      <w:r w:rsidR="00357373">
        <w:rPr>
          <w:rFonts w:cs="Arial"/>
        </w:rPr>
        <w:t>m</w:t>
      </w:r>
      <w:r w:rsidR="00085AE9">
        <w:rPr>
          <w:rFonts w:cs="Arial"/>
        </w:rPr>
        <w:t>.</w:t>
      </w:r>
    </w:p>
    <w:p w14:paraId="28CED6BB" w14:textId="739FAB1B" w:rsidR="003E076E" w:rsidRDefault="00C36D32" w:rsidP="003E076E">
      <w:pPr>
        <w:autoSpaceDE w:val="0"/>
        <w:autoSpaceDN w:val="0"/>
        <w:adjustRightInd w:val="0"/>
        <w:spacing w:before="0" w:line="240" w:lineRule="auto"/>
      </w:pPr>
      <w:r w:rsidRPr="00C36D32">
        <w:rPr>
          <w:noProof/>
        </w:rPr>
        <w:t xml:space="preserve"> </w:t>
      </w:r>
      <w:r w:rsidR="00C90E77" w:rsidRPr="00C90E77">
        <w:rPr>
          <w:noProof/>
        </w:rPr>
        <w:t xml:space="preserve"> </w:t>
      </w:r>
      <w:r w:rsidR="00932F08" w:rsidRPr="00932F08">
        <w:rPr>
          <w:noProof/>
        </w:rPr>
        <w:drawing>
          <wp:inline distT="0" distB="0" distL="0" distR="0" wp14:anchorId="156084A8" wp14:editId="426DFFCC">
            <wp:extent cx="5943600" cy="3809365"/>
            <wp:effectExtent l="0" t="0" r="0" b="635"/>
            <wp:docPr id="662963779" name="Picture 1"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63779" name="Picture 1" descr="A diagram of a program&#10;&#10;Description automatically generated"/>
                    <pic:cNvPicPr/>
                  </pic:nvPicPr>
                  <pic:blipFill>
                    <a:blip r:embed="rId13"/>
                    <a:stretch>
                      <a:fillRect/>
                    </a:stretch>
                  </pic:blipFill>
                  <pic:spPr>
                    <a:xfrm>
                      <a:off x="0" y="0"/>
                      <a:ext cx="5943600" cy="3809365"/>
                    </a:xfrm>
                    <a:prstGeom prst="rect">
                      <a:avLst/>
                    </a:prstGeom>
                  </pic:spPr>
                </pic:pic>
              </a:graphicData>
            </a:graphic>
          </wp:inline>
        </w:drawing>
      </w:r>
    </w:p>
    <w:p w14:paraId="1A010CE2" w14:textId="6FA49632" w:rsidR="00BD4397" w:rsidRDefault="00BD4397" w:rsidP="005F49A1">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rsidRPr="00A22340">
        <w:t xml:space="preserve">: </w:t>
      </w:r>
      <w:r>
        <w:t>MSSR Process Flow Chart</w:t>
      </w:r>
    </w:p>
    <w:p w14:paraId="2E12FF01" w14:textId="77777777" w:rsidR="00BD4397" w:rsidRPr="003E076E" w:rsidRDefault="00BD4397" w:rsidP="003E076E">
      <w:pPr>
        <w:autoSpaceDE w:val="0"/>
        <w:autoSpaceDN w:val="0"/>
        <w:adjustRightInd w:val="0"/>
        <w:spacing w:before="0" w:line="240" w:lineRule="auto"/>
        <w:rPr>
          <w:rFonts w:cs="Arial"/>
          <w:lang w:val="en-US"/>
        </w:rPr>
      </w:pPr>
    </w:p>
    <w:p w14:paraId="08FF3EA6" w14:textId="34834AB3" w:rsidR="00C5222B" w:rsidRPr="003E076E" w:rsidRDefault="001E1358" w:rsidP="003C394D">
      <w:pPr>
        <w:pStyle w:val="Heading2"/>
        <w:numPr>
          <w:ilvl w:val="0"/>
          <w:numId w:val="26"/>
        </w:numPr>
      </w:pPr>
      <w:bookmarkStart w:id="102" w:name="_Toc172060998"/>
      <w:bookmarkStart w:id="103" w:name="_Toc172062780"/>
      <w:bookmarkStart w:id="104" w:name="_Toc174365045"/>
      <w:bookmarkEnd w:id="102"/>
      <w:bookmarkEnd w:id="103"/>
      <w:r w:rsidRPr="003E076E">
        <w:t>Incentive Tables, Workpapers, Software Tools</w:t>
      </w:r>
      <w:bookmarkEnd w:id="104"/>
    </w:p>
    <w:p w14:paraId="4313289E" w14:textId="2A0FA141" w:rsidR="00C5222B" w:rsidRDefault="005B317E" w:rsidP="7B0EED14">
      <w:pPr>
        <w:widowControl w:val="0"/>
        <w:tabs>
          <w:tab w:val="left" w:pos="1041"/>
        </w:tabs>
        <w:spacing w:before="0" w:line="240" w:lineRule="auto"/>
        <w:rPr>
          <w:rFonts w:cs="Arial"/>
          <w:lang w:val="en-US"/>
        </w:rPr>
      </w:pPr>
      <w:r>
        <w:rPr>
          <w:rFonts w:cs="Arial"/>
          <w:lang w:val="en-US"/>
        </w:rPr>
        <w:t>MSSR</w:t>
      </w:r>
      <w:r w:rsidR="001E1358" w:rsidRPr="7B0EED14">
        <w:rPr>
          <w:rFonts w:cs="Arial"/>
          <w:lang w:val="en-US"/>
        </w:rPr>
        <w:t xml:space="preserve"> is a</w:t>
      </w:r>
      <w:r w:rsidR="00871574">
        <w:rPr>
          <w:rFonts w:cs="Arial"/>
          <w:lang w:val="en-US"/>
        </w:rPr>
        <w:t>n</w:t>
      </w:r>
      <w:r w:rsidR="001E1358" w:rsidRPr="7B0EED14">
        <w:rPr>
          <w:rFonts w:cs="Arial"/>
          <w:lang w:val="en-US"/>
        </w:rPr>
        <w:t xml:space="preserve"> </w:t>
      </w:r>
      <w:r w:rsidR="00871574">
        <w:rPr>
          <w:rFonts w:cs="Arial"/>
          <w:lang w:val="en-US"/>
        </w:rPr>
        <w:t>N</w:t>
      </w:r>
      <w:r w:rsidR="001E1358" w:rsidRPr="7B0EED14">
        <w:rPr>
          <w:rFonts w:cs="Arial"/>
          <w:lang w:val="en-US"/>
        </w:rPr>
        <w:t xml:space="preserve">MEC program and does not have fixed measures or incentives. Workpapers are not part of the program plan. The M&amp;V plan </w:t>
      </w:r>
      <w:r w:rsidR="00B7323D">
        <w:rPr>
          <w:rFonts w:cs="Arial"/>
          <w:lang w:val="en-US"/>
        </w:rPr>
        <w:t>within the PMP</w:t>
      </w:r>
      <w:r w:rsidR="001E1358" w:rsidRPr="7B0EED14">
        <w:rPr>
          <w:rFonts w:cs="Arial"/>
          <w:lang w:val="en-US"/>
        </w:rPr>
        <w:t xml:space="preserve"> describes the approach and associated software tools for calculating actual payable and claimable savings.  </w:t>
      </w:r>
    </w:p>
    <w:p w14:paraId="3E8F04A8" w14:textId="5BC445BB" w:rsidR="00C5222B" w:rsidRPr="003E076E" w:rsidRDefault="0077463D" w:rsidP="00B54114">
      <w:pPr>
        <w:spacing w:after="120"/>
        <w:rPr>
          <w:rFonts w:cs="Arial"/>
        </w:rPr>
      </w:pPr>
      <w:r>
        <w:rPr>
          <w:rFonts w:eastAsia="Times New Roman" w:cs="Arial"/>
          <w:lang w:val="en-US" w:eastAsia="x-none"/>
        </w:rPr>
        <w:t>The AESC Team</w:t>
      </w:r>
      <w:r w:rsidRPr="005F49A1">
        <w:rPr>
          <w:rFonts w:eastAsia="Times New Roman" w:cs="Arial"/>
          <w:lang w:val="en-US" w:eastAsia="x-none"/>
        </w:rPr>
        <w:t xml:space="preserve"> will provide tools to check eligibility, estimate benefits and incentives, perform M&amp;V, and track project</w:t>
      </w:r>
      <w:r>
        <w:rPr>
          <w:rFonts w:eastAsia="Times New Roman" w:cs="Arial"/>
          <w:lang w:val="en-US" w:eastAsia="x-none"/>
        </w:rPr>
        <w:t xml:space="preserve"> </w:t>
      </w:r>
      <w:r w:rsidRPr="005F49A1">
        <w:rPr>
          <w:rFonts w:eastAsia="Times New Roman" w:cs="Arial"/>
          <w:lang w:val="en-US" w:eastAsia="x-none"/>
        </w:rPr>
        <w:t>s</w:t>
      </w:r>
      <w:r>
        <w:rPr>
          <w:rFonts w:eastAsia="Times New Roman" w:cs="Arial"/>
          <w:lang w:val="en-US" w:eastAsia="x-none"/>
        </w:rPr>
        <w:t xml:space="preserve">avings </w:t>
      </w:r>
      <w:r w:rsidRPr="005F49A1">
        <w:rPr>
          <w:rFonts w:eastAsia="Times New Roman" w:cs="Arial"/>
          <w:lang w:val="en-US" w:eastAsia="x-none"/>
        </w:rPr>
        <w:t xml:space="preserve">and incentives. </w:t>
      </w:r>
      <w:r>
        <w:rPr>
          <w:rFonts w:eastAsia="Times New Roman" w:cs="Arial"/>
          <w:lang w:val="en-US" w:eastAsia="x-none"/>
        </w:rPr>
        <w:t>Refer to the PMP for more information.</w:t>
      </w:r>
    </w:p>
    <w:p w14:paraId="2381C14D" w14:textId="32BE669D" w:rsidR="00773AC5" w:rsidRPr="005F49A1" w:rsidRDefault="00071AEF" w:rsidP="003E076E">
      <w:pPr>
        <w:widowControl w:val="0"/>
        <w:tabs>
          <w:tab w:val="left" w:pos="1041"/>
        </w:tabs>
        <w:spacing w:before="0" w:line="240" w:lineRule="auto"/>
        <w:rPr>
          <w:rFonts w:cs="Arial"/>
          <w:lang w:val="en-US"/>
        </w:rPr>
      </w:pPr>
      <w:r w:rsidRPr="005F49A1">
        <w:rPr>
          <w:rFonts w:cs="Arial"/>
          <w:lang w:val="en-US"/>
        </w:rPr>
        <w:t xml:space="preserve">Upon project </w:t>
      </w:r>
      <w:r w:rsidRPr="0077463D">
        <w:rPr>
          <w:rFonts w:cs="Arial"/>
          <w:lang w:val="en-US"/>
        </w:rPr>
        <w:t xml:space="preserve">completion and final approval, all meter-based energy and demand savings will be measured, tracked, and recorded in </w:t>
      </w:r>
      <w:r w:rsidR="00072204">
        <w:rPr>
          <w:rFonts w:cs="Arial"/>
          <w:lang w:val="en-US"/>
        </w:rPr>
        <w:t xml:space="preserve">AESC’s software platform, </w:t>
      </w:r>
      <w:r w:rsidRPr="00B92B5D">
        <w:rPr>
          <w:rFonts w:cs="Arial"/>
          <w:lang w:val="en-US"/>
        </w:rPr>
        <w:t>Praxis. Measured savings and the basis of payable savings use</w:t>
      </w:r>
      <w:r w:rsidR="00CA01C0">
        <w:rPr>
          <w:rFonts w:cs="Arial"/>
          <w:lang w:val="en-US"/>
        </w:rPr>
        <w:t>s</w:t>
      </w:r>
      <w:r w:rsidRPr="00B92B5D">
        <w:rPr>
          <w:rFonts w:cs="Arial"/>
          <w:lang w:val="en-US"/>
        </w:rPr>
        <w:t xml:space="preserve"> </w:t>
      </w:r>
      <w:r w:rsidR="00897F7E" w:rsidRPr="00897F7E">
        <w:rPr>
          <w:rFonts w:cs="Arial"/>
          <w:lang w:val="en-US"/>
        </w:rPr>
        <w:t>whole</w:t>
      </w:r>
      <w:r w:rsidRPr="00B92B5D">
        <w:rPr>
          <w:rFonts w:cs="Arial"/>
          <w:lang w:val="en-US"/>
        </w:rPr>
        <w:t xml:space="preserve"> building International Performance Measurement and Verification Protocol (IPMVP) Option C methods to calculate Avoided Energy Use. Praxis will be used for all regression modeling, tracking, and reporting of kW, kWh, and </w:t>
      </w:r>
      <w:proofErr w:type="spellStart"/>
      <w:r w:rsidRPr="00B92B5D">
        <w:rPr>
          <w:rFonts w:cs="Arial"/>
          <w:lang w:val="en-US"/>
        </w:rPr>
        <w:t>therm</w:t>
      </w:r>
      <w:proofErr w:type="spellEnd"/>
      <w:r w:rsidRPr="00B92B5D">
        <w:rPr>
          <w:rFonts w:cs="Arial"/>
          <w:lang w:val="en-US"/>
        </w:rPr>
        <w:t xml:space="preserve"> impacts for Pop-NMEC and Site-NMEC projects. In both meter-based approaches, Praxis will analyze and assess multiple models to identify the best fit,</w:t>
      </w:r>
      <w:r w:rsidRPr="005F49A1">
        <w:t xml:space="preserve"> but</w:t>
      </w:r>
      <w:r w:rsidRPr="005F49A1">
        <w:rPr>
          <w:rFonts w:cs="Arial"/>
          <w:lang w:val="en-US"/>
        </w:rPr>
        <w:t xml:space="preserve"> the approach will vary between the two paths. </w:t>
      </w:r>
      <w:r w:rsidR="00773AC5">
        <w:rPr>
          <w:rFonts w:cs="Arial"/>
          <w:lang w:val="en-US"/>
        </w:rPr>
        <w:t xml:space="preserve">The M&amp;V Plan within the PMP provides </w:t>
      </w:r>
      <w:r w:rsidR="00290AFC">
        <w:rPr>
          <w:rFonts w:cs="Arial"/>
          <w:lang w:val="en-US"/>
        </w:rPr>
        <w:t>details</w:t>
      </w:r>
      <w:r w:rsidR="002E2197">
        <w:rPr>
          <w:rFonts w:cs="Arial"/>
          <w:lang w:val="en-US"/>
        </w:rPr>
        <w:t xml:space="preserve"> on</w:t>
      </w:r>
      <w:r w:rsidR="00E32036">
        <w:rPr>
          <w:rFonts w:cs="Arial"/>
          <w:lang w:val="en-US"/>
        </w:rPr>
        <w:t xml:space="preserve"> </w:t>
      </w:r>
      <w:r w:rsidR="001C6DB3">
        <w:rPr>
          <w:rFonts w:cs="Arial"/>
          <w:lang w:val="en-US"/>
        </w:rPr>
        <w:t>M&amp;V calculation and approach</w:t>
      </w:r>
      <w:r w:rsidR="008248FB">
        <w:rPr>
          <w:rFonts w:cs="Arial"/>
          <w:lang w:val="en-US"/>
        </w:rPr>
        <w:t>.</w:t>
      </w:r>
    </w:p>
    <w:p w14:paraId="0F7CC0CE" w14:textId="77777777" w:rsidR="003E076E" w:rsidRPr="003E076E" w:rsidRDefault="003E076E" w:rsidP="003E076E">
      <w:pPr>
        <w:widowControl w:val="0"/>
        <w:tabs>
          <w:tab w:val="left" w:pos="1041"/>
        </w:tabs>
        <w:spacing w:before="0" w:line="240" w:lineRule="auto"/>
        <w:rPr>
          <w:rFonts w:cs="Arial"/>
        </w:rPr>
      </w:pPr>
    </w:p>
    <w:p w14:paraId="5AF94A26" w14:textId="21D0B5C5" w:rsidR="00C5222B" w:rsidRPr="003E076E" w:rsidRDefault="001E1358" w:rsidP="003C394D">
      <w:pPr>
        <w:pStyle w:val="Heading2"/>
        <w:numPr>
          <w:ilvl w:val="0"/>
          <w:numId w:val="26"/>
        </w:numPr>
      </w:pPr>
      <w:bookmarkStart w:id="105" w:name="_Toc174365046"/>
      <w:r w:rsidRPr="003E076E">
        <w:lastRenderedPageBreak/>
        <w:t>Diagram of Program</w:t>
      </w:r>
      <w:bookmarkEnd w:id="105"/>
    </w:p>
    <w:p w14:paraId="4672E667" w14:textId="146E9FC1" w:rsidR="00A03217" w:rsidRPr="00A03217" w:rsidRDefault="00A03217" w:rsidP="00A03217">
      <w:pPr>
        <w:spacing w:before="0" w:line="240" w:lineRule="auto"/>
        <w:contextualSpacing/>
        <w:jc w:val="right"/>
        <w:rPr>
          <w:rFonts w:ascii="Times New Roman" w:hAnsi="Times New Roman" w:cs="Times New Roman"/>
          <w:sz w:val="16"/>
          <w:szCs w:val="16"/>
          <w:lang w:val="en-US"/>
        </w:rPr>
      </w:pPr>
    </w:p>
    <w:p w14:paraId="2B6B2025" w14:textId="08759AEB" w:rsidR="00F967FC" w:rsidRPr="00AF4E18" w:rsidRDefault="007414A5" w:rsidP="00AF4E18">
      <w:pPr>
        <w:widowControl w:val="0"/>
        <w:tabs>
          <w:tab w:val="left" w:pos="1041"/>
        </w:tabs>
        <w:spacing w:before="0" w:line="240" w:lineRule="auto"/>
        <w:rPr>
          <w:rFonts w:cs="Arial"/>
        </w:rPr>
      </w:pPr>
      <w:r w:rsidRPr="007414A5">
        <w:rPr>
          <w:rFonts w:cs="Arial"/>
          <w:noProof/>
        </w:rPr>
        <w:drawing>
          <wp:inline distT="0" distB="0" distL="0" distR="0" wp14:anchorId="7FA9309F" wp14:editId="4D261AA0">
            <wp:extent cx="5943600" cy="5076825"/>
            <wp:effectExtent l="0" t="0" r="0" b="9525"/>
            <wp:docPr id="349254771" name="Picture 1"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54771" name="Picture 1" descr="A diagram of a project&#10;&#10;Description automatically generated"/>
                    <pic:cNvPicPr/>
                  </pic:nvPicPr>
                  <pic:blipFill>
                    <a:blip r:embed="rId14"/>
                    <a:stretch>
                      <a:fillRect/>
                    </a:stretch>
                  </pic:blipFill>
                  <pic:spPr>
                    <a:xfrm>
                      <a:off x="0" y="0"/>
                      <a:ext cx="5943600" cy="5076825"/>
                    </a:xfrm>
                    <a:prstGeom prst="rect">
                      <a:avLst/>
                    </a:prstGeom>
                  </pic:spPr>
                </pic:pic>
              </a:graphicData>
            </a:graphic>
          </wp:inline>
        </w:drawing>
      </w:r>
    </w:p>
    <w:p w14:paraId="2AE34F38" w14:textId="65409B35" w:rsidR="00BD4397" w:rsidRDefault="00BD4397" w:rsidP="005F49A1">
      <w:pPr>
        <w:pStyle w:val="Caption"/>
        <w:jc w:val="center"/>
        <w:rPr>
          <w:rFonts w:cs="Arial"/>
        </w:rPr>
      </w:pPr>
      <w:r>
        <w:t xml:space="preserve">Figure </w:t>
      </w:r>
      <w:r>
        <w:fldChar w:fldCharType="begin"/>
      </w:r>
      <w:r>
        <w:instrText xml:space="preserve"> SEQ Figure \* ARABIC </w:instrText>
      </w:r>
      <w:r>
        <w:fldChar w:fldCharType="separate"/>
      </w:r>
      <w:r>
        <w:rPr>
          <w:noProof/>
        </w:rPr>
        <w:t>3</w:t>
      </w:r>
      <w:r>
        <w:fldChar w:fldCharType="end"/>
      </w:r>
      <w:r>
        <w:t>. MSSR Pr</w:t>
      </w:r>
      <w:r w:rsidR="00001A41">
        <w:t>ogram Diagram</w:t>
      </w:r>
    </w:p>
    <w:p w14:paraId="79D0C10F" w14:textId="77777777" w:rsidR="00BD4397" w:rsidRPr="00AF4E18" w:rsidRDefault="00BD4397" w:rsidP="00AF4E18">
      <w:pPr>
        <w:widowControl w:val="0"/>
        <w:tabs>
          <w:tab w:val="left" w:pos="1041"/>
        </w:tabs>
        <w:spacing w:before="0" w:line="240" w:lineRule="auto"/>
        <w:rPr>
          <w:rFonts w:cs="Arial"/>
        </w:rPr>
      </w:pPr>
    </w:p>
    <w:p w14:paraId="64A4194A" w14:textId="77777777" w:rsidR="00C5222B" w:rsidRPr="003E076E" w:rsidRDefault="001E1358" w:rsidP="003C394D">
      <w:pPr>
        <w:pStyle w:val="Heading2"/>
        <w:numPr>
          <w:ilvl w:val="0"/>
          <w:numId w:val="26"/>
        </w:numPr>
      </w:pPr>
      <w:bookmarkStart w:id="106" w:name="_Toc174365047"/>
      <w:r w:rsidRPr="003E076E">
        <w:t>Evaluation, Measurement &amp; Verification (EM&amp;V)</w:t>
      </w:r>
      <w:bookmarkEnd w:id="106"/>
    </w:p>
    <w:p w14:paraId="066B05CD" w14:textId="71362754" w:rsidR="00C5222B" w:rsidRPr="00AF4E18" w:rsidRDefault="006C54CA" w:rsidP="3AB6A278">
      <w:pPr>
        <w:widowControl w:val="0"/>
        <w:tabs>
          <w:tab w:val="left" w:pos="1041"/>
        </w:tabs>
        <w:spacing w:before="0" w:line="240" w:lineRule="auto"/>
        <w:rPr>
          <w:rFonts w:cs="Arial"/>
          <w:lang w:val="en-US"/>
        </w:rPr>
      </w:pPr>
      <w:r w:rsidRPr="3AB6A278">
        <w:rPr>
          <w:rFonts w:cs="Arial"/>
          <w:lang w:val="en-US"/>
        </w:rPr>
        <w:t xml:space="preserve">As requested, </w:t>
      </w:r>
      <w:r w:rsidR="00FB5F89" w:rsidRPr="3AB6A278">
        <w:rPr>
          <w:rFonts w:cs="Arial"/>
          <w:lang w:val="en-US"/>
        </w:rPr>
        <w:t xml:space="preserve">AESC will support </w:t>
      </w:r>
      <w:r w:rsidR="008A4593" w:rsidRPr="3AB6A278">
        <w:rPr>
          <w:rFonts w:cs="Arial"/>
          <w:lang w:val="en-US"/>
        </w:rPr>
        <w:t xml:space="preserve">EM&amp;V </w:t>
      </w:r>
      <w:r w:rsidR="001E1358" w:rsidRPr="3AB6A278">
        <w:rPr>
          <w:rFonts w:cs="Arial"/>
          <w:lang w:val="en-US"/>
        </w:rPr>
        <w:t>or other evaluation effort</w:t>
      </w:r>
      <w:r w:rsidR="00BD2244" w:rsidRPr="3AB6A278">
        <w:rPr>
          <w:rFonts w:cs="Arial"/>
          <w:lang w:val="en-US"/>
        </w:rPr>
        <w:t>s</w:t>
      </w:r>
      <w:r w:rsidR="001E1358" w:rsidRPr="3AB6A278">
        <w:rPr>
          <w:rFonts w:cs="Arial"/>
          <w:lang w:val="en-US"/>
        </w:rPr>
        <w:t xml:space="preserve">. </w:t>
      </w:r>
      <w:r w:rsidR="0872004D" w:rsidRPr="3AB6A278">
        <w:rPr>
          <w:rFonts w:cs="Arial"/>
          <w:lang w:val="en-US"/>
        </w:rPr>
        <w:t>The M&amp;V Plan within the PMP provides detail on M&amp;V calculation and approach.</w:t>
      </w:r>
    </w:p>
    <w:p w14:paraId="52CA3BC0" w14:textId="77777777" w:rsidR="00C5222B" w:rsidRPr="00D11602" w:rsidRDefault="00C5222B" w:rsidP="00D11602">
      <w:pPr>
        <w:widowControl w:val="0"/>
        <w:spacing w:before="0" w:line="240" w:lineRule="auto"/>
        <w:rPr>
          <w:color w:val="3C4043"/>
          <w:highlight w:val="white"/>
        </w:rPr>
      </w:pPr>
    </w:p>
    <w:p w14:paraId="33630A05" w14:textId="77777777" w:rsidR="00C5222B" w:rsidRPr="003E076E" w:rsidRDefault="001E1358" w:rsidP="003C394D">
      <w:pPr>
        <w:pStyle w:val="Heading2"/>
        <w:numPr>
          <w:ilvl w:val="0"/>
          <w:numId w:val="26"/>
        </w:numPr>
      </w:pPr>
      <w:bookmarkStart w:id="107" w:name="_Toc174365048"/>
      <w:r w:rsidRPr="003E076E">
        <w:t>Normalized Metered Energy Consumption (NMEC)</w:t>
      </w:r>
      <w:bookmarkEnd w:id="107"/>
    </w:p>
    <w:p w14:paraId="7984306A" w14:textId="79F978E4" w:rsidR="00C5222B" w:rsidRPr="00AF4E18" w:rsidRDefault="005B317E" w:rsidP="00AF4E18">
      <w:pPr>
        <w:widowControl w:val="0"/>
        <w:tabs>
          <w:tab w:val="left" w:pos="1041"/>
        </w:tabs>
        <w:spacing w:before="0" w:line="240" w:lineRule="auto"/>
        <w:rPr>
          <w:rFonts w:cs="Arial"/>
        </w:rPr>
      </w:pPr>
      <w:r>
        <w:rPr>
          <w:rFonts w:cs="Arial"/>
        </w:rPr>
        <w:t>MSSR</w:t>
      </w:r>
      <w:r w:rsidR="00473CBF">
        <w:rPr>
          <w:rFonts w:cs="Arial"/>
        </w:rPr>
        <w:t xml:space="preserve"> </w:t>
      </w:r>
      <w:r w:rsidR="001E1358" w:rsidRPr="00AF4E18">
        <w:rPr>
          <w:rFonts w:cs="Arial"/>
        </w:rPr>
        <w:t xml:space="preserve">NMEC M&amp;V Plan is provided </w:t>
      </w:r>
      <w:r w:rsidR="00707B85">
        <w:rPr>
          <w:rFonts w:cs="Arial"/>
        </w:rPr>
        <w:t>within the attached PMP</w:t>
      </w:r>
      <w:r w:rsidR="001E1358" w:rsidRPr="00AF4E18">
        <w:rPr>
          <w:rFonts w:cs="Arial"/>
        </w:rPr>
        <w:t>.</w:t>
      </w:r>
    </w:p>
    <w:p w14:paraId="5F42411A" w14:textId="65798D9A" w:rsidR="00C5222B" w:rsidRPr="00AF4E18" w:rsidRDefault="00C5222B" w:rsidP="00AF4E18">
      <w:pPr>
        <w:widowControl w:val="0"/>
        <w:tabs>
          <w:tab w:val="left" w:pos="1041"/>
        </w:tabs>
        <w:spacing w:before="0" w:line="240" w:lineRule="auto"/>
        <w:rPr>
          <w:rFonts w:cs="Arial"/>
        </w:rPr>
      </w:pPr>
    </w:p>
    <w:sectPr w:rsidR="00C5222B" w:rsidRPr="00AF4E18" w:rsidSect="002100B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B8D0" w14:textId="77777777" w:rsidR="00171D31" w:rsidRDefault="00171D31">
      <w:pPr>
        <w:spacing w:before="0" w:line="240" w:lineRule="auto"/>
      </w:pPr>
      <w:r>
        <w:separator/>
      </w:r>
    </w:p>
  </w:endnote>
  <w:endnote w:type="continuationSeparator" w:id="0">
    <w:p w14:paraId="44903947" w14:textId="77777777" w:rsidR="00171D31" w:rsidRDefault="00171D31">
      <w:pPr>
        <w:spacing w:before="0" w:line="240" w:lineRule="auto"/>
      </w:pPr>
      <w:r>
        <w:continuationSeparator/>
      </w:r>
    </w:p>
  </w:endnote>
  <w:endnote w:type="continuationNotice" w:id="1">
    <w:p w14:paraId="45AFC0F9" w14:textId="77777777" w:rsidR="00171D31" w:rsidRDefault="00171D3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ven Pro">
    <w:altName w:val="Calibri"/>
    <w:charset w:val="00"/>
    <w:family w:val="auto"/>
    <w:pitch w:val="variable"/>
    <w:sig w:usb0="A00000FF" w:usb1="5000205B" w:usb2="00000000" w:usb3="00000000" w:csb0="00000193"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8B784" w14:textId="77777777" w:rsidR="005307FD" w:rsidRDefault="00530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048487"/>
      <w:docPartObj>
        <w:docPartGallery w:val="Page Numbers (Bottom of Page)"/>
        <w:docPartUnique/>
      </w:docPartObj>
    </w:sdtPr>
    <w:sdtEndPr>
      <w:rPr>
        <w:rFonts w:cs="Arial"/>
        <w:noProof/>
      </w:rPr>
    </w:sdtEndPr>
    <w:sdtContent>
      <w:p w14:paraId="17C677E8" w14:textId="189F8834" w:rsidR="00F16EB7" w:rsidRPr="00CA198B" w:rsidRDefault="004563AA">
        <w:pPr>
          <w:pStyle w:val="Footer"/>
          <w:jc w:val="right"/>
          <w:rPr>
            <w:rFonts w:cs="Arial"/>
          </w:rPr>
        </w:pPr>
        <w:r>
          <w:rPr>
            <w:rFonts w:cs="Arial"/>
            <w:noProof/>
          </w:rPr>
          <w:drawing>
            <wp:anchor distT="0" distB="0" distL="114300" distR="114300" simplePos="0" relativeHeight="251658240" behindDoc="1" locked="0" layoutInCell="1" allowOverlap="1" wp14:anchorId="6FEBAB69" wp14:editId="082FFD36">
              <wp:simplePos x="0" y="0"/>
              <wp:positionH relativeFrom="column">
                <wp:posOffset>-361950</wp:posOffset>
              </wp:positionH>
              <wp:positionV relativeFrom="paragraph">
                <wp:posOffset>-95885</wp:posOffset>
              </wp:positionV>
              <wp:extent cx="1032510" cy="314325"/>
              <wp:effectExtent l="0" t="0" r="0" b="9525"/>
              <wp:wrapNone/>
              <wp:docPr id="745551827"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51827" name="Picture 1" descr="A black and grey logo&#10;&#10;Description automatically generated"/>
                      <pic:cNvPicPr/>
                    </pic:nvPicPr>
                    <pic:blipFill rotWithShape="1">
                      <a:blip r:embed="rId1">
                        <a:extLst>
                          <a:ext uri="{28A0092B-C50C-407E-A947-70E740481C1C}">
                            <a14:useLocalDpi xmlns:a14="http://schemas.microsoft.com/office/drawing/2010/main" val="0"/>
                          </a:ext>
                        </a:extLst>
                      </a:blip>
                      <a:srcRect b="16479"/>
                      <a:stretch/>
                    </pic:blipFill>
                    <pic:spPr bwMode="auto">
                      <a:xfrm>
                        <a:off x="0" y="0"/>
                        <a:ext cx="103251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noProof/>
          </w:rPr>
          <mc:AlternateContent>
            <mc:Choice Requires="wps">
              <w:drawing>
                <wp:anchor distT="0" distB="0" distL="114300" distR="114300" simplePos="0" relativeHeight="251658241" behindDoc="0" locked="0" layoutInCell="1" allowOverlap="1" wp14:anchorId="306228FD" wp14:editId="12BE986B">
                  <wp:simplePos x="0" y="0"/>
                  <wp:positionH relativeFrom="column">
                    <wp:posOffset>-361951</wp:posOffset>
                  </wp:positionH>
                  <wp:positionV relativeFrom="paragraph">
                    <wp:posOffset>-276860</wp:posOffset>
                  </wp:positionV>
                  <wp:extent cx="6372225" cy="0"/>
                  <wp:effectExtent l="0" t="0" r="0" b="0"/>
                  <wp:wrapNone/>
                  <wp:docPr id="1300576462" name="Straight Connector 2"/>
                  <wp:cNvGraphicFramePr/>
                  <a:graphic xmlns:a="http://schemas.openxmlformats.org/drawingml/2006/main">
                    <a:graphicData uri="http://schemas.microsoft.com/office/word/2010/wordprocessingShape">
                      <wps:wsp>
                        <wps:cNvCnPr/>
                        <wps:spPr>
                          <a:xfrm>
                            <a:off x="0" y="0"/>
                            <a:ext cx="6372225" cy="0"/>
                          </a:xfrm>
                          <a:prstGeom prst="line">
                            <a:avLst/>
                          </a:prstGeom>
                          <a:ln w="3175">
                            <a:solidFill>
                              <a:srgbClr val="082B37"/>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C65CBF7"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8.5pt,-21.8pt" to="473.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" strokecolor="#082b37" strokeweight=".25pt"/>
              </w:pict>
            </mc:Fallback>
          </mc:AlternateContent>
        </w:r>
        <w:r w:rsidR="00D72A18">
          <w:t>MSSR</w:t>
        </w:r>
        <w:r w:rsidR="00AF79E9">
          <w:t xml:space="preserve"> Implementation Plan   </w:t>
        </w:r>
        <w:r w:rsidR="00F16EB7" w:rsidRPr="00AF79E9">
          <w:rPr>
            <w:rFonts w:cs="Arial"/>
            <w:b/>
          </w:rPr>
          <w:fldChar w:fldCharType="begin"/>
        </w:r>
        <w:r w:rsidR="00F16EB7" w:rsidRPr="00AF79E9">
          <w:rPr>
            <w:rFonts w:cs="Arial"/>
            <w:b/>
          </w:rPr>
          <w:instrText xml:space="preserve"> PAGE   \* MERGEFORMAT </w:instrText>
        </w:r>
        <w:r w:rsidR="00F16EB7" w:rsidRPr="00AF79E9">
          <w:rPr>
            <w:rFonts w:cs="Arial"/>
            <w:b/>
          </w:rPr>
          <w:fldChar w:fldCharType="separate"/>
        </w:r>
        <w:r w:rsidR="00F16EB7" w:rsidRPr="00AF79E9">
          <w:rPr>
            <w:rFonts w:cs="Arial"/>
            <w:b/>
          </w:rPr>
          <w:t>2</w:t>
        </w:r>
        <w:r w:rsidR="00F16EB7" w:rsidRPr="00AF79E9">
          <w:rPr>
            <w:rFonts w:cs="Arial"/>
            <w:b/>
          </w:rPr>
          <w:fldChar w:fldCharType="end"/>
        </w:r>
      </w:p>
    </w:sdtContent>
  </w:sdt>
  <w:p w14:paraId="6CD0BD3F" w14:textId="77777777" w:rsidR="00F16EB7" w:rsidRDefault="00F16E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3964" w14:textId="77777777" w:rsidR="005307FD" w:rsidRDefault="00530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18C40" w14:textId="77777777" w:rsidR="00171D31" w:rsidRDefault="00171D31">
      <w:pPr>
        <w:spacing w:before="0" w:line="240" w:lineRule="auto"/>
      </w:pPr>
      <w:r>
        <w:separator/>
      </w:r>
    </w:p>
  </w:footnote>
  <w:footnote w:type="continuationSeparator" w:id="0">
    <w:p w14:paraId="5CF40700" w14:textId="77777777" w:rsidR="00171D31" w:rsidRDefault="00171D31">
      <w:pPr>
        <w:spacing w:before="0" w:line="240" w:lineRule="auto"/>
      </w:pPr>
      <w:r>
        <w:continuationSeparator/>
      </w:r>
    </w:p>
  </w:footnote>
  <w:footnote w:type="continuationNotice" w:id="1">
    <w:p w14:paraId="37508111" w14:textId="77777777" w:rsidR="00171D31" w:rsidRDefault="00171D31">
      <w:pPr>
        <w:spacing w:before="0" w:line="240" w:lineRule="auto"/>
      </w:pPr>
    </w:p>
  </w:footnote>
  <w:footnote w:id="2">
    <w:p w14:paraId="09C133FB" w14:textId="4CE8F00B" w:rsidR="00EA616A" w:rsidRPr="00B54114" w:rsidRDefault="00EA616A">
      <w:pPr>
        <w:pStyle w:val="FootnoteText"/>
        <w:rPr>
          <w:lang w:val="en-US"/>
        </w:rPr>
      </w:pPr>
      <w:r>
        <w:rPr>
          <w:rStyle w:val="FootnoteReference"/>
        </w:rPr>
        <w:footnoteRef/>
      </w:r>
      <w:r>
        <w:t xml:space="preserve"> </w:t>
      </w:r>
      <w:r>
        <w:rPr>
          <w:lang w:val="en-US"/>
        </w:rPr>
        <w:t xml:space="preserve">Residential </w:t>
      </w:r>
      <w:r w:rsidR="009321EE">
        <w:rPr>
          <w:lang w:val="en-US"/>
        </w:rPr>
        <w:t>su</w:t>
      </w:r>
      <w:r w:rsidR="00F334B7">
        <w:rPr>
          <w:lang w:val="en-US"/>
        </w:rPr>
        <w:t>b-program</w:t>
      </w:r>
      <w:r w:rsidR="00D56CDE">
        <w:rPr>
          <w:lang w:val="en-US"/>
        </w:rPr>
        <w:t xml:space="preserve"> will launch</w:t>
      </w:r>
      <w:r w:rsidR="00F334B7">
        <w:rPr>
          <w:lang w:val="en-US"/>
        </w:rPr>
        <w:t xml:space="preserve"> after the launch of</w:t>
      </w:r>
      <w:r w:rsidR="009321EE">
        <w:rPr>
          <w:lang w:val="en-US"/>
        </w:rPr>
        <w:t xml:space="preserve"> the Commercial sub</w:t>
      </w:r>
      <w:r w:rsidR="000A579F">
        <w:rPr>
          <w:lang w:val="en-US"/>
        </w:rPr>
        <w:t>-</w:t>
      </w:r>
      <w:r w:rsidR="009321EE">
        <w:rPr>
          <w:lang w:val="en-US"/>
        </w:rPr>
        <w:t>program</w:t>
      </w:r>
      <w:r w:rsidR="00751589">
        <w:rPr>
          <w:lang w:val="en-US"/>
        </w:rPr>
        <w:t>.  An Implementation Plan and Program Management Plan addendum</w:t>
      </w:r>
      <w:r w:rsidR="005A141C">
        <w:rPr>
          <w:lang w:val="en-US"/>
        </w:rPr>
        <w:t xml:space="preserve"> will be developed during Launch Readiness of the Residential Sub</w:t>
      </w:r>
      <w:r w:rsidR="00D56CDE">
        <w:rPr>
          <w:lang w:val="en-US"/>
        </w:rPr>
        <w:t>-</w:t>
      </w:r>
      <w:r w:rsidR="005A141C">
        <w:rPr>
          <w:lang w:val="en-US"/>
        </w:rPr>
        <w:t>program.</w:t>
      </w:r>
      <w:r w:rsidR="00504274">
        <w:rPr>
          <w:lang w:val="en-US"/>
        </w:rPr>
        <w:t xml:space="preserve">  Sub</w:t>
      </w:r>
      <w:r w:rsidR="00D56CDE">
        <w:rPr>
          <w:lang w:val="en-US"/>
        </w:rPr>
        <w:t>-</w:t>
      </w:r>
      <w:r w:rsidR="00504274">
        <w:rPr>
          <w:lang w:val="en-US"/>
        </w:rPr>
        <w:t>program will be added to CEDARS at that time.</w:t>
      </w:r>
    </w:p>
  </w:footnote>
  <w:footnote w:id="3">
    <w:p w14:paraId="53C6ACEC" w14:textId="77777777" w:rsidR="00441446" w:rsidRPr="006912FD" w:rsidRDefault="00441446" w:rsidP="00441446">
      <w:pPr>
        <w:pStyle w:val="FootnoteText"/>
        <w:rPr>
          <w:lang w:val="en-US"/>
        </w:rPr>
      </w:pPr>
      <w:r>
        <w:rPr>
          <w:rStyle w:val="FootnoteReference"/>
        </w:rPr>
        <w:footnoteRef/>
      </w:r>
      <w:r>
        <w:t xml:space="preserve"> </w:t>
      </w:r>
      <w:r>
        <w:rPr>
          <w:lang w:val="en-US"/>
        </w:rPr>
        <w:t>Inclusive of both incentives that go to the Customer and the Aggregator</w:t>
      </w:r>
    </w:p>
  </w:footnote>
  <w:footnote w:id="4">
    <w:p w14:paraId="11E6E951" w14:textId="77777777" w:rsidR="001162AA" w:rsidRPr="007939F9" w:rsidRDefault="001162AA" w:rsidP="001162AA">
      <w:pPr>
        <w:pStyle w:val="FootnoteText"/>
        <w:rPr>
          <w:lang w:val="en-US"/>
        </w:rPr>
      </w:pPr>
      <w:r>
        <w:rPr>
          <w:rStyle w:val="FootnoteReference"/>
        </w:rPr>
        <w:footnoteRef/>
      </w:r>
      <w:r>
        <w:t xml:space="preserve"> Lifecycle Summer Peak kW Savings = </w:t>
      </w:r>
      <w:r w:rsidRPr="00661FCC">
        <w:t>EUL* Summer Peak kW, where Summer Peak kW is during the summer peak period of 4 p.m. to 9 p.m., June 1 and September 30.</w:t>
      </w:r>
    </w:p>
  </w:footnote>
  <w:footnote w:id="5">
    <w:p w14:paraId="5BF712EA" w14:textId="60239E9C" w:rsidR="005C24CB" w:rsidRPr="00B54114" w:rsidRDefault="005C24CB">
      <w:pPr>
        <w:pStyle w:val="FootnoteText"/>
        <w:rPr>
          <w:lang w:val="en-US"/>
        </w:rPr>
      </w:pPr>
      <w:r>
        <w:rPr>
          <w:rStyle w:val="FootnoteReference"/>
        </w:rPr>
        <w:footnoteRef/>
      </w:r>
      <w:r>
        <w:t xml:space="preserve"> </w:t>
      </w:r>
      <w:r w:rsidR="003E3BD4">
        <w:t>T</w:t>
      </w:r>
      <w:r w:rsidR="003E3BD4" w:rsidRPr="003E3BD4">
        <w:t xml:space="preserve">he </w:t>
      </w:r>
      <w:r w:rsidR="00F73139">
        <w:t xml:space="preserve">PG&amp;E </w:t>
      </w:r>
      <w:r w:rsidR="003E3BD4" w:rsidRPr="003E3BD4">
        <w:t>Market Access Program was</w:t>
      </w:r>
      <w:r w:rsidR="000670D3">
        <w:t xml:space="preserve"> originally</w:t>
      </w:r>
      <w:r w:rsidR="003E3BD4" w:rsidRPr="003E3BD4">
        <w:t xml:space="preserve"> mandated by the Governor of California, beginning in 2022 and recently closed to new projects in Q1 2024</w:t>
      </w:r>
      <w:r w:rsidR="00FA00F8">
        <w:t xml:space="preserve"> (</w:t>
      </w:r>
      <w:r w:rsidR="003E3BD4" w:rsidRPr="003E3BD4">
        <w:t>all remaining M&amp;V will complete in Q2 2025).</w:t>
      </w:r>
    </w:p>
  </w:footnote>
  <w:footnote w:id="6">
    <w:p w14:paraId="40A49892" w14:textId="05912293" w:rsidR="002D4DD2" w:rsidRPr="00B92B5D" w:rsidRDefault="002D4DD2">
      <w:pPr>
        <w:pStyle w:val="FootnoteText"/>
        <w:rPr>
          <w:lang w:val="en-US"/>
        </w:rPr>
      </w:pPr>
      <w:r>
        <w:rPr>
          <w:rStyle w:val="FootnoteReference"/>
        </w:rPr>
        <w:footnoteRef/>
      </w:r>
      <w:r>
        <w:t xml:space="preserve"> </w:t>
      </w:r>
      <w:r w:rsidR="00D253EB">
        <w:t>Summer Peak is d</w:t>
      </w:r>
      <w:r>
        <w:rPr>
          <w:lang w:val="en-US"/>
        </w:rPr>
        <w:t xml:space="preserve">efined as </w:t>
      </w:r>
      <w:r w:rsidRPr="006528D0">
        <w:rPr>
          <w:rFonts w:cs="Arial"/>
          <w:lang w:val="en-US"/>
        </w:rPr>
        <w:t xml:space="preserve">June </w:t>
      </w:r>
      <w:r>
        <w:rPr>
          <w:rFonts w:cs="Arial"/>
          <w:lang w:val="en-US"/>
        </w:rPr>
        <w:t>through</w:t>
      </w:r>
      <w:r w:rsidRPr="006528D0">
        <w:rPr>
          <w:rFonts w:cs="Arial"/>
          <w:lang w:val="en-US"/>
        </w:rPr>
        <w:t xml:space="preserve"> Sept</w:t>
      </w:r>
      <w:r>
        <w:rPr>
          <w:rFonts w:cs="Arial"/>
          <w:lang w:val="en-US"/>
        </w:rPr>
        <w:t>, 4</w:t>
      </w:r>
      <w:r w:rsidR="00A806F3">
        <w:rPr>
          <w:rFonts w:cs="Arial"/>
          <w:lang w:val="en-US"/>
        </w:rPr>
        <w:t xml:space="preserve"> pm </w:t>
      </w:r>
      <w:r>
        <w:rPr>
          <w:rFonts w:cs="Arial"/>
          <w:lang w:val="en-US"/>
        </w:rPr>
        <w:t>-</w:t>
      </w:r>
      <w:r w:rsidR="00A806F3">
        <w:rPr>
          <w:rFonts w:cs="Arial"/>
          <w:lang w:val="en-US"/>
        </w:rPr>
        <w:t xml:space="preserve"> </w:t>
      </w:r>
      <w:r>
        <w:rPr>
          <w:rFonts w:cs="Arial"/>
          <w:lang w:val="en-US"/>
        </w:rPr>
        <w:t>9pm</w:t>
      </w:r>
      <w:r w:rsidR="00D253EB">
        <w:rPr>
          <w:rFonts w:cs="Arial"/>
          <w:lang w:val="en-US"/>
        </w:rPr>
        <w:t>.</w:t>
      </w:r>
    </w:p>
  </w:footnote>
  <w:footnote w:id="7">
    <w:p w14:paraId="3E99FC72" w14:textId="77777777" w:rsidR="000116D1" w:rsidRPr="005F49A1" w:rsidRDefault="000116D1" w:rsidP="000116D1">
      <w:pPr>
        <w:pStyle w:val="FootnoteText"/>
        <w:rPr>
          <w:lang w:val="en-US"/>
        </w:rPr>
      </w:pPr>
      <w:r>
        <w:rPr>
          <w:rStyle w:val="FootnoteReference"/>
        </w:rPr>
        <w:footnoteRef/>
      </w:r>
      <w:r>
        <w:t xml:space="preserve"> Trade professional, contractor, or project developer who has signed an agreement with MSSR to identify and enroll customers to implement energy efficiency projects that will be measured in the MSSR. Enrolled Aggregators receive incentive payments for the customers’ projects.</w:t>
      </w:r>
    </w:p>
    <w:p w14:paraId="786DE8DE" w14:textId="34768A3D" w:rsidR="000116D1" w:rsidRPr="00B92B5D" w:rsidRDefault="000116D1">
      <w:pPr>
        <w:pStyle w:val="FootnoteText"/>
        <w:rPr>
          <w:lang w:val="en-US"/>
        </w:rPr>
      </w:pPr>
    </w:p>
  </w:footnote>
  <w:footnote w:id="8">
    <w:p w14:paraId="23F503C4" w14:textId="2D14A59D" w:rsidR="001A0F12" w:rsidRPr="00B54114" w:rsidRDefault="001A0F12">
      <w:pPr>
        <w:pStyle w:val="FootnoteText"/>
        <w:rPr>
          <w:lang w:val="en-US"/>
        </w:rPr>
      </w:pPr>
      <w:r>
        <w:rPr>
          <w:rStyle w:val="FootnoteReference"/>
        </w:rPr>
        <w:footnoteRef/>
      </w:r>
      <w:r>
        <w:t xml:space="preserve"> </w:t>
      </w:r>
      <w:r w:rsidRPr="00C378DB">
        <w:t>Aggregators who often have market specialty and can assemble portfolios of customer</w:t>
      </w:r>
      <w:r w:rsidR="00B024E2">
        <w:t>s</w:t>
      </w:r>
      <w:r w:rsidRPr="00C378DB">
        <w:t>, coordinate multiple subcontractors on a comprehensive project, and assume performance risk or facilitate financing for up-front installer costs.</w:t>
      </w:r>
    </w:p>
  </w:footnote>
  <w:footnote w:id="9">
    <w:p w14:paraId="06626A34" w14:textId="3972B075" w:rsidR="009D0DF9" w:rsidRPr="005F49A1" w:rsidRDefault="009D0DF9">
      <w:pPr>
        <w:pStyle w:val="FootnoteText"/>
        <w:rPr>
          <w:lang w:val="en-US"/>
        </w:rPr>
      </w:pPr>
      <w:r>
        <w:rPr>
          <w:rStyle w:val="FootnoteReference"/>
        </w:rPr>
        <w:footnoteRef/>
      </w:r>
      <w:r>
        <w:t xml:space="preserve"> </w:t>
      </w:r>
      <w:r w:rsidRPr="0019764B">
        <w:rPr>
          <w:rFonts w:cs="Arial"/>
        </w:rPr>
        <w:t>Lifecycle Summer Peak kW = EUL* Summer Peak kW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F1843" w14:textId="5157014B" w:rsidR="005307FD" w:rsidRDefault="005307FD">
    <w:pPr>
      <w:pStyle w:val="Header"/>
    </w:pPr>
    <w:r>
      <w:rPr>
        <w:noProof/>
      </w:rPr>
      <w:pict w14:anchorId="24544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325016" o:spid="_x0000_s1026" type="#_x0000_t136" style="position:absolute;margin-left:0;margin-top:0;width:471.3pt;height:188.5pt;rotation:315;z-index:-251654143;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8093" w14:textId="707C07A7" w:rsidR="005307FD" w:rsidRDefault="005307FD">
    <w:pPr>
      <w:pStyle w:val="Header"/>
    </w:pPr>
    <w:r>
      <w:rPr>
        <w:noProof/>
      </w:rPr>
      <w:pict w14:anchorId="5DC883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325017" o:spid="_x0000_s1027" type="#_x0000_t136" style="position:absolute;margin-left:0;margin-top:0;width:471.3pt;height:188.5pt;rotation:315;z-index:-251652095;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88451" w14:textId="656AFDC6" w:rsidR="005307FD" w:rsidRDefault="005307FD">
    <w:pPr>
      <w:pStyle w:val="Header"/>
    </w:pPr>
    <w:r>
      <w:rPr>
        <w:noProof/>
      </w:rPr>
      <w:pict w14:anchorId="7EBE4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325015" o:spid="_x0000_s1025" type="#_x0000_t136" style="position:absolute;margin-left:0;margin-top:0;width:471.3pt;height:188.5pt;rotation:315;z-index:-251656191;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E06"/>
    <w:multiLevelType w:val="hybridMultilevel"/>
    <w:tmpl w:val="4D9CBD74"/>
    <w:lvl w:ilvl="0" w:tplc="04FA3EFE">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64D20"/>
    <w:multiLevelType w:val="multilevel"/>
    <w:tmpl w:val="B8A419C8"/>
    <w:lvl w:ilvl="0">
      <w:start w:val="1"/>
      <w:numFmt w:val="decimal"/>
      <w:lvlText w:val="%1."/>
      <w:lvlJc w:val="left"/>
      <w:pPr>
        <w:ind w:left="1041" w:hanging="360"/>
      </w:pPr>
    </w:lvl>
    <w:lvl w:ilvl="1">
      <w:start w:val="1"/>
      <w:numFmt w:val="lowerLetter"/>
      <w:lvlText w:val="%2."/>
      <w:lvlJc w:val="left"/>
      <w:pPr>
        <w:ind w:left="1761" w:hanging="360"/>
      </w:pPr>
      <w:rPr>
        <w:rFonts w:ascii="Times New Roman" w:eastAsia="Times New Roman" w:hAnsi="Times New Roman" w:cs="Times New Roman"/>
        <w:sz w:val="24"/>
        <w:szCs w:val="24"/>
      </w:rPr>
    </w:lvl>
    <w:lvl w:ilvl="2">
      <w:start w:val="1"/>
      <w:numFmt w:val="lowerRoman"/>
      <w:lvlText w:val="%3."/>
      <w:lvlJc w:val="left"/>
      <w:pPr>
        <w:ind w:left="2481" w:hanging="251"/>
      </w:pPr>
      <w:rPr>
        <w:rFonts w:ascii="Times New Roman" w:eastAsia="Times New Roman" w:hAnsi="Times New Roman" w:cs="Times New Roman"/>
        <w:sz w:val="24"/>
        <w:szCs w:val="24"/>
      </w:rPr>
    </w:lvl>
    <w:lvl w:ilvl="3">
      <w:start w:val="1"/>
      <w:numFmt w:val="decimal"/>
      <w:lvlText w:val="%4."/>
      <w:lvlJc w:val="left"/>
      <w:pPr>
        <w:ind w:left="3202" w:hanging="361"/>
      </w:pPr>
      <w:rPr>
        <w:rFonts w:ascii="Times New Roman" w:eastAsia="Times New Roman" w:hAnsi="Times New Roman" w:cs="Times New Roman"/>
        <w:sz w:val="24"/>
        <w:szCs w:val="24"/>
      </w:rPr>
    </w:lvl>
    <w:lvl w:ilvl="4">
      <w:numFmt w:val="bullet"/>
      <w:lvlText w:val="•"/>
      <w:lvlJc w:val="left"/>
      <w:pPr>
        <w:ind w:left="4162" w:hanging="361"/>
      </w:pPr>
    </w:lvl>
    <w:lvl w:ilvl="5">
      <w:numFmt w:val="bullet"/>
      <w:lvlText w:val="•"/>
      <w:lvlJc w:val="left"/>
      <w:pPr>
        <w:ind w:left="5125" w:hanging="361"/>
      </w:pPr>
    </w:lvl>
    <w:lvl w:ilvl="6">
      <w:numFmt w:val="bullet"/>
      <w:lvlText w:val="•"/>
      <w:lvlJc w:val="left"/>
      <w:pPr>
        <w:ind w:left="6088" w:hanging="361"/>
      </w:pPr>
    </w:lvl>
    <w:lvl w:ilvl="7">
      <w:numFmt w:val="bullet"/>
      <w:lvlText w:val="•"/>
      <w:lvlJc w:val="left"/>
      <w:pPr>
        <w:ind w:left="7051" w:hanging="361"/>
      </w:pPr>
    </w:lvl>
    <w:lvl w:ilvl="8">
      <w:numFmt w:val="bullet"/>
      <w:lvlText w:val="•"/>
      <w:lvlJc w:val="left"/>
      <w:pPr>
        <w:ind w:left="8014" w:hanging="361"/>
      </w:pPr>
    </w:lvl>
  </w:abstractNum>
  <w:abstractNum w:abstractNumId="2" w15:restartNumberingAfterBreak="0">
    <w:nsid w:val="08AB35C8"/>
    <w:multiLevelType w:val="hybridMultilevel"/>
    <w:tmpl w:val="CDD865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641ED"/>
    <w:multiLevelType w:val="multilevel"/>
    <w:tmpl w:val="BFD00460"/>
    <w:lvl w:ilvl="0">
      <w:start w:val="1"/>
      <w:numFmt w:val="decimal"/>
      <w:lvlText w:val="%1."/>
      <w:lvlJc w:val="left"/>
      <w:pPr>
        <w:ind w:left="1041" w:hanging="360"/>
      </w:pPr>
      <w:rPr>
        <w:rFonts w:ascii="Times New Roman" w:eastAsia="Times New Roman" w:hAnsi="Times New Roman" w:cs="Times New Roman"/>
        <w:sz w:val="24"/>
        <w:szCs w:val="24"/>
      </w:rPr>
    </w:lvl>
    <w:lvl w:ilvl="1">
      <w:start w:val="1"/>
      <w:numFmt w:val="lowerLetter"/>
      <w:lvlText w:val="%2."/>
      <w:lvlJc w:val="left"/>
      <w:pPr>
        <w:ind w:left="1761" w:hanging="360"/>
      </w:pPr>
      <w:rPr>
        <w:rFonts w:ascii="Times New Roman" w:eastAsia="Times New Roman" w:hAnsi="Times New Roman" w:cs="Times New Roman"/>
        <w:sz w:val="24"/>
        <w:szCs w:val="24"/>
      </w:rPr>
    </w:lvl>
    <w:lvl w:ilvl="2">
      <w:numFmt w:val="bullet"/>
      <w:lvlText w:val="•"/>
      <w:lvlJc w:val="left"/>
      <w:pPr>
        <w:ind w:left="2668" w:hanging="360"/>
      </w:pPr>
    </w:lvl>
    <w:lvl w:ilvl="3">
      <w:numFmt w:val="bullet"/>
      <w:lvlText w:val="•"/>
      <w:lvlJc w:val="left"/>
      <w:pPr>
        <w:ind w:left="3577" w:hanging="360"/>
      </w:pPr>
    </w:lvl>
    <w:lvl w:ilvl="4">
      <w:numFmt w:val="bullet"/>
      <w:lvlText w:val="•"/>
      <w:lvlJc w:val="left"/>
      <w:pPr>
        <w:ind w:left="4486" w:hanging="360"/>
      </w:pPr>
    </w:lvl>
    <w:lvl w:ilvl="5">
      <w:numFmt w:val="bullet"/>
      <w:lvlText w:val="•"/>
      <w:lvlJc w:val="left"/>
      <w:pPr>
        <w:ind w:left="5395" w:hanging="360"/>
      </w:pPr>
    </w:lvl>
    <w:lvl w:ilvl="6">
      <w:numFmt w:val="bullet"/>
      <w:lvlText w:val="•"/>
      <w:lvlJc w:val="left"/>
      <w:pPr>
        <w:ind w:left="6304" w:hanging="360"/>
      </w:pPr>
    </w:lvl>
    <w:lvl w:ilvl="7">
      <w:numFmt w:val="bullet"/>
      <w:lvlText w:val="•"/>
      <w:lvlJc w:val="left"/>
      <w:pPr>
        <w:ind w:left="7213" w:hanging="360"/>
      </w:pPr>
    </w:lvl>
    <w:lvl w:ilvl="8">
      <w:numFmt w:val="bullet"/>
      <w:lvlText w:val="•"/>
      <w:lvlJc w:val="left"/>
      <w:pPr>
        <w:ind w:left="8122" w:hanging="360"/>
      </w:pPr>
    </w:lvl>
  </w:abstractNum>
  <w:abstractNum w:abstractNumId="4" w15:restartNumberingAfterBreak="0">
    <w:nsid w:val="0A0D36BD"/>
    <w:multiLevelType w:val="multilevel"/>
    <w:tmpl w:val="4AEA6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EE56CE"/>
    <w:multiLevelType w:val="multilevel"/>
    <w:tmpl w:val="E9F4F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CF40F90"/>
    <w:multiLevelType w:val="multilevel"/>
    <w:tmpl w:val="56DEE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5E6FAB"/>
    <w:multiLevelType w:val="multilevel"/>
    <w:tmpl w:val="9152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DD57BA"/>
    <w:multiLevelType w:val="multilevel"/>
    <w:tmpl w:val="A9828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6367E6"/>
    <w:multiLevelType w:val="multilevel"/>
    <w:tmpl w:val="6A1661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39D279B"/>
    <w:multiLevelType w:val="multilevel"/>
    <w:tmpl w:val="467EA9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4F07192"/>
    <w:multiLevelType w:val="hybridMultilevel"/>
    <w:tmpl w:val="6F4C255E"/>
    <w:lvl w:ilvl="0" w:tplc="E1C03F00">
      <w:start w:val="1"/>
      <w:numFmt w:val="bullet"/>
      <w:lvlText w:val="•"/>
      <w:lvlJc w:val="left"/>
      <w:pPr>
        <w:ind w:left="720" w:hanging="360"/>
      </w:pPr>
      <w:rPr>
        <w:rFonts w:ascii="Calibri" w:hAnsi="Calibri"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E681D"/>
    <w:multiLevelType w:val="multilevel"/>
    <w:tmpl w:val="BE8E0802"/>
    <w:lvl w:ilvl="0">
      <w:start w:val="1"/>
      <w:numFmt w:val="upperRoman"/>
      <w:lvlText w:val="%1."/>
      <w:lvlJc w:val="right"/>
      <w:pPr>
        <w:ind w:left="720" w:hanging="360"/>
      </w:pPr>
      <w:rPr>
        <w:rFonts w:ascii="Calibri" w:eastAsia="Calibri" w:hAnsi="Calibri" w:cs="Calibri"/>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81A584E"/>
    <w:multiLevelType w:val="multilevel"/>
    <w:tmpl w:val="E93C5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AF6078B"/>
    <w:multiLevelType w:val="multilevel"/>
    <w:tmpl w:val="0A8CF8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BF40A9B"/>
    <w:multiLevelType w:val="multilevel"/>
    <w:tmpl w:val="F9549B5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1CA4678B"/>
    <w:multiLevelType w:val="multilevel"/>
    <w:tmpl w:val="12D27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FAA649A"/>
    <w:multiLevelType w:val="hybridMultilevel"/>
    <w:tmpl w:val="4872C8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204B0509"/>
    <w:multiLevelType w:val="hybridMultilevel"/>
    <w:tmpl w:val="389419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3E6076"/>
    <w:multiLevelType w:val="multilevel"/>
    <w:tmpl w:val="B8A419C8"/>
    <w:lvl w:ilvl="0">
      <w:start w:val="1"/>
      <w:numFmt w:val="decimal"/>
      <w:lvlText w:val="%1."/>
      <w:lvlJc w:val="left"/>
      <w:pPr>
        <w:ind w:left="1041" w:hanging="360"/>
      </w:pPr>
    </w:lvl>
    <w:lvl w:ilvl="1">
      <w:start w:val="1"/>
      <w:numFmt w:val="lowerLetter"/>
      <w:lvlText w:val="%2."/>
      <w:lvlJc w:val="left"/>
      <w:pPr>
        <w:ind w:left="1761" w:hanging="360"/>
      </w:pPr>
      <w:rPr>
        <w:rFonts w:ascii="Times New Roman" w:eastAsia="Times New Roman" w:hAnsi="Times New Roman" w:cs="Times New Roman"/>
        <w:sz w:val="24"/>
        <w:szCs w:val="24"/>
      </w:rPr>
    </w:lvl>
    <w:lvl w:ilvl="2">
      <w:start w:val="1"/>
      <w:numFmt w:val="lowerRoman"/>
      <w:lvlText w:val="%3."/>
      <w:lvlJc w:val="left"/>
      <w:pPr>
        <w:ind w:left="2481" w:hanging="251"/>
      </w:pPr>
      <w:rPr>
        <w:rFonts w:ascii="Times New Roman" w:eastAsia="Times New Roman" w:hAnsi="Times New Roman" w:cs="Times New Roman"/>
        <w:sz w:val="24"/>
        <w:szCs w:val="24"/>
      </w:rPr>
    </w:lvl>
    <w:lvl w:ilvl="3">
      <w:start w:val="1"/>
      <w:numFmt w:val="decimal"/>
      <w:lvlText w:val="%4."/>
      <w:lvlJc w:val="left"/>
      <w:pPr>
        <w:ind w:left="3202" w:hanging="361"/>
      </w:pPr>
      <w:rPr>
        <w:rFonts w:ascii="Times New Roman" w:eastAsia="Times New Roman" w:hAnsi="Times New Roman" w:cs="Times New Roman"/>
        <w:sz w:val="24"/>
        <w:szCs w:val="24"/>
      </w:rPr>
    </w:lvl>
    <w:lvl w:ilvl="4">
      <w:numFmt w:val="bullet"/>
      <w:lvlText w:val="•"/>
      <w:lvlJc w:val="left"/>
      <w:pPr>
        <w:ind w:left="4162" w:hanging="361"/>
      </w:pPr>
    </w:lvl>
    <w:lvl w:ilvl="5">
      <w:numFmt w:val="bullet"/>
      <w:lvlText w:val="•"/>
      <w:lvlJc w:val="left"/>
      <w:pPr>
        <w:ind w:left="5125" w:hanging="361"/>
      </w:pPr>
    </w:lvl>
    <w:lvl w:ilvl="6">
      <w:numFmt w:val="bullet"/>
      <w:lvlText w:val="•"/>
      <w:lvlJc w:val="left"/>
      <w:pPr>
        <w:ind w:left="6088" w:hanging="361"/>
      </w:pPr>
    </w:lvl>
    <w:lvl w:ilvl="7">
      <w:numFmt w:val="bullet"/>
      <w:lvlText w:val="•"/>
      <w:lvlJc w:val="left"/>
      <w:pPr>
        <w:ind w:left="7051" w:hanging="361"/>
      </w:pPr>
    </w:lvl>
    <w:lvl w:ilvl="8">
      <w:numFmt w:val="bullet"/>
      <w:lvlText w:val="•"/>
      <w:lvlJc w:val="left"/>
      <w:pPr>
        <w:ind w:left="8014" w:hanging="361"/>
      </w:pPr>
    </w:lvl>
  </w:abstractNum>
  <w:abstractNum w:abstractNumId="20" w15:restartNumberingAfterBreak="0">
    <w:nsid w:val="26F25730"/>
    <w:multiLevelType w:val="hybridMultilevel"/>
    <w:tmpl w:val="FD8CA8F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B8A127C"/>
    <w:multiLevelType w:val="multilevel"/>
    <w:tmpl w:val="9E70C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E576992"/>
    <w:multiLevelType w:val="multilevel"/>
    <w:tmpl w:val="CE16D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3033D07"/>
    <w:multiLevelType w:val="hybridMultilevel"/>
    <w:tmpl w:val="11E49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4667487"/>
    <w:multiLevelType w:val="multilevel"/>
    <w:tmpl w:val="65C23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39AF2B70"/>
    <w:multiLevelType w:val="hybridMultilevel"/>
    <w:tmpl w:val="2536D28A"/>
    <w:lvl w:ilvl="0" w:tplc="04FA3EFE">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E17D4"/>
    <w:multiLevelType w:val="hybridMultilevel"/>
    <w:tmpl w:val="8FAE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7E0A5A"/>
    <w:multiLevelType w:val="multilevel"/>
    <w:tmpl w:val="93CA5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2882044"/>
    <w:multiLevelType w:val="multilevel"/>
    <w:tmpl w:val="0E52E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426393D"/>
    <w:multiLevelType w:val="multilevel"/>
    <w:tmpl w:val="421ED1CC"/>
    <w:lvl w:ilvl="0">
      <w:start w:val="1"/>
      <w:numFmt w:val="decimal"/>
      <w:lvlText w:val="%1."/>
      <w:lvlJc w:val="left"/>
      <w:pPr>
        <w:ind w:left="720" w:hanging="360"/>
      </w:pPr>
      <w:rPr>
        <w:rFonts w:ascii="Montserrat" w:eastAsia="Montserrat" w:hAnsi="Montserrat" w:cs="Montserrat"/>
        <w:color w:val="2A2A2A"/>
        <w:sz w:val="24"/>
        <w:szCs w:val="24"/>
        <w:u w:val="none"/>
      </w:rPr>
    </w:lvl>
    <w:lvl w:ilvl="1">
      <w:start w:val="1"/>
      <w:numFmt w:val="lowerLetter"/>
      <w:lvlText w:val="%2."/>
      <w:lvlJc w:val="left"/>
      <w:pPr>
        <w:ind w:left="1440" w:hanging="360"/>
      </w:pPr>
      <w:rPr>
        <w:rFonts w:ascii="Montserrat" w:eastAsia="Montserrat" w:hAnsi="Montserrat" w:cs="Montserrat"/>
        <w:color w:val="2A2A2A"/>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AB53C93"/>
    <w:multiLevelType w:val="hybridMultilevel"/>
    <w:tmpl w:val="1CC0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794ED1"/>
    <w:multiLevelType w:val="multilevel"/>
    <w:tmpl w:val="D47886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4BB2BFC"/>
    <w:multiLevelType w:val="hybridMultilevel"/>
    <w:tmpl w:val="8368A722"/>
    <w:lvl w:ilvl="0" w:tplc="3DC8B068">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A26339"/>
    <w:multiLevelType w:val="multilevel"/>
    <w:tmpl w:val="BD947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BA86201"/>
    <w:multiLevelType w:val="multilevel"/>
    <w:tmpl w:val="FC864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BE45778"/>
    <w:multiLevelType w:val="hybridMultilevel"/>
    <w:tmpl w:val="CCD25396"/>
    <w:lvl w:ilvl="0" w:tplc="B6100B58">
      <w:start w:val="1"/>
      <w:numFmt w:val="bullet"/>
      <w:pStyle w:val="Bullets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2C4CEB"/>
    <w:multiLevelType w:val="multilevel"/>
    <w:tmpl w:val="CE123D88"/>
    <w:lvl w:ilvl="0">
      <w:start w:val="5"/>
      <w:numFmt w:val="decimal"/>
      <w:lvlText w:val="%1."/>
      <w:lvlJc w:val="left"/>
      <w:pPr>
        <w:ind w:left="1041" w:hanging="360"/>
      </w:pPr>
      <w:rPr>
        <w:rFonts w:ascii="Arial" w:eastAsia="Times New Roman" w:hAnsi="Arial" w:cs="Times New Roman" w:hint="default"/>
        <w:sz w:val="22"/>
        <w:szCs w:val="24"/>
      </w:rPr>
    </w:lvl>
    <w:lvl w:ilvl="1">
      <w:numFmt w:val="bullet"/>
      <w:lvlText w:val="•"/>
      <w:lvlJc w:val="left"/>
      <w:pPr>
        <w:ind w:left="1930" w:hanging="360"/>
      </w:pPr>
      <w:rPr>
        <w:rFonts w:hint="default"/>
      </w:rPr>
    </w:lvl>
    <w:lvl w:ilvl="2">
      <w:numFmt w:val="bullet"/>
      <w:lvlText w:val="•"/>
      <w:lvlJc w:val="left"/>
      <w:pPr>
        <w:ind w:left="2820" w:hanging="360"/>
      </w:pPr>
      <w:rPr>
        <w:rFonts w:hint="default"/>
      </w:rPr>
    </w:lvl>
    <w:lvl w:ilvl="3">
      <w:numFmt w:val="bullet"/>
      <w:lvlText w:val="•"/>
      <w:lvlJc w:val="left"/>
      <w:pPr>
        <w:ind w:left="3710" w:hanging="360"/>
      </w:pPr>
      <w:rPr>
        <w:rFonts w:hint="default"/>
      </w:rPr>
    </w:lvl>
    <w:lvl w:ilvl="4">
      <w:numFmt w:val="bullet"/>
      <w:lvlText w:val="•"/>
      <w:lvlJc w:val="left"/>
      <w:pPr>
        <w:ind w:left="4600" w:hanging="360"/>
      </w:pPr>
      <w:rPr>
        <w:rFonts w:hint="default"/>
      </w:rPr>
    </w:lvl>
    <w:lvl w:ilvl="5">
      <w:numFmt w:val="bullet"/>
      <w:lvlText w:val="•"/>
      <w:lvlJc w:val="left"/>
      <w:pPr>
        <w:ind w:left="5490" w:hanging="360"/>
      </w:pPr>
      <w:rPr>
        <w:rFonts w:hint="default"/>
      </w:rPr>
    </w:lvl>
    <w:lvl w:ilvl="6">
      <w:numFmt w:val="bullet"/>
      <w:lvlText w:val="•"/>
      <w:lvlJc w:val="left"/>
      <w:pPr>
        <w:ind w:left="6380" w:hanging="360"/>
      </w:pPr>
      <w:rPr>
        <w:rFonts w:hint="default"/>
      </w:rPr>
    </w:lvl>
    <w:lvl w:ilvl="7">
      <w:numFmt w:val="bullet"/>
      <w:lvlText w:val="•"/>
      <w:lvlJc w:val="left"/>
      <w:pPr>
        <w:ind w:left="7270" w:hanging="360"/>
      </w:pPr>
      <w:rPr>
        <w:rFonts w:hint="default"/>
      </w:rPr>
    </w:lvl>
    <w:lvl w:ilvl="8">
      <w:numFmt w:val="bullet"/>
      <w:lvlText w:val="•"/>
      <w:lvlJc w:val="left"/>
      <w:pPr>
        <w:ind w:left="8160" w:hanging="360"/>
      </w:pPr>
      <w:rPr>
        <w:rFonts w:hint="default"/>
      </w:rPr>
    </w:lvl>
  </w:abstractNum>
  <w:abstractNum w:abstractNumId="37" w15:restartNumberingAfterBreak="0">
    <w:nsid w:val="7732026E"/>
    <w:multiLevelType w:val="hybridMultilevel"/>
    <w:tmpl w:val="BCFC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1B35C9"/>
    <w:multiLevelType w:val="hybridMultilevel"/>
    <w:tmpl w:val="B31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6204879">
    <w:abstractNumId w:val="8"/>
  </w:num>
  <w:num w:numId="2" w16cid:durableId="1252087403">
    <w:abstractNumId w:val="5"/>
  </w:num>
  <w:num w:numId="3" w16cid:durableId="964891740">
    <w:abstractNumId w:val="12"/>
  </w:num>
  <w:num w:numId="4" w16cid:durableId="195703414">
    <w:abstractNumId w:val="28"/>
  </w:num>
  <w:num w:numId="5" w16cid:durableId="1500658337">
    <w:abstractNumId w:val="27"/>
  </w:num>
  <w:num w:numId="6" w16cid:durableId="798915327">
    <w:abstractNumId w:val="33"/>
  </w:num>
  <w:num w:numId="7" w16cid:durableId="1645037854">
    <w:abstractNumId w:val="15"/>
  </w:num>
  <w:num w:numId="8" w16cid:durableId="280306423">
    <w:abstractNumId w:val="31"/>
  </w:num>
  <w:num w:numId="9" w16cid:durableId="548761979">
    <w:abstractNumId w:val="4"/>
  </w:num>
  <w:num w:numId="10" w16cid:durableId="650790437">
    <w:abstractNumId w:val="34"/>
  </w:num>
  <w:num w:numId="11" w16cid:durableId="460808445">
    <w:abstractNumId w:val="10"/>
  </w:num>
  <w:num w:numId="12" w16cid:durableId="962618468">
    <w:abstractNumId w:val="13"/>
  </w:num>
  <w:num w:numId="13" w16cid:durableId="687871620">
    <w:abstractNumId w:val="3"/>
  </w:num>
  <w:num w:numId="14" w16cid:durableId="1347361391">
    <w:abstractNumId w:val="6"/>
  </w:num>
  <w:num w:numId="15" w16cid:durableId="1184396488">
    <w:abstractNumId w:val="21"/>
  </w:num>
  <w:num w:numId="16" w16cid:durableId="657613141">
    <w:abstractNumId w:val="22"/>
  </w:num>
  <w:num w:numId="17" w16cid:durableId="164832078">
    <w:abstractNumId w:val="16"/>
  </w:num>
  <w:num w:numId="18" w16cid:durableId="912205312">
    <w:abstractNumId w:val="9"/>
  </w:num>
  <w:num w:numId="19" w16cid:durableId="1573782721">
    <w:abstractNumId w:val="36"/>
  </w:num>
  <w:num w:numId="20" w16cid:durableId="691614985">
    <w:abstractNumId w:val="19"/>
  </w:num>
  <w:num w:numId="21" w16cid:durableId="2116173802">
    <w:abstractNumId w:val="29"/>
  </w:num>
  <w:num w:numId="22" w16cid:durableId="1584796294">
    <w:abstractNumId w:val="14"/>
  </w:num>
  <w:num w:numId="23" w16cid:durableId="557936209">
    <w:abstractNumId w:val="24"/>
  </w:num>
  <w:num w:numId="24" w16cid:durableId="1434520996">
    <w:abstractNumId w:val="30"/>
  </w:num>
  <w:num w:numId="25" w16cid:durableId="1267351043">
    <w:abstractNumId w:val="32"/>
  </w:num>
  <w:num w:numId="26" w16cid:durableId="657540067">
    <w:abstractNumId w:val="1"/>
  </w:num>
  <w:num w:numId="27" w16cid:durableId="559025949">
    <w:abstractNumId w:val="37"/>
  </w:num>
  <w:num w:numId="28" w16cid:durableId="1000232612">
    <w:abstractNumId w:val="35"/>
  </w:num>
  <w:num w:numId="29" w16cid:durableId="1581401841">
    <w:abstractNumId w:val="20"/>
  </w:num>
  <w:num w:numId="30" w16cid:durableId="1196235296">
    <w:abstractNumId w:val="38"/>
  </w:num>
  <w:num w:numId="31" w16cid:durableId="1116947074">
    <w:abstractNumId w:val="26"/>
  </w:num>
  <w:num w:numId="32" w16cid:durableId="1237276160">
    <w:abstractNumId w:val="11"/>
  </w:num>
  <w:num w:numId="33" w16cid:durableId="1384256024">
    <w:abstractNumId w:val="18"/>
  </w:num>
  <w:num w:numId="34" w16cid:durableId="1282152579">
    <w:abstractNumId w:val="25"/>
  </w:num>
  <w:num w:numId="35" w16cid:durableId="267660146">
    <w:abstractNumId w:val="0"/>
  </w:num>
  <w:num w:numId="36" w16cid:durableId="3893115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6393428">
    <w:abstractNumId w:val="2"/>
  </w:num>
  <w:num w:numId="38" w16cid:durableId="405541602">
    <w:abstractNumId w:val="17"/>
  </w:num>
  <w:num w:numId="39" w16cid:durableId="1602028884">
    <w:abstractNumId w:val="7"/>
  </w:num>
  <w:num w:numId="40" w16cid:durableId="53650468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2B"/>
    <w:rsid w:val="000003DE"/>
    <w:rsid w:val="0000041D"/>
    <w:rsid w:val="00000936"/>
    <w:rsid w:val="00001258"/>
    <w:rsid w:val="00001A41"/>
    <w:rsid w:val="00002B7C"/>
    <w:rsid w:val="00003596"/>
    <w:rsid w:val="00005FA3"/>
    <w:rsid w:val="00006E3E"/>
    <w:rsid w:val="00007623"/>
    <w:rsid w:val="00010A14"/>
    <w:rsid w:val="00010E3C"/>
    <w:rsid w:val="00011070"/>
    <w:rsid w:val="000110AD"/>
    <w:rsid w:val="00011116"/>
    <w:rsid w:val="000114FD"/>
    <w:rsid w:val="000116D1"/>
    <w:rsid w:val="00011AF9"/>
    <w:rsid w:val="00012442"/>
    <w:rsid w:val="00014301"/>
    <w:rsid w:val="000159A4"/>
    <w:rsid w:val="00020039"/>
    <w:rsid w:val="000212BC"/>
    <w:rsid w:val="00021B11"/>
    <w:rsid w:val="0002382C"/>
    <w:rsid w:val="00023D76"/>
    <w:rsid w:val="00025B2F"/>
    <w:rsid w:val="0002639E"/>
    <w:rsid w:val="0002708D"/>
    <w:rsid w:val="00031338"/>
    <w:rsid w:val="00031A6E"/>
    <w:rsid w:val="00031DC7"/>
    <w:rsid w:val="000324A3"/>
    <w:rsid w:val="00032879"/>
    <w:rsid w:val="00035568"/>
    <w:rsid w:val="0004132A"/>
    <w:rsid w:val="00043613"/>
    <w:rsid w:val="000444A1"/>
    <w:rsid w:val="00044EFD"/>
    <w:rsid w:val="000469D9"/>
    <w:rsid w:val="00046DDA"/>
    <w:rsid w:val="00051865"/>
    <w:rsid w:val="00053C09"/>
    <w:rsid w:val="00056138"/>
    <w:rsid w:val="00056385"/>
    <w:rsid w:val="00056E4B"/>
    <w:rsid w:val="000575D5"/>
    <w:rsid w:val="000613F6"/>
    <w:rsid w:val="00061490"/>
    <w:rsid w:val="00065078"/>
    <w:rsid w:val="000659B9"/>
    <w:rsid w:val="000670D3"/>
    <w:rsid w:val="00067F90"/>
    <w:rsid w:val="000716EF"/>
    <w:rsid w:val="00071AEF"/>
    <w:rsid w:val="00072204"/>
    <w:rsid w:val="00072B22"/>
    <w:rsid w:val="000771D4"/>
    <w:rsid w:val="000805BA"/>
    <w:rsid w:val="00080CB0"/>
    <w:rsid w:val="00081173"/>
    <w:rsid w:val="000812D6"/>
    <w:rsid w:val="000828CF"/>
    <w:rsid w:val="00085AE9"/>
    <w:rsid w:val="0008714B"/>
    <w:rsid w:val="0008725C"/>
    <w:rsid w:val="00087B70"/>
    <w:rsid w:val="00087ECE"/>
    <w:rsid w:val="000907A9"/>
    <w:rsid w:val="00090C44"/>
    <w:rsid w:val="000941C0"/>
    <w:rsid w:val="000942C7"/>
    <w:rsid w:val="00094940"/>
    <w:rsid w:val="0009568C"/>
    <w:rsid w:val="00096C01"/>
    <w:rsid w:val="00096DCC"/>
    <w:rsid w:val="000A047F"/>
    <w:rsid w:val="000A2702"/>
    <w:rsid w:val="000A4DA5"/>
    <w:rsid w:val="000A579F"/>
    <w:rsid w:val="000A6839"/>
    <w:rsid w:val="000A7B1A"/>
    <w:rsid w:val="000A7F21"/>
    <w:rsid w:val="000B0A74"/>
    <w:rsid w:val="000B3979"/>
    <w:rsid w:val="000B50A8"/>
    <w:rsid w:val="000C05A7"/>
    <w:rsid w:val="000C129F"/>
    <w:rsid w:val="000C134C"/>
    <w:rsid w:val="000C137C"/>
    <w:rsid w:val="000C4A46"/>
    <w:rsid w:val="000C750A"/>
    <w:rsid w:val="000D0487"/>
    <w:rsid w:val="000D0F0A"/>
    <w:rsid w:val="000D1086"/>
    <w:rsid w:val="000D53DA"/>
    <w:rsid w:val="000D55A7"/>
    <w:rsid w:val="000D6B01"/>
    <w:rsid w:val="000D78D1"/>
    <w:rsid w:val="000D7D3B"/>
    <w:rsid w:val="000D7EDB"/>
    <w:rsid w:val="000E200A"/>
    <w:rsid w:val="000E258F"/>
    <w:rsid w:val="000E290D"/>
    <w:rsid w:val="000E4832"/>
    <w:rsid w:val="000E576B"/>
    <w:rsid w:val="000E5DD4"/>
    <w:rsid w:val="000E7928"/>
    <w:rsid w:val="000E7929"/>
    <w:rsid w:val="000F27FF"/>
    <w:rsid w:val="000F5B94"/>
    <w:rsid w:val="000F5D6D"/>
    <w:rsid w:val="000F6238"/>
    <w:rsid w:val="000F70BE"/>
    <w:rsid w:val="001014E9"/>
    <w:rsid w:val="00101E6A"/>
    <w:rsid w:val="0010382C"/>
    <w:rsid w:val="00104F30"/>
    <w:rsid w:val="00105E3C"/>
    <w:rsid w:val="00106A76"/>
    <w:rsid w:val="0011000F"/>
    <w:rsid w:val="001115D8"/>
    <w:rsid w:val="00111A2B"/>
    <w:rsid w:val="00111C7E"/>
    <w:rsid w:val="001129DE"/>
    <w:rsid w:val="00112EE9"/>
    <w:rsid w:val="001162AA"/>
    <w:rsid w:val="00116DBC"/>
    <w:rsid w:val="00117721"/>
    <w:rsid w:val="00121A2E"/>
    <w:rsid w:val="0012366D"/>
    <w:rsid w:val="001244EF"/>
    <w:rsid w:val="001255B7"/>
    <w:rsid w:val="001264FA"/>
    <w:rsid w:val="00127C8E"/>
    <w:rsid w:val="00130488"/>
    <w:rsid w:val="00130958"/>
    <w:rsid w:val="001324AD"/>
    <w:rsid w:val="001338DF"/>
    <w:rsid w:val="00133A1F"/>
    <w:rsid w:val="001341B3"/>
    <w:rsid w:val="00135254"/>
    <w:rsid w:val="00136EA6"/>
    <w:rsid w:val="0014286F"/>
    <w:rsid w:val="001439A9"/>
    <w:rsid w:val="00144CE1"/>
    <w:rsid w:val="00147137"/>
    <w:rsid w:val="00151A55"/>
    <w:rsid w:val="001544DA"/>
    <w:rsid w:val="00154D0B"/>
    <w:rsid w:val="00155714"/>
    <w:rsid w:val="00155FE4"/>
    <w:rsid w:val="00157C68"/>
    <w:rsid w:val="00160437"/>
    <w:rsid w:val="0016381D"/>
    <w:rsid w:val="00164029"/>
    <w:rsid w:val="0016653F"/>
    <w:rsid w:val="0016673F"/>
    <w:rsid w:val="00166FF0"/>
    <w:rsid w:val="00170FE6"/>
    <w:rsid w:val="00171D31"/>
    <w:rsid w:val="0017295A"/>
    <w:rsid w:val="001742DE"/>
    <w:rsid w:val="001763D7"/>
    <w:rsid w:val="0017665D"/>
    <w:rsid w:val="00181074"/>
    <w:rsid w:val="00182A00"/>
    <w:rsid w:val="00184767"/>
    <w:rsid w:val="0018516F"/>
    <w:rsid w:val="00185B09"/>
    <w:rsid w:val="00185D87"/>
    <w:rsid w:val="00185F6D"/>
    <w:rsid w:val="0018778F"/>
    <w:rsid w:val="00190A4A"/>
    <w:rsid w:val="00190A63"/>
    <w:rsid w:val="00190B53"/>
    <w:rsid w:val="00190D23"/>
    <w:rsid w:val="00191A6A"/>
    <w:rsid w:val="00192B79"/>
    <w:rsid w:val="001935C2"/>
    <w:rsid w:val="001937EE"/>
    <w:rsid w:val="00194CBB"/>
    <w:rsid w:val="00197E2F"/>
    <w:rsid w:val="00197F42"/>
    <w:rsid w:val="001A0F12"/>
    <w:rsid w:val="001A43C2"/>
    <w:rsid w:val="001B00E5"/>
    <w:rsid w:val="001B1831"/>
    <w:rsid w:val="001B4303"/>
    <w:rsid w:val="001B5806"/>
    <w:rsid w:val="001B791A"/>
    <w:rsid w:val="001C0160"/>
    <w:rsid w:val="001C07AB"/>
    <w:rsid w:val="001C1385"/>
    <w:rsid w:val="001C32DE"/>
    <w:rsid w:val="001C4257"/>
    <w:rsid w:val="001C6DB3"/>
    <w:rsid w:val="001C6DD3"/>
    <w:rsid w:val="001C7A1A"/>
    <w:rsid w:val="001D05BD"/>
    <w:rsid w:val="001D0BC2"/>
    <w:rsid w:val="001D0FD3"/>
    <w:rsid w:val="001D29ED"/>
    <w:rsid w:val="001D3065"/>
    <w:rsid w:val="001D3425"/>
    <w:rsid w:val="001D3845"/>
    <w:rsid w:val="001D522E"/>
    <w:rsid w:val="001D56B1"/>
    <w:rsid w:val="001D6FBB"/>
    <w:rsid w:val="001E01CD"/>
    <w:rsid w:val="001E1358"/>
    <w:rsid w:val="001E30CD"/>
    <w:rsid w:val="001E320A"/>
    <w:rsid w:val="001E4629"/>
    <w:rsid w:val="001E4E26"/>
    <w:rsid w:val="001E4FF3"/>
    <w:rsid w:val="001E5662"/>
    <w:rsid w:val="001E612E"/>
    <w:rsid w:val="001E6726"/>
    <w:rsid w:val="001F0B96"/>
    <w:rsid w:val="001F190E"/>
    <w:rsid w:val="001F20CE"/>
    <w:rsid w:val="001F22D2"/>
    <w:rsid w:val="001F4451"/>
    <w:rsid w:val="001F52ED"/>
    <w:rsid w:val="00200C9B"/>
    <w:rsid w:val="00200DEC"/>
    <w:rsid w:val="00202986"/>
    <w:rsid w:val="00203B46"/>
    <w:rsid w:val="00203CA2"/>
    <w:rsid w:val="00203FA1"/>
    <w:rsid w:val="002055E8"/>
    <w:rsid w:val="002060E6"/>
    <w:rsid w:val="00207804"/>
    <w:rsid w:val="00207B35"/>
    <w:rsid w:val="002100BB"/>
    <w:rsid w:val="0021067E"/>
    <w:rsid w:val="00210C7F"/>
    <w:rsid w:val="00212465"/>
    <w:rsid w:val="00212D72"/>
    <w:rsid w:val="00214E9B"/>
    <w:rsid w:val="002162E9"/>
    <w:rsid w:val="00216A68"/>
    <w:rsid w:val="00216B5B"/>
    <w:rsid w:val="00220DAA"/>
    <w:rsid w:val="002218B3"/>
    <w:rsid w:val="0022284C"/>
    <w:rsid w:val="0022455E"/>
    <w:rsid w:val="00224B2C"/>
    <w:rsid w:val="002250D6"/>
    <w:rsid w:val="002263FD"/>
    <w:rsid w:val="002278DA"/>
    <w:rsid w:val="00233C84"/>
    <w:rsid w:val="002346B0"/>
    <w:rsid w:val="00234892"/>
    <w:rsid w:val="00237E38"/>
    <w:rsid w:val="00240607"/>
    <w:rsid w:val="0024280E"/>
    <w:rsid w:val="002428BD"/>
    <w:rsid w:val="00242A31"/>
    <w:rsid w:val="0024415A"/>
    <w:rsid w:val="00244BBB"/>
    <w:rsid w:val="002472F0"/>
    <w:rsid w:val="00250241"/>
    <w:rsid w:val="002506ED"/>
    <w:rsid w:val="00250BD9"/>
    <w:rsid w:val="00250C20"/>
    <w:rsid w:val="00251CA0"/>
    <w:rsid w:val="002522FE"/>
    <w:rsid w:val="00252E8A"/>
    <w:rsid w:val="00253B49"/>
    <w:rsid w:val="00255381"/>
    <w:rsid w:val="00255873"/>
    <w:rsid w:val="00255D6D"/>
    <w:rsid w:val="002623EE"/>
    <w:rsid w:val="0026244E"/>
    <w:rsid w:val="00262608"/>
    <w:rsid w:val="00265CE0"/>
    <w:rsid w:val="00266B17"/>
    <w:rsid w:val="00270BFD"/>
    <w:rsid w:val="0027248B"/>
    <w:rsid w:val="0027473D"/>
    <w:rsid w:val="00274824"/>
    <w:rsid w:val="002754B8"/>
    <w:rsid w:val="002775E8"/>
    <w:rsid w:val="002811C6"/>
    <w:rsid w:val="0028243D"/>
    <w:rsid w:val="00284F3D"/>
    <w:rsid w:val="00286C7B"/>
    <w:rsid w:val="00290AFC"/>
    <w:rsid w:val="00291AC4"/>
    <w:rsid w:val="00292909"/>
    <w:rsid w:val="002932F4"/>
    <w:rsid w:val="00293B92"/>
    <w:rsid w:val="002A03E4"/>
    <w:rsid w:val="002A060A"/>
    <w:rsid w:val="002A2917"/>
    <w:rsid w:val="002A2B55"/>
    <w:rsid w:val="002A3926"/>
    <w:rsid w:val="002A558B"/>
    <w:rsid w:val="002A678D"/>
    <w:rsid w:val="002A6E24"/>
    <w:rsid w:val="002A7445"/>
    <w:rsid w:val="002B2BDB"/>
    <w:rsid w:val="002B2D7B"/>
    <w:rsid w:val="002B335F"/>
    <w:rsid w:val="002B3C84"/>
    <w:rsid w:val="002B5AB5"/>
    <w:rsid w:val="002C0556"/>
    <w:rsid w:val="002C0648"/>
    <w:rsid w:val="002C0D1D"/>
    <w:rsid w:val="002C2CB8"/>
    <w:rsid w:val="002C3ECE"/>
    <w:rsid w:val="002C44AD"/>
    <w:rsid w:val="002C4712"/>
    <w:rsid w:val="002C4A0C"/>
    <w:rsid w:val="002C5AA5"/>
    <w:rsid w:val="002C5CFA"/>
    <w:rsid w:val="002C6DE4"/>
    <w:rsid w:val="002C70F2"/>
    <w:rsid w:val="002C78D2"/>
    <w:rsid w:val="002C7D6F"/>
    <w:rsid w:val="002D08D4"/>
    <w:rsid w:val="002D0994"/>
    <w:rsid w:val="002D0BC3"/>
    <w:rsid w:val="002D330C"/>
    <w:rsid w:val="002D4DD2"/>
    <w:rsid w:val="002D5397"/>
    <w:rsid w:val="002D7D27"/>
    <w:rsid w:val="002E0564"/>
    <w:rsid w:val="002E2197"/>
    <w:rsid w:val="002E2AB3"/>
    <w:rsid w:val="002E574D"/>
    <w:rsid w:val="002E593D"/>
    <w:rsid w:val="002E5B9B"/>
    <w:rsid w:val="002E6253"/>
    <w:rsid w:val="002E6407"/>
    <w:rsid w:val="002E6F97"/>
    <w:rsid w:val="002F12AC"/>
    <w:rsid w:val="002F3E9E"/>
    <w:rsid w:val="002F7B1C"/>
    <w:rsid w:val="002F7BA1"/>
    <w:rsid w:val="00302EE9"/>
    <w:rsid w:val="003031B3"/>
    <w:rsid w:val="003051F1"/>
    <w:rsid w:val="00311347"/>
    <w:rsid w:val="003115A6"/>
    <w:rsid w:val="0031548A"/>
    <w:rsid w:val="00316C9B"/>
    <w:rsid w:val="003177C2"/>
    <w:rsid w:val="00317D60"/>
    <w:rsid w:val="003204F4"/>
    <w:rsid w:val="0032081F"/>
    <w:rsid w:val="003218AF"/>
    <w:rsid w:val="00322EAF"/>
    <w:rsid w:val="00322FFB"/>
    <w:rsid w:val="003246EE"/>
    <w:rsid w:val="00324D75"/>
    <w:rsid w:val="00325811"/>
    <w:rsid w:val="003265A6"/>
    <w:rsid w:val="00327025"/>
    <w:rsid w:val="00327EBB"/>
    <w:rsid w:val="003300AB"/>
    <w:rsid w:val="003322DE"/>
    <w:rsid w:val="00334419"/>
    <w:rsid w:val="003356ED"/>
    <w:rsid w:val="003369ED"/>
    <w:rsid w:val="00337902"/>
    <w:rsid w:val="00342363"/>
    <w:rsid w:val="003431CE"/>
    <w:rsid w:val="00345E95"/>
    <w:rsid w:val="003462B2"/>
    <w:rsid w:val="00346827"/>
    <w:rsid w:val="00347B5C"/>
    <w:rsid w:val="0035091D"/>
    <w:rsid w:val="00350FE3"/>
    <w:rsid w:val="00352BF6"/>
    <w:rsid w:val="00353236"/>
    <w:rsid w:val="00353711"/>
    <w:rsid w:val="00353FB6"/>
    <w:rsid w:val="003543BD"/>
    <w:rsid w:val="00355136"/>
    <w:rsid w:val="00357373"/>
    <w:rsid w:val="003606E0"/>
    <w:rsid w:val="003611F7"/>
    <w:rsid w:val="003618B9"/>
    <w:rsid w:val="003621D8"/>
    <w:rsid w:val="003648D9"/>
    <w:rsid w:val="003661E2"/>
    <w:rsid w:val="0036621E"/>
    <w:rsid w:val="00366276"/>
    <w:rsid w:val="003669AA"/>
    <w:rsid w:val="0036792B"/>
    <w:rsid w:val="00371A7B"/>
    <w:rsid w:val="003731C2"/>
    <w:rsid w:val="003736E0"/>
    <w:rsid w:val="0037548B"/>
    <w:rsid w:val="00376155"/>
    <w:rsid w:val="0038019D"/>
    <w:rsid w:val="003801E5"/>
    <w:rsid w:val="003807CC"/>
    <w:rsid w:val="003811E8"/>
    <w:rsid w:val="003824EE"/>
    <w:rsid w:val="00383421"/>
    <w:rsid w:val="003841E4"/>
    <w:rsid w:val="0038420B"/>
    <w:rsid w:val="0038593F"/>
    <w:rsid w:val="0039031E"/>
    <w:rsid w:val="00391378"/>
    <w:rsid w:val="0039138D"/>
    <w:rsid w:val="00391394"/>
    <w:rsid w:val="003916E8"/>
    <w:rsid w:val="00391C1D"/>
    <w:rsid w:val="00391CF2"/>
    <w:rsid w:val="00393364"/>
    <w:rsid w:val="003934DF"/>
    <w:rsid w:val="00393D42"/>
    <w:rsid w:val="0039416B"/>
    <w:rsid w:val="00394436"/>
    <w:rsid w:val="00396DE9"/>
    <w:rsid w:val="003A6429"/>
    <w:rsid w:val="003B2322"/>
    <w:rsid w:val="003B552C"/>
    <w:rsid w:val="003B5686"/>
    <w:rsid w:val="003B5C14"/>
    <w:rsid w:val="003B6B60"/>
    <w:rsid w:val="003B6E49"/>
    <w:rsid w:val="003C0744"/>
    <w:rsid w:val="003C0C0E"/>
    <w:rsid w:val="003C234E"/>
    <w:rsid w:val="003C2F61"/>
    <w:rsid w:val="003C30EE"/>
    <w:rsid w:val="003C394D"/>
    <w:rsid w:val="003C3F1F"/>
    <w:rsid w:val="003C5ABB"/>
    <w:rsid w:val="003D2D4B"/>
    <w:rsid w:val="003D30F3"/>
    <w:rsid w:val="003D3767"/>
    <w:rsid w:val="003D3CBA"/>
    <w:rsid w:val="003D404C"/>
    <w:rsid w:val="003D4172"/>
    <w:rsid w:val="003D7136"/>
    <w:rsid w:val="003D73DA"/>
    <w:rsid w:val="003E0014"/>
    <w:rsid w:val="003E076E"/>
    <w:rsid w:val="003E3932"/>
    <w:rsid w:val="003E3B88"/>
    <w:rsid w:val="003E3BD4"/>
    <w:rsid w:val="003E3E3B"/>
    <w:rsid w:val="003E4AA6"/>
    <w:rsid w:val="003E626C"/>
    <w:rsid w:val="003E73D4"/>
    <w:rsid w:val="003E7947"/>
    <w:rsid w:val="003E7BE7"/>
    <w:rsid w:val="003F0478"/>
    <w:rsid w:val="003F0EFA"/>
    <w:rsid w:val="003F2DF7"/>
    <w:rsid w:val="003F2F1D"/>
    <w:rsid w:val="003F4A8A"/>
    <w:rsid w:val="003F58FC"/>
    <w:rsid w:val="003F63B5"/>
    <w:rsid w:val="003F73D3"/>
    <w:rsid w:val="00401625"/>
    <w:rsid w:val="0040436A"/>
    <w:rsid w:val="004044AE"/>
    <w:rsid w:val="00406329"/>
    <w:rsid w:val="00406B5F"/>
    <w:rsid w:val="00410045"/>
    <w:rsid w:val="0041216A"/>
    <w:rsid w:val="00412899"/>
    <w:rsid w:val="00412EA1"/>
    <w:rsid w:val="00412EDC"/>
    <w:rsid w:val="00415122"/>
    <w:rsid w:val="00416F19"/>
    <w:rsid w:val="00417C26"/>
    <w:rsid w:val="004201FB"/>
    <w:rsid w:val="00422B85"/>
    <w:rsid w:val="00425D8C"/>
    <w:rsid w:val="00427C80"/>
    <w:rsid w:val="00427D96"/>
    <w:rsid w:val="00430A4B"/>
    <w:rsid w:val="0043177E"/>
    <w:rsid w:val="004326BF"/>
    <w:rsid w:val="00432D0E"/>
    <w:rsid w:val="00432EAA"/>
    <w:rsid w:val="00434A87"/>
    <w:rsid w:val="00435940"/>
    <w:rsid w:val="00436CD7"/>
    <w:rsid w:val="00437A90"/>
    <w:rsid w:val="00440025"/>
    <w:rsid w:val="00441446"/>
    <w:rsid w:val="00443EB8"/>
    <w:rsid w:val="00444105"/>
    <w:rsid w:val="0044654A"/>
    <w:rsid w:val="00447530"/>
    <w:rsid w:val="00450224"/>
    <w:rsid w:val="00450925"/>
    <w:rsid w:val="00450D07"/>
    <w:rsid w:val="00451DCF"/>
    <w:rsid w:val="00451ECC"/>
    <w:rsid w:val="004547B1"/>
    <w:rsid w:val="004548AC"/>
    <w:rsid w:val="00455294"/>
    <w:rsid w:val="00455FC3"/>
    <w:rsid w:val="004563AA"/>
    <w:rsid w:val="0045671E"/>
    <w:rsid w:val="0045798D"/>
    <w:rsid w:val="00457BDD"/>
    <w:rsid w:val="004603C8"/>
    <w:rsid w:val="00460B72"/>
    <w:rsid w:val="00461B2B"/>
    <w:rsid w:val="0046324F"/>
    <w:rsid w:val="004649FD"/>
    <w:rsid w:val="00465E92"/>
    <w:rsid w:val="00470598"/>
    <w:rsid w:val="0047133D"/>
    <w:rsid w:val="00473CBF"/>
    <w:rsid w:val="0048044A"/>
    <w:rsid w:val="0048244A"/>
    <w:rsid w:val="00490150"/>
    <w:rsid w:val="00490383"/>
    <w:rsid w:val="00491F3E"/>
    <w:rsid w:val="004929EE"/>
    <w:rsid w:val="0049472D"/>
    <w:rsid w:val="00494FF6"/>
    <w:rsid w:val="004952A5"/>
    <w:rsid w:val="004966D7"/>
    <w:rsid w:val="00497F7D"/>
    <w:rsid w:val="004A0C47"/>
    <w:rsid w:val="004A1533"/>
    <w:rsid w:val="004A478D"/>
    <w:rsid w:val="004A6B5A"/>
    <w:rsid w:val="004A6F70"/>
    <w:rsid w:val="004A7BB3"/>
    <w:rsid w:val="004A7C2B"/>
    <w:rsid w:val="004B08BC"/>
    <w:rsid w:val="004B11C5"/>
    <w:rsid w:val="004B267B"/>
    <w:rsid w:val="004B2B00"/>
    <w:rsid w:val="004B3BF3"/>
    <w:rsid w:val="004B3E7F"/>
    <w:rsid w:val="004B3FB9"/>
    <w:rsid w:val="004B4FD1"/>
    <w:rsid w:val="004B5E0D"/>
    <w:rsid w:val="004B6B16"/>
    <w:rsid w:val="004B6C7E"/>
    <w:rsid w:val="004B72FC"/>
    <w:rsid w:val="004B76F1"/>
    <w:rsid w:val="004C0CAB"/>
    <w:rsid w:val="004C26D5"/>
    <w:rsid w:val="004C43AC"/>
    <w:rsid w:val="004C4585"/>
    <w:rsid w:val="004D149A"/>
    <w:rsid w:val="004D399A"/>
    <w:rsid w:val="004D4401"/>
    <w:rsid w:val="004D4477"/>
    <w:rsid w:val="004D56CE"/>
    <w:rsid w:val="004D70AE"/>
    <w:rsid w:val="004D7984"/>
    <w:rsid w:val="004E0812"/>
    <w:rsid w:val="004E1937"/>
    <w:rsid w:val="004E1A95"/>
    <w:rsid w:val="004E1C74"/>
    <w:rsid w:val="004E2221"/>
    <w:rsid w:val="004E62F9"/>
    <w:rsid w:val="004E6C96"/>
    <w:rsid w:val="004F267F"/>
    <w:rsid w:val="004F2E1C"/>
    <w:rsid w:val="004F51E9"/>
    <w:rsid w:val="004F6E68"/>
    <w:rsid w:val="0050005D"/>
    <w:rsid w:val="005021AC"/>
    <w:rsid w:val="00504274"/>
    <w:rsid w:val="00504933"/>
    <w:rsid w:val="00504DDE"/>
    <w:rsid w:val="00505301"/>
    <w:rsid w:val="00505510"/>
    <w:rsid w:val="00505773"/>
    <w:rsid w:val="0050612B"/>
    <w:rsid w:val="00506C8F"/>
    <w:rsid w:val="00507A88"/>
    <w:rsid w:val="00507B2C"/>
    <w:rsid w:val="00510FB8"/>
    <w:rsid w:val="00512380"/>
    <w:rsid w:val="005124D6"/>
    <w:rsid w:val="00513321"/>
    <w:rsid w:val="005135C2"/>
    <w:rsid w:val="0051476D"/>
    <w:rsid w:val="00516EA9"/>
    <w:rsid w:val="00517873"/>
    <w:rsid w:val="00520105"/>
    <w:rsid w:val="00521AD4"/>
    <w:rsid w:val="005229C2"/>
    <w:rsid w:val="00523048"/>
    <w:rsid w:val="00523C06"/>
    <w:rsid w:val="00523D9F"/>
    <w:rsid w:val="0052495A"/>
    <w:rsid w:val="00527A5F"/>
    <w:rsid w:val="005305BD"/>
    <w:rsid w:val="005307FD"/>
    <w:rsid w:val="005323E4"/>
    <w:rsid w:val="00532B92"/>
    <w:rsid w:val="00534C9F"/>
    <w:rsid w:val="00535680"/>
    <w:rsid w:val="00535F94"/>
    <w:rsid w:val="00537BD5"/>
    <w:rsid w:val="005416FF"/>
    <w:rsid w:val="005429F3"/>
    <w:rsid w:val="0054354F"/>
    <w:rsid w:val="00546EEC"/>
    <w:rsid w:val="00546F2F"/>
    <w:rsid w:val="005470D1"/>
    <w:rsid w:val="0055082F"/>
    <w:rsid w:val="00551746"/>
    <w:rsid w:val="00551E7F"/>
    <w:rsid w:val="00554595"/>
    <w:rsid w:val="0055662A"/>
    <w:rsid w:val="00560D2B"/>
    <w:rsid w:val="00561A24"/>
    <w:rsid w:val="005626EB"/>
    <w:rsid w:val="0056290A"/>
    <w:rsid w:val="00562F79"/>
    <w:rsid w:val="00563B4B"/>
    <w:rsid w:val="00563CBD"/>
    <w:rsid w:val="00566441"/>
    <w:rsid w:val="005666B5"/>
    <w:rsid w:val="00566799"/>
    <w:rsid w:val="00566844"/>
    <w:rsid w:val="00566BF2"/>
    <w:rsid w:val="0056705D"/>
    <w:rsid w:val="005710E1"/>
    <w:rsid w:val="00571416"/>
    <w:rsid w:val="00571800"/>
    <w:rsid w:val="00573D6A"/>
    <w:rsid w:val="00581254"/>
    <w:rsid w:val="00581D5E"/>
    <w:rsid w:val="005836C5"/>
    <w:rsid w:val="005850C0"/>
    <w:rsid w:val="00585D93"/>
    <w:rsid w:val="00586D6E"/>
    <w:rsid w:val="005875A7"/>
    <w:rsid w:val="005906AA"/>
    <w:rsid w:val="00591170"/>
    <w:rsid w:val="00591C82"/>
    <w:rsid w:val="00592DAB"/>
    <w:rsid w:val="005943A9"/>
    <w:rsid w:val="00596A65"/>
    <w:rsid w:val="005A141C"/>
    <w:rsid w:val="005A15BC"/>
    <w:rsid w:val="005A16A8"/>
    <w:rsid w:val="005A1A0D"/>
    <w:rsid w:val="005A32F2"/>
    <w:rsid w:val="005A3F03"/>
    <w:rsid w:val="005A4A6C"/>
    <w:rsid w:val="005A5FC4"/>
    <w:rsid w:val="005A63CD"/>
    <w:rsid w:val="005A6B97"/>
    <w:rsid w:val="005B03C4"/>
    <w:rsid w:val="005B2223"/>
    <w:rsid w:val="005B27FC"/>
    <w:rsid w:val="005B317E"/>
    <w:rsid w:val="005B5363"/>
    <w:rsid w:val="005B5C9F"/>
    <w:rsid w:val="005B7B77"/>
    <w:rsid w:val="005C24CB"/>
    <w:rsid w:val="005C275F"/>
    <w:rsid w:val="005C3119"/>
    <w:rsid w:val="005C316C"/>
    <w:rsid w:val="005C3911"/>
    <w:rsid w:val="005C5D9E"/>
    <w:rsid w:val="005C5FEB"/>
    <w:rsid w:val="005C6098"/>
    <w:rsid w:val="005C7C35"/>
    <w:rsid w:val="005D0051"/>
    <w:rsid w:val="005D31A4"/>
    <w:rsid w:val="005D44D8"/>
    <w:rsid w:val="005D6ECF"/>
    <w:rsid w:val="005D710C"/>
    <w:rsid w:val="005E1F6E"/>
    <w:rsid w:val="005E2AA4"/>
    <w:rsid w:val="005E32CE"/>
    <w:rsid w:val="005E5532"/>
    <w:rsid w:val="005E5642"/>
    <w:rsid w:val="005E6324"/>
    <w:rsid w:val="005E795C"/>
    <w:rsid w:val="005F007D"/>
    <w:rsid w:val="005F069E"/>
    <w:rsid w:val="005F1FA8"/>
    <w:rsid w:val="005F49A1"/>
    <w:rsid w:val="005F7FDF"/>
    <w:rsid w:val="0060101B"/>
    <w:rsid w:val="00602A1A"/>
    <w:rsid w:val="006078AD"/>
    <w:rsid w:val="006112EF"/>
    <w:rsid w:val="006113E1"/>
    <w:rsid w:val="00612AA5"/>
    <w:rsid w:val="006147C3"/>
    <w:rsid w:val="00615EB8"/>
    <w:rsid w:val="00615FDE"/>
    <w:rsid w:val="006176C4"/>
    <w:rsid w:val="006228CE"/>
    <w:rsid w:val="00622BCA"/>
    <w:rsid w:val="00622BDB"/>
    <w:rsid w:val="006233AD"/>
    <w:rsid w:val="00623ECA"/>
    <w:rsid w:val="006243D0"/>
    <w:rsid w:val="00624FE7"/>
    <w:rsid w:val="00625F97"/>
    <w:rsid w:val="0062792E"/>
    <w:rsid w:val="00630236"/>
    <w:rsid w:val="006305D6"/>
    <w:rsid w:val="0063102A"/>
    <w:rsid w:val="006352E2"/>
    <w:rsid w:val="00635566"/>
    <w:rsid w:val="00635F41"/>
    <w:rsid w:val="00636434"/>
    <w:rsid w:val="00637C28"/>
    <w:rsid w:val="00640E39"/>
    <w:rsid w:val="00641368"/>
    <w:rsid w:val="00647609"/>
    <w:rsid w:val="00650AE0"/>
    <w:rsid w:val="006528D0"/>
    <w:rsid w:val="0065319B"/>
    <w:rsid w:val="00653579"/>
    <w:rsid w:val="006535FC"/>
    <w:rsid w:val="00653DCD"/>
    <w:rsid w:val="00654568"/>
    <w:rsid w:val="0065475D"/>
    <w:rsid w:val="0065561F"/>
    <w:rsid w:val="006563D7"/>
    <w:rsid w:val="00661FCC"/>
    <w:rsid w:val="00662D69"/>
    <w:rsid w:val="0066416D"/>
    <w:rsid w:val="00666978"/>
    <w:rsid w:val="00666CE5"/>
    <w:rsid w:val="00667358"/>
    <w:rsid w:val="0066736D"/>
    <w:rsid w:val="006674CE"/>
    <w:rsid w:val="006702C9"/>
    <w:rsid w:val="00670443"/>
    <w:rsid w:val="0067060E"/>
    <w:rsid w:val="00672643"/>
    <w:rsid w:val="00675887"/>
    <w:rsid w:val="006758D9"/>
    <w:rsid w:val="00676179"/>
    <w:rsid w:val="0067638D"/>
    <w:rsid w:val="006779B4"/>
    <w:rsid w:val="00677F4E"/>
    <w:rsid w:val="0068057B"/>
    <w:rsid w:val="00680B20"/>
    <w:rsid w:val="00680C12"/>
    <w:rsid w:val="006848EE"/>
    <w:rsid w:val="00684B02"/>
    <w:rsid w:val="00685B66"/>
    <w:rsid w:val="006864B3"/>
    <w:rsid w:val="006867E3"/>
    <w:rsid w:val="00686A37"/>
    <w:rsid w:val="00690B54"/>
    <w:rsid w:val="00690B86"/>
    <w:rsid w:val="00690C9D"/>
    <w:rsid w:val="006914A0"/>
    <w:rsid w:val="006932D7"/>
    <w:rsid w:val="0069562E"/>
    <w:rsid w:val="00697E6D"/>
    <w:rsid w:val="006A4AB3"/>
    <w:rsid w:val="006A4B56"/>
    <w:rsid w:val="006A5358"/>
    <w:rsid w:val="006A5512"/>
    <w:rsid w:val="006A5FE3"/>
    <w:rsid w:val="006B06D0"/>
    <w:rsid w:val="006B2511"/>
    <w:rsid w:val="006B2A8B"/>
    <w:rsid w:val="006B43F3"/>
    <w:rsid w:val="006B4B0E"/>
    <w:rsid w:val="006B6259"/>
    <w:rsid w:val="006B737E"/>
    <w:rsid w:val="006B7DA4"/>
    <w:rsid w:val="006C2558"/>
    <w:rsid w:val="006C34CF"/>
    <w:rsid w:val="006C4C85"/>
    <w:rsid w:val="006C54CA"/>
    <w:rsid w:val="006C55F2"/>
    <w:rsid w:val="006C70AC"/>
    <w:rsid w:val="006C7A05"/>
    <w:rsid w:val="006D416F"/>
    <w:rsid w:val="006D4945"/>
    <w:rsid w:val="006D7C88"/>
    <w:rsid w:val="006E1945"/>
    <w:rsid w:val="006E21C6"/>
    <w:rsid w:val="006E2BE7"/>
    <w:rsid w:val="006E3CDE"/>
    <w:rsid w:val="006E489B"/>
    <w:rsid w:val="006F01F9"/>
    <w:rsid w:val="006F059D"/>
    <w:rsid w:val="006F1297"/>
    <w:rsid w:val="006F1813"/>
    <w:rsid w:val="006F19BE"/>
    <w:rsid w:val="006F290C"/>
    <w:rsid w:val="006F75A0"/>
    <w:rsid w:val="00700765"/>
    <w:rsid w:val="00700ACE"/>
    <w:rsid w:val="007010D6"/>
    <w:rsid w:val="0070143F"/>
    <w:rsid w:val="00701644"/>
    <w:rsid w:val="0070172A"/>
    <w:rsid w:val="00702F8C"/>
    <w:rsid w:val="00703E61"/>
    <w:rsid w:val="00703F20"/>
    <w:rsid w:val="007043CE"/>
    <w:rsid w:val="0070493D"/>
    <w:rsid w:val="00705508"/>
    <w:rsid w:val="00705F57"/>
    <w:rsid w:val="007065B4"/>
    <w:rsid w:val="00707B85"/>
    <w:rsid w:val="00711230"/>
    <w:rsid w:val="007127DE"/>
    <w:rsid w:val="00713216"/>
    <w:rsid w:val="00714D77"/>
    <w:rsid w:val="007158A3"/>
    <w:rsid w:val="00715F1E"/>
    <w:rsid w:val="007169ED"/>
    <w:rsid w:val="00716A97"/>
    <w:rsid w:val="0072059D"/>
    <w:rsid w:val="0072145D"/>
    <w:rsid w:val="00723032"/>
    <w:rsid w:val="007233AC"/>
    <w:rsid w:val="007244E3"/>
    <w:rsid w:val="00724CE5"/>
    <w:rsid w:val="0072535E"/>
    <w:rsid w:val="00726DAE"/>
    <w:rsid w:val="0072789C"/>
    <w:rsid w:val="00731195"/>
    <w:rsid w:val="007314B2"/>
    <w:rsid w:val="00731E8B"/>
    <w:rsid w:val="0073276A"/>
    <w:rsid w:val="0073484A"/>
    <w:rsid w:val="00734E23"/>
    <w:rsid w:val="007414A5"/>
    <w:rsid w:val="00741E5F"/>
    <w:rsid w:val="00742C66"/>
    <w:rsid w:val="007436D5"/>
    <w:rsid w:val="00744DD2"/>
    <w:rsid w:val="00746C36"/>
    <w:rsid w:val="0074723A"/>
    <w:rsid w:val="00751589"/>
    <w:rsid w:val="007526DA"/>
    <w:rsid w:val="00752B8D"/>
    <w:rsid w:val="00753999"/>
    <w:rsid w:val="00754D6D"/>
    <w:rsid w:val="00754E6D"/>
    <w:rsid w:val="00756AE9"/>
    <w:rsid w:val="00760D21"/>
    <w:rsid w:val="00763390"/>
    <w:rsid w:val="00764254"/>
    <w:rsid w:val="0076474F"/>
    <w:rsid w:val="00767442"/>
    <w:rsid w:val="00767B62"/>
    <w:rsid w:val="00767C7C"/>
    <w:rsid w:val="00770145"/>
    <w:rsid w:val="00770EB0"/>
    <w:rsid w:val="007710CE"/>
    <w:rsid w:val="0077296A"/>
    <w:rsid w:val="00773AC5"/>
    <w:rsid w:val="0077463D"/>
    <w:rsid w:val="00774745"/>
    <w:rsid w:val="0077476A"/>
    <w:rsid w:val="00775A80"/>
    <w:rsid w:val="00776002"/>
    <w:rsid w:val="007779F8"/>
    <w:rsid w:val="00780E44"/>
    <w:rsid w:val="007822ED"/>
    <w:rsid w:val="007832D1"/>
    <w:rsid w:val="00785950"/>
    <w:rsid w:val="00790288"/>
    <w:rsid w:val="007905F8"/>
    <w:rsid w:val="0079077E"/>
    <w:rsid w:val="00792D63"/>
    <w:rsid w:val="007934CB"/>
    <w:rsid w:val="007939F9"/>
    <w:rsid w:val="007957F9"/>
    <w:rsid w:val="00796156"/>
    <w:rsid w:val="00797E20"/>
    <w:rsid w:val="007A100A"/>
    <w:rsid w:val="007A26F8"/>
    <w:rsid w:val="007A2E4C"/>
    <w:rsid w:val="007A42B8"/>
    <w:rsid w:val="007A52E1"/>
    <w:rsid w:val="007A640E"/>
    <w:rsid w:val="007B08E6"/>
    <w:rsid w:val="007B19EB"/>
    <w:rsid w:val="007B2078"/>
    <w:rsid w:val="007B5178"/>
    <w:rsid w:val="007B5704"/>
    <w:rsid w:val="007B59B0"/>
    <w:rsid w:val="007C0EB4"/>
    <w:rsid w:val="007C11EB"/>
    <w:rsid w:val="007C2756"/>
    <w:rsid w:val="007C3C0B"/>
    <w:rsid w:val="007C445B"/>
    <w:rsid w:val="007C44E3"/>
    <w:rsid w:val="007C5D46"/>
    <w:rsid w:val="007C5DF8"/>
    <w:rsid w:val="007D103C"/>
    <w:rsid w:val="007D1F98"/>
    <w:rsid w:val="007D3E8F"/>
    <w:rsid w:val="007D3F91"/>
    <w:rsid w:val="007D554A"/>
    <w:rsid w:val="007D590B"/>
    <w:rsid w:val="007D5C63"/>
    <w:rsid w:val="007D7836"/>
    <w:rsid w:val="007D7DC0"/>
    <w:rsid w:val="007E1010"/>
    <w:rsid w:val="007E4D5A"/>
    <w:rsid w:val="007E68A9"/>
    <w:rsid w:val="007E7FF2"/>
    <w:rsid w:val="007F0518"/>
    <w:rsid w:val="007F0A0D"/>
    <w:rsid w:val="007F212A"/>
    <w:rsid w:val="007F2419"/>
    <w:rsid w:val="007F44A3"/>
    <w:rsid w:val="007F5480"/>
    <w:rsid w:val="007F5503"/>
    <w:rsid w:val="007F61CC"/>
    <w:rsid w:val="007F79D1"/>
    <w:rsid w:val="008020D7"/>
    <w:rsid w:val="00804C67"/>
    <w:rsid w:val="00810241"/>
    <w:rsid w:val="008112F8"/>
    <w:rsid w:val="00811A4C"/>
    <w:rsid w:val="00811E3C"/>
    <w:rsid w:val="00813CBF"/>
    <w:rsid w:val="00813E70"/>
    <w:rsid w:val="008160D1"/>
    <w:rsid w:val="00816C5B"/>
    <w:rsid w:val="0081769D"/>
    <w:rsid w:val="008208FB"/>
    <w:rsid w:val="00820B4F"/>
    <w:rsid w:val="008214BC"/>
    <w:rsid w:val="00822F22"/>
    <w:rsid w:val="00823271"/>
    <w:rsid w:val="008248FB"/>
    <w:rsid w:val="0082512D"/>
    <w:rsid w:val="00825483"/>
    <w:rsid w:val="008254A4"/>
    <w:rsid w:val="0082595F"/>
    <w:rsid w:val="00826834"/>
    <w:rsid w:val="00826BC4"/>
    <w:rsid w:val="008270F7"/>
    <w:rsid w:val="00827430"/>
    <w:rsid w:val="00831215"/>
    <w:rsid w:val="00831275"/>
    <w:rsid w:val="008321E7"/>
    <w:rsid w:val="00832478"/>
    <w:rsid w:val="00833063"/>
    <w:rsid w:val="008351C7"/>
    <w:rsid w:val="00835527"/>
    <w:rsid w:val="00840202"/>
    <w:rsid w:val="008412CD"/>
    <w:rsid w:val="00841DD5"/>
    <w:rsid w:val="0084302C"/>
    <w:rsid w:val="008434F6"/>
    <w:rsid w:val="00845239"/>
    <w:rsid w:val="00845391"/>
    <w:rsid w:val="0084552C"/>
    <w:rsid w:val="00852C08"/>
    <w:rsid w:val="00853116"/>
    <w:rsid w:val="0085335E"/>
    <w:rsid w:val="00853BA9"/>
    <w:rsid w:val="008550FD"/>
    <w:rsid w:val="008556E0"/>
    <w:rsid w:val="00856DB7"/>
    <w:rsid w:val="00857A1E"/>
    <w:rsid w:val="00857AB6"/>
    <w:rsid w:val="00862D53"/>
    <w:rsid w:val="00863C19"/>
    <w:rsid w:val="00864D42"/>
    <w:rsid w:val="008651A4"/>
    <w:rsid w:val="0086556F"/>
    <w:rsid w:val="00870217"/>
    <w:rsid w:val="00871574"/>
    <w:rsid w:val="0087235A"/>
    <w:rsid w:val="00872456"/>
    <w:rsid w:val="0087362E"/>
    <w:rsid w:val="008751B0"/>
    <w:rsid w:val="00875265"/>
    <w:rsid w:val="00875DED"/>
    <w:rsid w:val="00880347"/>
    <w:rsid w:val="00880E29"/>
    <w:rsid w:val="008832B8"/>
    <w:rsid w:val="00884D51"/>
    <w:rsid w:val="00884E8C"/>
    <w:rsid w:val="00885DFC"/>
    <w:rsid w:val="008865EE"/>
    <w:rsid w:val="008900CB"/>
    <w:rsid w:val="008923F3"/>
    <w:rsid w:val="008924A8"/>
    <w:rsid w:val="00893209"/>
    <w:rsid w:val="008970F9"/>
    <w:rsid w:val="00897F7E"/>
    <w:rsid w:val="008A1C28"/>
    <w:rsid w:val="008A25CA"/>
    <w:rsid w:val="008A4593"/>
    <w:rsid w:val="008A52E6"/>
    <w:rsid w:val="008A534B"/>
    <w:rsid w:val="008A5618"/>
    <w:rsid w:val="008B0B2D"/>
    <w:rsid w:val="008B233D"/>
    <w:rsid w:val="008B3315"/>
    <w:rsid w:val="008B367D"/>
    <w:rsid w:val="008B50AE"/>
    <w:rsid w:val="008B51E4"/>
    <w:rsid w:val="008B706C"/>
    <w:rsid w:val="008B74A9"/>
    <w:rsid w:val="008C2701"/>
    <w:rsid w:val="008C2AF3"/>
    <w:rsid w:val="008C33E3"/>
    <w:rsid w:val="008C3C52"/>
    <w:rsid w:val="008C3E88"/>
    <w:rsid w:val="008C51CC"/>
    <w:rsid w:val="008C5695"/>
    <w:rsid w:val="008C62E8"/>
    <w:rsid w:val="008C67C8"/>
    <w:rsid w:val="008D20F0"/>
    <w:rsid w:val="008D3197"/>
    <w:rsid w:val="008D3DED"/>
    <w:rsid w:val="008E33C0"/>
    <w:rsid w:val="008E54C3"/>
    <w:rsid w:val="008E63AE"/>
    <w:rsid w:val="008E7295"/>
    <w:rsid w:val="008E7B1C"/>
    <w:rsid w:val="008F0A46"/>
    <w:rsid w:val="008F1481"/>
    <w:rsid w:val="008F3489"/>
    <w:rsid w:val="008F4D0C"/>
    <w:rsid w:val="008F6064"/>
    <w:rsid w:val="008F7DC6"/>
    <w:rsid w:val="00900630"/>
    <w:rsid w:val="0090158D"/>
    <w:rsid w:val="00902507"/>
    <w:rsid w:val="00902E9A"/>
    <w:rsid w:val="00903429"/>
    <w:rsid w:val="00903676"/>
    <w:rsid w:val="00904E78"/>
    <w:rsid w:val="00906316"/>
    <w:rsid w:val="00910E3D"/>
    <w:rsid w:val="0091173A"/>
    <w:rsid w:val="00913BCB"/>
    <w:rsid w:val="0091459B"/>
    <w:rsid w:val="009152B9"/>
    <w:rsid w:val="009200C5"/>
    <w:rsid w:val="009201E8"/>
    <w:rsid w:val="00921803"/>
    <w:rsid w:val="00921B80"/>
    <w:rsid w:val="009223E3"/>
    <w:rsid w:val="00923652"/>
    <w:rsid w:val="00923A1C"/>
    <w:rsid w:val="00924BB6"/>
    <w:rsid w:val="009251BC"/>
    <w:rsid w:val="00925C47"/>
    <w:rsid w:val="00926674"/>
    <w:rsid w:val="0092798A"/>
    <w:rsid w:val="009279FB"/>
    <w:rsid w:val="009321EE"/>
    <w:rsid w:val="00932E48"/>
    <w:rsid w:val="00932EE1"/>
    <w:rsid w:val="00932F08"/>
    <w:rsid w:val="00934133"/>
    <w:rsid w:val="00936F3C"/>
    <w:rsid w:val="00941A03"/>
    <w:rsid w:val="0094290D"/>
    <w:rsid w:val="0094330B"/>
    <w:rsid w:val="00943951"/>
    <w:rsid w:val="009478A7"/>
    <w:rsid w:val="00952F45"/>
    <w:rsid w:val="009539DE"/>
    <w:rsid w:val="00954583"/>
    <w:rsid w:val="009546B3"/>
    <w:rsid w:val="00954E51"/>
    <w:rsid w:val="00955446"/>
    <w:rsid w:val="00956F67"/>
    <w:rsid w:val="009625EB"/>
    <w:rsid w:val="0096295C"/>
    <w:rsid w:val="009633DB"/>
    <w:rsid w:val="00964B2A"/>
    <w:rsid w:val="00971704"/>
    <w:rsid w:val="00971BFE"/>
    <w:rsid w:val="00971CC2"/>
    <w:rsid w:val="00972029"/>
    <w:rsid w:val="009777D0"/>
    <w:rsid w:val="00977C71"/>
    <w:rsid w:val="009815EB"/>
    <w:rsid w:val="00982E83"/>
    <w:rsid w:val="00986F6E"/>
    <w:rsid w:val="00990B6E"/>
    <w:rsid w:val="00992659"/>
    <w:rsid w:val="009A1C04"/>
    <w:rsid w:val="009A2C8B"/>
    <w:rsid w:val="009A2FF9"/>
    <w:rsid w:val="009A66DD"/>
    <w:rsid w:val="009B02E7"/>
    <w:rsid w:val="009B1E14"/>
    <w:rsid w:val="009B1EB2"/>
    <w:rsid w:val="009B256C"/>
    <w:rsid w:val="009B2933"/>
    <w:rsid w:val="009B4DDD"/>
    <w:rsid w:val="009B63AD"/>
    <w:rsid w:val="009C1418"/>
    <w:rsid w:val="009C1923"/>
    <w:rsid w:val="009C1B9C"/>
    <w:rsid w:val="009C1C62"/>
    <w:rsid w:val="009C206F"/>
    <w:rsid w:val="009C276B"/>
    <w:rsid w:val="009C2A4E"/>
    <w:rsid w:val="009C7231"/>
    <w:rsid w:val="009C72C0"/>
    <w:rsid w:val="009D0DF9"/>
    <w:rsid w:val="009D17FE"/>
    <w:rsid w:val="009D519C"/>
    <w:rsid w:val="009D5D80"/>
    <w:rsid w:val="009D6AEC"/>
    <w:rsid w:val="009D7B0A"/>
    <w:rsid w:val="009E0540"/>
    <w:rsid w:val="009E20F6"/>
    <w:rsid w:val="009E2211"/>
    <w:rsid w:val="009E2988"/>
    <w:rsid w:val="009E50A5"/>
    <w:rsid w:val="009E5A1F"/>
    <w:rsid w:val="009E6B32"/>
    <w:rsid w:val="009E748C"/>
    <w:rsid w:val="009E76ED"/>
    <w:rsid w:val="009E7786"/>
    <w:rsid w:val="009E7C32"/>
    <w:rsid w:val="009F2069"/>
    <w:rsid w:val="009F22C6"/>
    <w:rsid w:val="009F2608"/>
    <w:rsid w:val="009F38B7"/>
    <w:rsid w:val="009F3C5B"/>
    <w:rsid w:val="009F44E5"/>
    <w:rsid w:val="009F506E"/>
    <w:rsid w:val="009F6FF3"/>
    <w:rsid w:val="009F7EC8"/>
    <w:rsid w:val="00A03217"/>
    <w:rsid w:val="00A03EEC"/>
    <w:rsid w:val="00A0482E"/>
    <w:rsid w:val="00A0711A"/>
    <w:rsid w:val="00A07624"/>
    <w:rsid w:val="00A1066B"/>
    <w:rsid w:val="00A111FC"/>
    <w:rsid w:val="00A11979"/>
    <w:rsid w:val="00A1333F"/>
    <w:rsid w:val="00A149E9"/>
    <w:rsid w:val="00A15CF7"/>
    <w:rsid w:val="00A220EA"/>
    <w:rsid w:val="00A22340"/>
    <w:rsid w:val="00A23463"/>
    <w:rsid w:val="00A234F3"/>
    <w:rsid w:val="00A235EF"/>
    <w:rsid w:val="00A25CD7"/>
    <w:rsid w:val="00A2703A"/>
    <w:rsid w:val="00A32503"/>
    <w:rsid w:val="00A3342F"/>
    <w:rsid w:val="00A368F8"/>
    <w:rsid w:val="00A40E13"/>
    <w:rsid w:val="00A4102C"/>
    <w:rsid w:val="00A43C3A"/>
    <w:rsid w:val="00A45EEB"/>
    <w:rsid w:val="00A472C9"/>
    <w:rsid w:val="00A47DB4"/>
    <w:rsid w:val="00A5131A"/>
    <w:rsid w:val="00A5299F"/>
    <w:rsid w:val="00A531F9"/>
    <w:rsid w:val="00A53A48"/>
    <w:rsid w:val="00A53ADC"/>
    <w:rsid w:val="00A55114"/>
    <w:rsid w:val="00A5599B"/>
    <w:rsid w:val="00A55D9A"/>
    <w:rsid w:val="00A57201"/>
    <w:rsid w:val="00A605D5"/>
    <w:rsid w:val="00A6126E"/>
    <w:rsid w:val="00A6297D"/>
    <w:rsid w:val="00A634A3"/>
    <w:rsid w:val="00A63E58"/>
    <w:rsid w:val="00A667B4"/>
    <w:rsid w:val="00A671F2"/>
    <w:rsid w:val="00A7120E"/>
    <w:rsid w:val="00A72505"/>
    <w:rsid w:val="00A757E2"/>
    <w:rsid w:val="00A76B53"/>
    <w:rsid w:val="00A76DEB"/>
    <w:rsid w:val="00A806F3"/>
    <w:rsid w:val="00A808E0"/>
    <w:rsid w:val="00A81F9C"/>
    <w:rsid w:val="00A82D97"/>
    <w:rsid w:val="00A83F52"/>
    <w:rsid w:val="00A8554E"/>
    <w:rsid w:val="00A85B73"/>
    <w:rsid w:val="00A90AC0"/>
    <w:rsid w:val="00A90AC9"/>
    <w:rsid w:val="00A912AC"/>
    <w:rsid w:val="00A9213B"/>
    <w:rsid w:val="00A92973"/>
    <w:rsid w:val="00A92AAC"/>
    <w:rsid w:val="00A938F2"/>
    <w:rsid w:val="00A93A1F"/>
    <w:rsid w:val="00A976CF"/>
    <w:rsid w:val="00A978FD"/>
    <w:rsid w:val="00AA1B14"/>
    <w:rsid w:val="00AA32D1"/>
    <w:rsid w:val="00AA5794"/>
    <w:rsid w:val="00AA6943"/>
    <w:rsid w:val="00AA6DBD"/>
    <w:rsid w:val="00AA7D4B"/>
    <w:rsid w:val="00AB0D8E"/>
    <w:rsid w:val="00AB1B7A"/>
    <w:rsid w:val="00AB24D9"/>
    <w:rsid w:val="00AB27EA"/>
    <w:rsid w:val="00AB5089"/>
    <w:rsid w:val="00AB57AC"/>
    <w:rsid w:val="00AB6374"/>
    <w:rsid w:val="00AB6549"/>
    <w:rsid w:val="00AB7501"/>
    <w:rsid w:val="00AC175E"/>
    <w:rsid w:val="00AC37A6"/>
    <w:rsid w:val="00AC5529"/>
    <w:rsid w:val="00AC792A"/>
    <w:rsid w:val="00AD13C4"/>
    <w:rsid w:val="00AD19CF"/>
    <w:rsid w:val="00AD4F2F"/>
    <w:rsid w:val="00AD62EA"/>
    <w:rsid w:val="00AD6723"/>
    <w:rsid w:val="00AD6E12"/>
    <w:rsid w:val="00AE04E5"/>
    <w:rsid w:val="00AE0FE0"/>
    <w:rsid w:val="00AE1769"/>
    <w:rsid w:val="00AE1B0F"/>
    <w:rsid w:val="00AE27E8"/>
    <w:rsid w:val="00AE2AAB"/>
    <w:rsid w:val="00AE3798"/>
    <w:rsid w:val="00AE7A74"/>
    <w:rsid w:val="00AF02C6"/>
    <w:rsid w:val="00AF236F"/>
    <w:rsid w:val="00AF3F48"/>
    <w:rsid w:val="00AF4E18"/>
    <w:rsid w:val="00AF7676"/>
    <w:rsid w:val="00AF7705"/>
    <w:rsid w:val="00AF79E9"/>
    <w:rsid w:val="00AF7A07"/>
    <w:rsid w:val="00B01F36"/>
    <w:rsid w:val="00B024E2"/>
    <w:rsid w:val="00B03019"/>
    <w:rsid w:val="00B04B45"/>
    <w:rsid w:val="00B07F3E"/>
    <w:rsid w:val="00B100EE"/>
    <w:rsid w:val="00B10170"/>
    <w:rsid w:val="00B112E5"/>
    <w:rsid w:val="00B141BF"/>
    <w:rsid w:val="00B16404"/>
    <w:rsid w:val="00B16F8F"/>
    <w:rsid w:val="00B2046E"/>
    <w:rsid w:val="00B21A1D"/>
    <w:rsid w:val="00B22697"/>
    <w:rsid w:val="00B237B5"/>
    <w:rsid w:val="00B237F3"/>
    <w:rsid w:val="00B23F50"/>
    <w:rsid w:val="00B25BE2"/>
    <w:rsid w:val="00B26E96"/>
    <w:rsid w:val="00B27A9E"/>
    <w:rsid w:val="00B27AD2"/>
    <w:rsid w:val="00B327DD"/>
    <w:rsid w:val="00B329DC"/>
    <w:rsid w:val="00B32AFF"/>
    <w:rsid w:val="00B339A7"/>
    <w:rsid w:val="00B34832"/>
    <w:rsid w:val="00B3752A"/>
    <w:rsid w:val="00B400B5"/>
    <w:rsid w:val="00B42F93"/>
    <w:rsid w:val="00B430C2"/>
    <w:rsid w:val="00B44238"/>
    <w:rsid w:val="00B443C5"/>
    <w:rsid w:val="00B460B2"/>
    <w:rsid w:val="00B46104"/>
    <w:rsid w:val="00B47AC8"/>
    <w:rsid w:val="00B47E88"/>
    <w:rsid w:val="00B50ED8"/>
    <w:rsid w:val="00B50F7C"/>
    <w:rsid w:val="00B54114"/>
    <w:rsid w:val="00B5426B"/>
    <w:rsid w:val="00B560A5"/>
    <w:rsid w:val="00B56398"/>
    <w:rsid w:val="00B56610"/>
    <w:rsid w:val="00B56A8A"/>
    <w:rsid w:val="00B605E1"/>
    <w:rsid w:val="00B61435"/>
    <w:rsid w:val="00B62CE2"/>
    <w:rsid w:val="00B63BFA"/>
    <w:rsid w:val="00B6771A"/>
    <w:rsid w:val="00B7027A"/>
    <w:rsid w:val="00B7323D"/>
    <w:rsid w:val="00B743C3"/>
    <w:rsid w:val="00B74FEE"/>
    <w:rsid w:val="00B754FC"/>
    <w:rsid w:val="00B764A6"/>
    <w:rsid w:val="00B7730A"/>
    <w:rsid w:val="00B7788E"/>
    <w:rsid w:val="00B80AB8"/>
    <w:rsid w:val="00B8465F"/>
    <w:rsid w:val="00B8731A"/>
    <w:rsid w:val="00B90F6A"/>
    <w:rsid w:val="00B913FC"/>
    <w:rsid w:val="00B9147A"/>
    <w:rsid w:val="00B92B5D"/>
    <w:rsid w:val="00B92D69"/>
    <w:rsid w:val="00B949AD"/>
    <w:rsid w:val="00B94BA5"/>
    <w:rsid w:val="00B95C26"/>
    <w:rsid w:val="00B97CD1"/>
    <w:rsid w:val="00BA1C48"/>
    <w:rsid w:val="00BA3F93"/>
    <w:rsid w:val="00BA427A"/>
    <w:rsid w:val="00BA6E8F"/>
    <w:rsid w:val="00BA7029"/>
    <w:rsid w:val="00BA7CCA"/>
    <w:rsid w:val="00BA7DC8"/>
    <w:rsid w:val="00BB29EC"/>
    <w:rsid w:val="00BB398A"/>
    <w:rsid w:val="00BB5E9A"/>
    <w:rsid w:val="00BB689B"/>
    <w:rsid w:val="00BB6AA5"/>
    <w:rsid w:val="00BB6EF0"/>
    <w:rsid w:val="00BC0DD3"/>
    <w:rsid w:val="00BC474E"/>
    <w:rsid w:val="00BC4C15"/>
    <w:rsid w:val="00BC7F65"/>
    <w:rsid w:val="00BD068E"/>
    <w:rsid w:val="00BD17A5"/>
    <w:rsid w:val="00BD2244"/>
    <w:rsid w:val="00BD4397"/>
    <w:rsid w:val="00BD4495"/>
    <w:rsid w:val="00BD4B9D"/>
    <w:rsid w:val="00BD678A"/>
    <w:rsid w:val="00BD7F58"/>
    <w:rsid w:val="00BE0A68"/>
    <w:rsid w:val="00BE0E90"/>
    <w:rsid w:val="00BE1ED0"/>
    <w:rsid w:val="00BE3268"/>
    <w:rsid w:val="00BE3621"/>
    <w:rsid w:val="00BE577A"/>
    <w:rsid w:val="00BE6BB9"/>
    <w:rsid w:val="00BE6EB2"/>
    <w:rsid w:val="00BE798A"/>
    <w:rsid w:val="00BF3389"/>
    <w:rsid w:val="00BF3B81"/>
    <w:rsid w:val="00BF3D08"/>
    <w:rsid w:val="00BF3D25"/>
    <w:rsid w:val="00BF420B"/>
    <w:rsid w:val="00BF5811"/>
    <w:rsid w:val="00BF5991"/>
    <w:rsid w:val="00BF5F59"/>
    <w:rsid w:val="00BF6988"/>
    <w:rsid w:val="00BF6E81"/>
    <w:rsid w:val="00BF6FD1"/>
    <w:rsid w:val="00BF7680"/>
    <w:rsid w:val="00C02496"/>
    <w:rsid w:val="00C0260E"/>
    <w:rsid w:val="00C02E2B"/>
    <w:rsid w:val="00C03EBD"/>
    <w:rsid w:val="00C040A8"/>
    <w:rsid w:val="00C045C9"/>
    <w:rsid w:val="00C04A53"/>
    <w:rsid w:val="00C04DF0"/>
    <w:rsid w:val="00C05B3A"/>
    <w:rsid w:val="00C07F48"/>
    <w:rsid w:val="00C120CA"/>
    <w:rsid w:val="00C13A89"/>
    <w:rsid w:val="00C15553"/>
    <w:rsid w:val="00C16E3E"/>
    <w:rsid w:val="00C2002A"/>
    <w:rsid w:val="00C21126"/>
    <w:rsid w:val="00C2316C"/>
    <w:rsid w:val="00C23656"/>
    <w:rsid w:val="00C23AAB"/>
    <w:rsid w:val="00C24EDD"/>
    <w:rsid w:val="00C27F2C"/>
    <w:rsid w:val="00C30404"/>
    <w:rsid w:val="00C3161A"/>
    <w:rsid w:val="00C34A5E"/>
    <w:rsid w:val="00C34E96"/>
    <w:rsid w:val="00C36D32"/>
    <w:rsid w:val="00C37016"/>
    <w:rsid w:val="00C41D26"/>
    <w:rsid w:val="00C44B28"/>
    <w:rsid w:val="00C457AC"/>
    <w:rsid w:val="00C46CDF"/>
    <w:rsid w:val="00C51203"/>
    <w:rsid w:val="00C5138A"/>
    <w:rsid w:val="00C5222B"/>
    <w:rsid w:val="00C52DB9"/>
    <w:rsid w:val="00C54BCB"/>
    <w:rsid w:val="00C55734"/>
    <w:rsid w:val="00C55BD9"/>
    <w:rsid w:val="00C56BD3"/>
    <w:rsid w:val="00C5730D"/>
    <w:rsid w:val="00C5758E"/>
    <w:rsid w:val="00C600DB"/>
    <w:rsid w:val="00C61F0A"/>
    <w:rsid w:val="00C63275"/>
    <w:rsid w:val="00C63BFF"/>
    <w:rsid w:val="00C65989"/>
    <w:rsid w:val="00C711D3"/>
    <w:rsid w:val="00C71E11"/>
    <w:rsid w:val="00C72671"/>
    <w:rsid w:val="00C72B6C"/>
    <w:rsid w:val="00C7401D"/>
    <w:rsid w:val="00C741F5"/>
    <w:rsid w:val="00C748E9"/>
    <w:rsid w:val="00C75A2E"/>
    <w:rsid w:val="00C77B73"/>
    <w:rsid w:val="00C83736"/>
    <w:rsid w:val="00C85C69"/>
    <w:rsid w:val="00C85DDC"/>
    <w:rsid w:val="00C8744E"/>
    <w:rsid w:val="00C90E77"/>
    <w:rsid w:val="00C920AE"/>
    <w:rsid w:val="00C93E78"/>
    <w:rsid w:val="00C956F2"/>
    <w:rsid w:val="00CA01C0"/>
    <w:rsid w:val="00CA0E1C"/>
    <w:rsid w:val="00CA198B"/>
    <w:rsid w:val="00CA1FC7"/>
    <w:rsid w:val="00CA2E77"/>
    <w:rsid w:val="00CA3E4F"/>
    <w:rsid w:val="00CA4C3B"/>
    <w:rsid w:val="00CA4FD1"/>
    <w:rsid w:val="00CB2160"/>
    <w:rsid w:val="00CB57F0"/>
    <w:rsid w:val="00CB59F6"/>
    <w:rsid w:val="00CB63D7"/>
    <w:rsid w:val="00CB6E19"/>
    <w:rsid w:val="00CB7363"/>
    <w:rsid w:val="00CC00AB"/>
    <w:rsid w:val="00CC087D"/>
    <w:rsid w:val="00CC3FD9"/>
    <w:rsid w:val="00CC4F7F"/>
    <w:rsid w:val="00CC5E02"/>
    <w:rsid w:val="00CC65CF"/>
    <w:rsid w:val="00CD123C"/>
    <w:rsid w:val="00CD1693"/>
    <w:rsid w:val="00CD19F7"/>
    <w:rsid w:val="00CD2C70"/>
    <w:rsid w:val="00CD3905"/>
    <w:rsid w:val="00CD4037"/>
    <w:rsid w:val="00CD43C0"/>
    <w:rsid w:val="00CD4BA8"/>
    <w:rsid w:val="00CD60FE"/>
    <w:rsid w:val="00CD6210"/>
    <w:rsid w:val="00CD71E9"/>
    <w:rsid w:val="00CE034C"/>
    <w:rsid w:val="00CE0FE9"/>
    <w:rsid w:val="00CE55D6"/>
    <w:rsid w:val="00CE660B"/>
    <w:rsid w:val="00CE6D6F"/>
    <w:rsid w:val="00CE7C20"/>
    <w:rsid w:val="00CF300B"/>
    <w:rsid w:val="00CF3D22"/>
    <w:rsid w:val="00CF52F8"/>
    <w:rsid w:val="00CF72DD"/>
    <w:rsid w:val="00CF7FF7"/>
    <w:rsid w:val="00D008F6"/>
    <w:rsid w:val="00D02F4C"/>
    <w:rsid w:val="00D04022"/>
    <w:rsid w:val="00D04E79"/>
    <w:rsid w:val="00D053B6"/>
    <w:rsid w:val="00D0747D"/>
    <w:rsid w:val="00D10C62"/>
    <w:rsid w:val="00D1134A"/>
    <w:rsid w:val="00D11602"/>
    <w:rsid w:val="00D11D02"/>
    <w:rsid w:val="00D12148"/>
    <w:rsid w:val="00D131FA"/>
    <w:rsid w:val="00D141B2"/>
    <w:rsid w:val="00D14828"/>
    <w:rsid w:val="00D178F0"/>
    <w:rsid w:val="00D210C0"/>
    <w:rsid w:val="00D21198"/>
    <w:rsid w:val="00D21982"/>
    <w:rsid w:val="00D21BD9"/>
    <w:rsid w:val="00D2276E"/>
    <w:rsid w:val="00D23AE6"/>
    <w:rsid w:val="00D23D30"/>
    <w:rsid w:val="00D253EB"/>
    <w:rsid w:val="00D25B72"/>
    <w:rsid w:val="00D27F9C"/>
    <w:rsid w:val="00D30D6D"/>
    <w:rsid w:val="00D32B17"/>
    <w:rsid w:val="00D344D3"/>
    <w:rsid w:val="00D35375"/>
    <w:rsid w:val="00D37E9F"/>
    <w:rsid w:val="00D41A04"/>
    <w:rsid w:val="00D423C5"/>
    <w:rsid w:val="00D425F5"/>
    <w:rsid w:val="00D42A69"/>
    <w:rsid w:val="00D43A91"/>
    <w:rsid w:val="00D44C65"/>
    <w:rsid w:val="00D45E05"/>
    <w:rsid w:val="00D503E5"/>
    <w:rsid w:val="00D53781"/>
    <w:rsid w:val="00D55586"/>
    <w:rsid w:val="00D56CDE"/>
    <w:rsid w:val="00D57D71"/>
    <w:rsid w:val="00D631AE"/>
    <w:rsid w:val="00D642E9"/>
    <w:rsid w:val="00D64770"/>
    <w:rsid w:val="00D66B88"/>
    <w:rsid w:val="00D66D49"/>
    <w:rsid w:val="00D72A18"/>
    <w:rsid w:val="00D734D6"/>
    <w:rsid w:val="00D7474F"/>
    <w:rsid w:val="00D75C96"/>
    <w:rsid w:val="00D7751B"/>
    <w:rsid w:val="00D77A4C"/>
    <w:rsid w:val="00D807CF"/>
    <w:rsid w:val="00D816A0"/>
    <w:rsid w:val="00D82177"/>
    <w:rsid w:val="00D866A7"/>
    <w:rsid w:val="00D90A50"/>
    <w:rsid w:val="00D9124B"/>
    <w:rsid w:val="00D913AE"/>
    <w:rsid w:val="00D921DF"/>
    <w:rsid w:val="00D9234A"/>
    <w:rsid w:val="00D93EED"/>
    <w:rsid w:val="00D945F1"/>
    <w:rsid w:val="00D97C6F"/>
    <w:rsid w:val="00DA1B84"/>
    <w:rsid w:val="00DA2294"/>
    <w:rsid w:val="00DA5513"/>
    <w:rsid w:val="00DA6B4A"/>
    <w:rsid w:val="00DB07B6"/>
    <w:rsid w:val="00DB1750"/>
    <w:rsid w:val="00DB194F"/>
    <w:rsid w:val="00DB2D02"/>
    <w:rsid w:val="00DB31DE"/>
    <w:rsid w:val="00DB5481"/>
    <w:rsid w:val="00DB6664"/>
    <w:rsid w:val="00DB7666"/>
    <w:rsid w:val="00DC0F05"/>
    <w:rsid w:val="00DC1107"/>
    <w:rsid w:val="00DC12EE"/>
    <w:rsid w:val="00DC25D4"/>
    <w:rsid w:val="00DC37ED"/>
    <w:rsid w:val="00DC3B56"/>
    <w:rsid w:val="00DC414E"/>
    <w:rsid w:val="00DC5CFA"/>
    <w:rsid w:val="00DC79D6"/>
    <w:rsid w:val="00DD09F1"/>
    <w:rsid w:val="00DD2709"/>
    <w:rsid w:val="00DD3800"/>
    <w:rsid w:val="00DD3D9B"/>
    <w:rsid w:val="00DD57A2"/>
    <w:rsid w:val="00DD7F08"/>
    <w:rsid w:val="00DE226F"/>
    <w:rsid w:val="00DE2642"/>
    <w:rsid w:val="00DE272E"/>
    <w:rsid w:val="00DE4A34"/>
    <w:rsid w:val="00DE753A"/>
    <w:rsid w:val="00DE79F8"/>
    <w:rsid w:val="00DE7B02"/>
    <w:rsid w:val="00DF0578"/>
    <w:rsid w:val="00DF1FD1"/>
    <w:rsid w:val="00DF4CC3"/>
    <w:rsid w:val="00DF5326"/>
    <w:rsid w:val="00DF6C40"/>
    <w:rsid w:val="00DF76AE"/>
    <w:rsid w:val="00DF7C91"/>
    <w:rsid w:val="00E000B7"/>
    <w:rsid w:val="00E00F05"/>
    <w:rsid w:val="00E0340C"/>
    <w:rsid w:val="00E05C31"/>
    <w:rsid w:val="00E0675F"/>
    <w:rsid w:val="00E10071"/>
    <w:rsid w:val="00E10653"/>
    <w:rsid w:val="00E114F3"/>
    <w:rsid w:val="00E12858"/>
    <w:rsid w:val="00E1603C"/>
    <w:rsid w:val="00E16CA4"/>
    <w:rsid w:val="00E17A4F"/>
    <w:rsid w:val="00E2037E"/>
    <w:rsid w:val="00E20820"/>
    <w:rsid w:val="00E20C9C"/>
    <w:rsid w:val="00E210E3"/>
    <w:rsid w:val="00E21B23"/>
    <w:rsid w:val="00E227CE"/>
    <w:rsid w:val="00E25531"/>
    <w:rsid w:val="00E27ED5"/>
    <w:rsid w:val="00E311DB"/>
    <w:rsid w:val="00E31BB5"/>
    <w:rsid w:val="00E32036"/>
    <w:rsid w:val="00E3292C"/>
    <w:rsid w:val="00E330C3"/>
    <w:rsid w:val="00E3471E"/>
    <w:rsid w:val="00E35548"/>
    <w:rsid w:val="00E35AA8"/>
    <w:rsid w:val="00E36A75"/>
    <w:rsid w:val="00E405E5"/>
    <w:rsid w:val="00E40D7E"/>
    <w:rsid w:val="00E51B36"/>
    <w:rsid w:val="00E51BF9"/>
    <w:rsid w:val="00E52ECB"/>
    <w:rsid w:val="00E57AB7"/>
    <w:rsid w:val="00E621E3"/>
    <w:rsid w:val="00E64649"/>
    <w:rsid w:val="00E65F7A"/>
    <w:rsid w:val="00E66C49"/>
    <w:rsid w:val="00E66D6A"/>
    <w:rsid w:val="00E66F37"/>
    <w:rsid w:val="00E66F7D"/>
    <w:rsid w:val="00E6758B"/>
    <w:rsid w:val="00E67B8A"/>
    <w:rsid w:val="00E721A0"/>
    <w:rsid w:val="00E7269E"/>
    <w:rsid w:val="00E76508"/>
    <w:rsid w:val="00E779A9"/>
    <w:rsid w:val="00E81E85"/>
    <w:rsid w:val="00E838C9"/>
    <w:rsid w:val="00E84B93"/>
    <w:rsid w:val="00E84D99"/>
    <w:rsid w:val="00E8682F"/>
    <w:rsid w:val="00E86DBF"/>
    <w:rsid w:val="00E8760D"/>
    <w:rsid w:val="00E87E56"/>
    <w:rsid w:val="00E90069"/>
    <w:rsid w:val="00E92B79"/>
    <w:rsid w:val="00E93A51"/>
    <w:rsid w:val="00E93D2B"/>
    <w:rsid w:val="00E948F5"/>
    <w:rsid w:val="00E94D06"/>
    <w:rsid w:val="00E95CB5"/>
    <w:rsid w:val="00E96A4E"/>
    <w:rsid w:val="00E97568"/>
    <w:rsid w:val="00E9768D"/>
    <w:rsid w:val="00E97AE5"/>
    <w:rsid w:val="00EA0ABC"/>
    <w:rsid w:val="00EA1A1D"/>
    <w:rsid w:val="00EA2033"/>
    <w:rsid w:val="00EA24BB"/>
    <w:rsid w:val="00EA32C9"/>
    <w:rsid w:val="00EA362F"/>
    <w:rsid w:val="00EA5198"/>
    <w:rsid w:val="00EA5AA7"/>
    <w:rsid w:val="00EA616A"/>
    <w:rsid w:val="00EB0449"/>
    <w:rsid w:val="00EB2250"/>
    <w:rsid w:val="00EB22BA"/>
    <w:rsid w:val="00EB2840"/>
    <w:rsid w:val="00EB2946"/>
    <w:rsid w:val="00EB5BCB"/>
    <w:rsid w:val="00EC2468"/>
    <w:rsid w:val="00EC348C"/>
    <w:rsid w:val="00EC3A0D"/>
    <w:rsid w:val="00EC505D"/>
    <w:rsid w:val="00EC64A8"/>
    <w:rsid w:val="00ED0891"/>
    <w:rsid w:val="00ED0FBF"/>
    <w:rsid w:val="00ED104A"/>
    <w:rsid w:val="00ED1CB1"/>
    <w:rsid w:val="00ED2751"/>
    <w:rsid w:val="00ED46A5"/>
    <w:rsid w:val="00ED475C"/>
    <w:rsid w:val="00ED4E3B"/>
    <w:rsid w:val="00ED72E7"/>
    <w:rsid w:val="00ED7E8D"/>
    <w:rsid w:val="00EE0E86"/>
    <w:rsid w:val="00EE1092"/>
    <w:rsid w:val="00EE179D"/>
    <w:rsid w:val="00EE1E64"/>
    <w:rsid w:val="00EE1F71"/>
    <w:rsid w:val="00EE2F29"/>
    <w:rsid w:val="00EE30FE"/>
    <w:rsid w:val="00EE486B"/>
    <w:rsid w:val="00EE575A"/>
    <w:rsid w:val="00EE5F2E"/>
    <w:rsid w:val="00EE67D0"/>
    <w:rsid w:val="00EE6CEE"/>
    <w:rsid w:val="00EE70F8"/>
    <w:rsid w:val="00EF1004"/>
    <w:rsid w:val="00EF2D90"/>
    <w:rsid w:val="00EF4656"/>
    <w:rsid w:val="00EF542A"/>
    <w:rsid w:val="00EF5515"/>
    <w:rsid w:val="00EF6FDA"/>
    <w:rsid w:val="00EF769E"/>
    <w:rsid w:val="00F02000"/>
    <w:rsid w:val="00F064BC"/>
    <w:rsid w:val="00F07EE7"/>
    <w:rsid w:val="00F1113C"/>
    <w:rsid w:val="00F11E6B"/>
    <w:rsid w:val="00F11FF5"/>
    <w:rsid w:val="00F12018"/>
    <w:rsid w:val="00F122F7"/>
    <w:rsid w:val="00F13008"/>
    <w:rsid w:val="00F130E0"/>
    <w:rsid w:val="00F1553C"/>
    <w:rsid w:val="00F1638F"/>
    <w:rsid w:val="00F16EB7"/>
    <w:rsid w:val="00F1769B"/>
    <w:rsid w:val="00F1773B"/>
    <w:rsid w:val="00F201DE"/>
    <w:rsid w:val="00F23F58"/>
    <w:rsid w:val="00F27FB7"/>
    <w:rsid w:val="00F3135F"/>
    <w:rsid w:val="00F334B7"/>
    <w:rsid w:val="00F337AA"/>
    <w:rsid w:val="00F360EA"/>
    <w:rsid w:val="00F3671B"/>
    <w:rsid w:val="00F36B99"/>
    <w:rsid w:val="00F378B1"/>
    <w:rsid w:val="00F37F2F"/>
    <w:rsid w:val="00F4336F"/>
    <w:rsid w:val="00F43801"/>
    <w:rsid w:val="00F4526F"/>
    <w:rsid w:val="00F46447"/>
    <w:rsid w:val="00F50167"/>
    <w:rsid w:val="00F52CB7"/>
    <w:rsid w:val="00F5348B"/>
    <w:rsid w:val="00F53E7A"/>
    <w:rsid w:val="00F56817"/>
    <w:rsid w:val="00F56DD9"/>
    <w:rsid w:val="00F63729"/>
    <w:rsid w:val="00F65397"/>
    <w:rsid w:val="00F713A5"/>
    <w:rsid w:val="00F72BD0"/>
    <w:rsid w:val="00F73139"/>
    <w:rsid w:val="00F74297"/>
    <w:rsid w:val="00F749C2"/>
    <w:rsid w:val="00F7591B"/>
    <w:rsid w:val="00F76CD6"/>
    <w:rsid w:val="00F80FD0"/>
    <w:rsid w:val="00F81FD0"/>
    <w:rsid w:val="00F8276E"/>
    <w:rsid w:val="00F86CE1"/>
    <w:rsid w:val="00F915A3"/>
    <w:rsid w:val="00F91D96"/>
    <w:rsid w:val="00F92FB5"/>
    <w:rsid w:val="00F936B2"/>
    <w:rsid w:val="00F949AA"/>
    <w:rsid w:val="00F955BC"/>
    <w:rsid w:val="00F96308"/>
    <w:rsid w:val="00F967FC"/>
    <w:rsid w:val="00FA00F8"/>
    <w:rsid w:val="00FA0362"/>
    <w:rsid w:val="00FA10A6"/>
    <w:rsid w:val="00FA14BD"/>
    <w:rsid w:val="00FA3439"/>
    <w:rsid w:val="00FA3AD2"/>
    <w:rsid w:val="00FA43EA"/>
    <w:rsid w:val="00FA6E0F"/>
    <w:rsid w:val="00FB238C"/>
    <w:rsid w:val="00FB27B4"/>
    <w:rsid w:val="00FB5F89"/>
    <w:rsid w:val="00FC0957"/>
    <w:rsid w:val="00FC119F"/>
    <w:rsid w:val="00FC1D1A"/>
    <w:rsid w:val="00FC33A7"/>
    <w:rsid w:val="00FC3430"/>
    <w:rsid w:val="00FC5E97"/>
    <w:rsid w:val="00FC6202"/>
    <w:rsid w:val="00FD44E1"/>
    <w:rsid w:val="00FD5236"/>
    <w:rsid w:val="00FD5E06"/>
    <w:rsid w:val="00FD62BD"/>
    <w:rsid w:val="00FD6B08"/>
    <w:rsid w:val="00FE21D1"/>
    <w:rsid w:val="00FE5B32"/>
    <w:rsid w:val="00FE7E4B"/>
    <w:rsid w:val="00FF1264"/>
    <w:rsid w:val="00FF2CC3"/>
    <w:rsid w:val="00FF48EF"/>
    <w:rsid w:val="00FF5337"/>
    <w:rsid w:val="00FF7976"/>
    <w:rsid w:val="02D9C492"/>
    <w:rsid w:val="0872004D"/>
    <w:rsid w:val="0B456053"/>
    <w:rsid w:val="0B9F7BBD"/>
    <w:rsid w:val="0DCC3377"/>
    <w:rsid w:val="0E0E62A4"/>
    <w:rsid w:val="10762F5A"/>
    <w:rsid w:val="119D1100"/>
    <w:rsid w:val="14B116B9"/>
    <w:rsid w:val="1976AEB3"/>
    <w:rsid w:val="1ABBC34E"/>
    <w:rsid w:val="1CC2ADD8"/>
    <w:rsid w:val="1E41F121"/>
    <w:rsid w:val="20784751"/>
    <w:rsid w:val="2281AE64"/>
    <w:rsid w:val="232F4BCD"/>
    <w:rsid w:val="2400F874"/>
    <w:rsid w:val="2517ADF2"/>
    <w:rsid w:val="2596E21D"/>
    <w:rsid w:val="2672F142"/>
    <w:rsid w:val="27C1C870"/>
    <w:rsid w:val="28448AFB"/>
    <w:rsid w:val="2898A358"/>
    <w:rsid w:val="2A68C8B6"/>
    <w:rsid w:val="2B81060F"/>
    <w:rsid w:val="2D52FFF0"/>
    <w:rsid w:val="2F086700"/>
    <w:rsid w:val="30161A3F"/>
    <w:rsid w:val="3218EA00"/>
    <w:rsid w:val="3431B47A"/>
    <w:rsid w:val="3AB6A278"/>
    <w:rsid w:val="3E91CCAC"/>
    <w:rsid w:val="3ECFF7C0"/>
    <w:rsid w:val="44C197EE"/>
    <w:rsid w:val="487B50E8"/>
    <w:rsid w:val="4BC85E81"/>
    <w:rsid w:val="4CCB8C47"/>
    <w:rsid w:val="505561C3"/>
    <w:rsid w:val="544FA2EB"/>
    <w:rsid w:val="551B5F1B"/>
    <w:rsid w:val="566F04C3"/>
    <w:rsid w:val="5C38BECB"/>
    <w:rsid w:val="5E2AFC01"/>
    <w:rsid w:val="5E55F152"/>
    <w:rsid w:val="60EB6B91"/>
    <w:rsid w:val="63D9D129"/>
    <w:rsid w:val="6802B853"/>
    <w:rsid w:val="6A1EF25B"/>
    <w:rsid w:val="6D5BD09C"/>
    <w:rsid w:val="778FD1E6"/>
    <w:rsid w:val="79EB4A28"/>
    <w:rsid w:val="7B0EED14"/>
    <w:rsid w:val="7B108D17"/>
    <w:rsid w:val="7C02CB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A4FC3"/>
  <w15:docId w15:val="{C4E91270-0E03-403B-8884-03709B6D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spacing w:before="22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1A0"/>
    <w:rPr>
      <w:rFonts w:ascii="Arial" w:hAnsi="Arial"/>
    </w:rPr>
  </w:style>
  <w:style w:type="paragraph" w:styleId="Heading1">
    <w:name w:val="heading 1"/>
    <w:basedOn w:val="Normal"/>
    <w:next w:val="Normal"/>
    <w:link w:val="Heading1Char"/>
    <w:uiPriority w:val="9"/>
    <w:qFormat/>
    <w:rsid w:val="009539DE"/>
    <w:pPr>
      <w:keepNext/>
      <w:keepLines/>
      <w:spacing w:before="0" w:line="240" w:lineRule="auto"/>
      <w:ind w:left="432" w:hanging="432"/>
      <w:outlineLvl w:val="0"/>
    </w:pPr>
    <w:rPr>
      <w:rFonts w:eastAsiaTheme="majorEastAsia" w:cs="Arial"/>
      <w:b/>
      <w:bCs/>
      <w:color w:val="082B37"/>
      <w:sz w:val="32"/>
      <w:szCs w:val="32"/>
      <w:lang w:val="en-US"/>
    </w:rPr>
  </w:style>
  <w:style w:type="paragraph" w:styleId="Heading2">
    <w:name w:val="heading 2"/>
    <w:basedOn w:val="Normal"/>
    <w:next w:val="Normal"/>
    <w:link w:val="Heading2Char"/>
    <w:uiPriority w:val="9"/>
    <w:unhideWhenUsed/>
    <w:qFormat/>
    <w:rsid w:val="00726DAE"/>
    <w:pPr>
      <w:keepNext/>
      <w:keepLines/>
      <w:autoSpaceDE w:val="0"/>
      <w:autoSpaceDN w:val="0"/>
      <w:adjustRightInd w:val="0"/>
      <w:spacing w:before="0" w:line="240" w:lineRule="auto"/>
      <w:outlineLvl w:val="1"/>
    </w:pPr>
    <w:rPr>
      <w:rFonts w:eastAsiaTheme="majorEastAsia" w:cs="Arial"/>
      <w:b/>
      <w:color w:val="008080"/>
      <w:sz w:val="26"/>
      <w:szCs w:val="26"/>
      <w:lang w:val="en-US"/>
    </w:rPr>
  </w:style>
  <w:style w:type="paragraph" w:styleId="Heading3">
    <w:name w:val="heading 3"/>
    <w:basedOn w:val="Normal"/>
    <w:next w:val="Normal"/>
    <w:uiPriority w:val="9"/>
    <w:unhideWhenUsed/>
    <w:qFormat/>
    <w:rsid w:val="00A53ADC"/>
    <w:pPr>
      <w:keepNext/>
      <w:keepLines/>
      <w:spacing w:after="200"/>
      <w:ind w:left="360"/>
      <w:outlineLvl w:val="2"/>
    </w:pPr>
    <w:rPr>
      <w:color w:val="008080"/>
      <w:sz w:val="24"/>
      <w:szCs w:val="24"/>
    </w:rPr>
  </w:style>
  <w:style w:type="paragraph" w:styleId="Heading4">
    <w:name w:val="heading 4"/>
    <w:basedOn w:val="Normal"/>
    <w:next w:val="Normal"/>
    <w:uiPriority w:val="9"/>
    <w:unhideWhenUsed/>
    <w:qFormat/>
    <w:rsid w:val="00A53ADC"/>
    <w:pPr>
      <w:keepNext/>
      <w:keepLines/>
      <w:spacing w:before="280" w:after="80"/>
      <w:outlineLvl w:val="3"/>
    </w:pPr>
    <w:rPr>
      <w:color w:val="082B37"/>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eastAsia="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rsid w:val="001E135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E1358"/>
  </w:style>
  <w:style w:type="paragraph" w:styleId="Footer">
    <w:name w:val="footer"/>
    <w:basedOn w:val="Normal"/>
    <w:link w:val="FooterChar"/>
    <w:uiPriority w:val="99"/>
    <w:unhideWhenUsed/>
    <w:rsid w:val="001E135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E1358"/>
  </w:style>
  <w:style w:type="paragraph" w:styleId="ListParagraph">
    <w:name w:val="List Paragraph"/>
    <w:aliases w:val="List Indent,List Paragraph_AP,TT - Numbered List Paragraph,Nexant List Paragraph,Bullet Styles para,Letter Paragraph,PECI Bullets (Content),PECI Bullets,List Paragraph1,H3,Paragraphe_DAT,Paragraphe de liste1,Resume Bullett,(a) numbered"/>
    <w:basedOn w:val="Normal"/>
    <w:link w:val="ListParagraphChar"/>
    <w:uiPriority w:val="34"/>
    <w:qFormat/>
    <w:rsid w:val="00E8760D"/>
    <w:pPr>
      <w:ind w:left="720"/>
      <w:contextualSpacing/>
    </w:pPr>
  </w:style>
  <w:style w:type="paragraph" w:styleId="CommentSubject">
    <w:name w:val="annotation subject"/>
    <w:basedOn w:val="CommentText"/>
    <w:next w:val="CommentText"/>
    <w:link w:val="CommentSubjectChar"/>
    <w:uiPriority w:val="99"/>
    <w:semiHidden/>
    <w:unhideWhenUsed/>
    <w:rsid w:val="002E5B9B"/>
    <w:rPr>
      <w:b/>
      <w:bCs/>
    </w:rPr>
  </w:style>
  <w:style w:type="character" w:customStyle="1" w:styleId="CommentSubjectChar">
    <w:name w:val="Comment Subject Char"/>
    <w:basedOn w:val="CommentTextChar"/>
    <w:link w:val="CommentSubject"/>
    <w:uiPriority w:val="99"/>
    <w:semiHidden/>
    <w:rsid w:val="002E5B9B"/>
    <w:rPr>
      <w:b/>
      <w:bCs/>
      <w:sz w:val="20"/>
      <w:szCs w:val="20"/>
    </w:rPr>
  </w:style>
  <w:style w:type="table" w:styleId="TableGrid">
    <w:name w:val="Table Grid"/>
    <w:basedOn w:val="TableNormal"/>
    <w:uiPriority w:val="39"/>
    <w:rsid w:val="00F967FC"/>
    <w:pPr>
      <w:spacing w:before="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03217"/>
    <w:pPr>
      <w:spacing w:before="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C394D"/>
    <w:rPr>
      <w:rFonts w:ascii="Arial" w:eastAsiaTheme="majorEastAsia" w:hAnsi="Arial" w:cs="Arial"/>
      <w:b/>
      <w:bCs/>
      <w:color w:val="082B37"/>
      <w:sz w:val="32"/>
      <w:szCs w:val="32"/>
      <w:lang w:val="en-US"/>
    </w:rPr>
  </w:style>
  <w:style w:type="paragraph" w:styleId="TOCHeading">
    <w:name w:val="TOC Heading"/>
    <w:basedOn w:val="Heading1"/>
    <w:next w:val="Normal"/>
    <w:uiPriority w:val="39"/>
    <w:unhideWhenUsed/>
    <w:qFormat/>
    <w:rsid w:val="008751B0"/>
    <w:pPr>
      <w:spacing w:before="240" w:line="259" w:lineRule="auto"/>
      <w:outlineLvl w:val="9"/>
    </w:pPr>
    <w:rPr>
      <w:rFonts w:asciiTheme="majorHAnsi" w:hAnsiTheme="majorHAnsi" w:cstheme="majorBidi"/>
      <w:b w:val="0"/>
      <w:color w:val="365F91" w:themeColor="accent1" w:themeShade="BF"/>
    </w:rPr>
  </w:style>
  <w:style w:type="paragraph" w:styleId="TOC1">
    <w:name w:val="toc 1"/>
    <w:basedOn w:val="Normal"/>
    <w:next w:val="Normal"/>
    <w:autoRedefine/>
    <w:uiPriority w:val="39"/>
    <w:unhideWhenUsed/>
    <w:rsid w:val="008751B0"/>
    <w:pPr>
      <w:spacing w:after="100"/>
    </w:pPr>
  </w:style>
  <w:style w:type="paragraph" w:styleId="TOC3">
    <w:name w:val="toc 3"/>
    <w:basedOn w:val="Normal"/>
    <w:next w:val="Normal"/>
    <w:autoRedefine/>
    <w:uiPriority w:val="39"/>
    <w:unhideWhenUsed/>
    <w:rsid w:val="008751B0"/>
    <w:pPr>
      <w:spacing w:after="100"/>
      <w:ind w:left="440"/>
    </w:pPr>
  </w:style>
  <w:style w:type="paragraph" w:styleId="TOC2">
    <w:name w:val="toc 2"/>
    <w:basedOn w:val="Normal"/>
    <w:next w:val="Normal"/>
    <w:autoRedefine/>
    <w:uiPriority w:val="39"/>
    <w:unhideWhenUsed/>
    <w:rsid w:val="008751B0"/>
    <w:pPr>
      <w:spacing w:after="100"/>
      <w:ind w:left="220"/>
    </w:pPr>
  </w:style>
  <w:style w:type="character" w:styleId="Hyperlink">
    <w:name w:val="Hyperlink"/>
    <w:basedOn w:val="DefaultParagraphFont"/>
    <w:uiPriority w:val="99"/>
    <w:unhideWhenUsed/>
    <w:rsid w:val="008751B0"/>
    <w:rPr>
      <w:color w:val="0000FF" w:themeColor="hyperlink"/>
      <w:u w:val="single"/>
    </w:rPr>
  </w:style>
  <w:style w:type="character" w:customStyle="1" w:styleId="Heading2Char">
    <w:name w:val="Heading 2 Char"/>
    <w:basedOn w:val="DefaultParagraphFont"/>
    <w:link w:val="Heading2"/>
    <w:uiPriority w:val="9"/>
    <w:rsid w:val="003C394D"/>
    <w:rPr>
      <w:rFonts w:ascii="Arial" w:eastAsiaTheme="majorEastAsia" w:hAnsi="Arial" w:cs="Arial"/>
      <w:b/>
      <w:color w:val="008080"/>
      <w:sz w:val="26"/>
      <w:szCs w:val="26"/>
      <w:lang w:val="en-US"/>
    </w:rPr>
  </w:style>
  <w:style w:type="table" w:customStyle="1" w:styleId="TableGrid2">
    <w:name w:val="Table Grid2"/>
    <w:basedOn w:val="TableNormal"/>
    <w:next w:val="TableGrid"/>
    <w:uiPriority w:val="39"/>
    <w:rsid w:val="003E076E"/>
    <w:pPr>
      <w:spacing w:before="0" w:line="240" w:lineRule="auto"/>
    </w:pPr>
    <w:rPr>
      <w:rFonts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3951"/>
    <w:pPr>
      <w:spacing w:before="0" w:line="240" w:lineRule="auto"/>
    </w:pPr>
  </w:style>
  <w:style w:type="table" w:customStyle="1" w:styleId="TableGrid3">
    <w:name w:val="Table Grid3"/>
    <w:basedOn w:val="TableNormal"/>
    <w:next w:val="TableGrid"/>
    <w:uiPriority w:val="39"/>
    <w:rsid w:val="00F5348B"/>
    <w:pPr>
      <w:spacing w:before="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ootnote Text Char1 Char,Footnote Text Char Char Char,Footnote Text Char1 Char Char Char,Footnote Text Char Char1 Char Char Char,Footnote Text Char Char Char Char Char Char Char Char,Footnote Text1 Char"/>
    <w:basedOn w:val="Normal"/>
    <w:link w:val="FootnoteTextChar"/>
    <w:uiPriority w:val="99"/>
    <w:unhideWhenUsed/>
    <w:qFormat/>
    <w:rsid w:val="004603C8"/>
    <w:pPr>
      <w:spacing w:before="0" w:line="240" w:lineRule="auto"/>
    </w:pPr>
    <w:rPr>
      <w:sz w:val="20"/>
      <w:szCs w:val="20"/>
    </w:rPr>
  </w:style>
  <w:style w:type="character" w:customStyle="1" w:styleId="FootnoteTextChar">
    <w:name w:val="Footnote Text Char"/>
    <w:aliases w:val="Footnote Text Char Char Char1,Footnote Text Char1 Char Char,Footnote Text Char Char Char Char,Footnote Text Char1 Char Char Char Char,Footnote Text Char Char1 Char Char Char Char,Footnote Text1 Char Char"/>
    <w:basedOn w:val="DefaultParagraphFont"/>
    <w:link w:val="FootnoteText"/>
    <w:uiPriority w:val="99"/>
    <w:rsid w:val="004603C8"/>
    <w:rPr>
      <w:sz w:val="20"/>
      <w:szCs w:val="20"/>
    </w:rPr>
  </w:style>
  <w:style w:type="character" w:styleId="FootnoteReference">
    <w:name w:val="footnote reference"/>
    <w:aliases w:val="o,Footnote_Reference,fr,Style 3,o1,o2,o3,o4,o5,o6,o11,o21,o7,0 PIER Footnote Reference,o + Times New Roman,Style 12,(NECG) Footnote Reference,Appel note de bas de p,Style 124,Style 17,Style 20,Style 13,fr1,fr2,fr3,Style 15,Style 9"/>
    <w:basedOn w:val="DefaultParagraphFont"/>
    <w:uiPriority w:val="99"/>
    <w:unhideWhenUsed/>
    <w:qFormat/>
    <w:rsid w:val="004603C8"/>
    <w:rPr>
      <w:vertAlign w:val="superscript"/>
    </w:rPr>
  </w:style>
  <w:style w:type="paragraph" w:styleId="Caption">
    <w:name w:val="caption"/>
    <w:basedOn w:val="Normal"/>
    <w:next w:val="Normal"/>
    <w:uiPriority w:val="35"/>
    <w:unhideWhenUsed/>
    <w:qFormat/>
    <w:rsid w:val="007B19EB"/>
    <w:pPr>
      <w:spacing w:before="0" w:after="200" w:line="240" w:lineRule="auto"/>
    </w:pPr>
    <w:rPr>
      <w:i/>
      <w:iCs/>
      <w:color w:val="082B37"/>
      <w:sz w:val="18"/>
      <w:szCs w:val="18"/>
    </w:rPr>
  </w:style>
  <w:style w:type="character" w:styleId="UnresolvedMention">
    <w:name w:val="Unresolved Mention"/>
    <w:basedOn w:val="DefaultParagraphFont"/>
    <w:uiPriority w:val="99"/>
    <w:semiHidden/>
    <w:unhideWhenUsed/>
    <w:rsid w:val="005666B5"/>
    <w:rPr>
      <w:color w:val="605E5C"/>
      <w:shd w:val="clear" w:color="auto" w:fill="E1DFDD"/>
    </w:rPr>
  </w:style>
  <w:style w:type="paragraph" w:customStyle="1" w:styleId="Body1">
    <w:name w:val="Body 1"/>
    <w:basedOn w:val="BalloonText"/>
    <w:link w:val="Body1Char"/>
    <w:qFormat/>
    <w:rsid w:val="00534C9F"/>
    <w:pPr>
      <w:widowControl w:val="0"/>
      <w:overflowPunct w:val="0"/>
      <w:autoSpaceDE w:val="0"/>
      <w:autoSpaceDN w:val="0"/>
      <w:adjustRightInd w:val="0"/>
      <w:spacing w:after="240" w:line="276" w:lineRule="auto"/>
      <w:textAlignment w:val="baseline"/>
    </w:pPr>
    <w:rPr>
      <w:rFonts w:ascii="Arial" w:eastAsia="Times New Roman" w:hAnsi="Arial" w:cs="Arial"/>
      <w:sz w:val="22"/>
      <w:szCs w:val="22"/>
      <w:lang w:val="en-US" w:eastAsia="x-none"/>
    </w:rPr>
  </w:style>
  <w:style w:type="character" w:customStyle="1" w:styleId="Body1Char">
    <w:name w:val="Body 1 Char"/>
    <w:basedOn w:val="DefaultParagraphFont"/>
    <w:link w:val="Body1"/>
    <w:rsid w:val="00534C9F"/>
    <w:rPr>
      <w:rFonts w:ascii="Arial" w:eastAsia="Times New Roman" w:hAnsi="Arial" w:cs="Arial"/>
      <w:lang w:val="en-US" w:eastAsia="x-none"/>
    </w:rPr>
  </w:style>
  <w:style w:type="paragraph" w:styleId="BalloonText">
    <w:name w:val="Balloon Text"/>
    <w:basedOn w:val="Normal"/>
    <w:link w:val="BalloonTextChar"/>
    <w:uiPriority w:val="99"/>
    <w:semiHidden/>
    <w:unhideWhenUsed/>
    <w:rsid w:val="00534C9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C9F"/>
    <w:rPr>
      <w:rFonts w:ascii="Segoe UI" w:hAnsi="Segoe UI" w:cs="Segoe UI"/>
      <w:sz w:val="18"/>
      <w:szCs w:val="18"/>
    </w:rPr>
  </w:style>
  <w:style w:type="paragraph" w:customStyle="1" w:styleId="Bullets1">
    <w:name w:val="Bullets 1"/>
    <w:basedOn w:val="BalloonText"/>
    <w:link w:val="Bullets1Char"/>
    <w:qFormat/>
    <w:rsid w:val="0087235A"/>
    <w:pPr>
      <w:widowControl w:val="0"/>
      <w:numPr>
        <w:numId w:val="28"/>
      </w:numPr>
      <w:overflowPunct w:val="0"/>
      <w:autoSpaceDE w:val="0"/>
      <w:autoSpaceDN w:val="0"/>
      <w:adjustRightInd w:val="0"/>
      <w:spacing w:after="240" w:line="276" w:lineRule="auto"/>
      <w:textAlignment w:val="baseline"/>
    </w:pPr>
    <w:rPr>
      <w:rFonts w:ascii="Arial" w:eastAsia="Times New Roman" w:hAnsi="Arial" w:cs="Arial"/>
      <w:sz w:val="22"/>
      <w:szCs w:val="22"/>
      <w:lang w:val="en-US" w:eastAsia="x-none"/>
    </w:rPr>
  </w:style>
  <w:style w:type="character" w:customStyle="1" w:styleId="Bullets1Char">
    <w:name w:val="Bullets 1 Char"/>
    <w:basedOn w:val="DefaultParagraphFont"/>
    <w:link w:val="Bullets1"/>
    <w:rsid w:val="0087235A"/>
    <w:rPr>
      <w:rFonts w:ascii="Arial" w:eastAsia="Times New Roman" w:hAnsi="Arial" w:cs="Arial"/>
      <w:lang w:val="en-US" w:eastAsia="x-none"/>
    </w:rPr>
  </w:style>
  <w:style w:type="character" w:customStyle="1" w:styleId="ListParagraphChar">
    <w:name w:val="List Paragraph Char"/>
    <w:aliases w:val="List Indent Char,List Paragraph_AP Char,TT - Numbered List Paragraph Char,Nexant List Paragraph Char,Bullet Styles para Char,Letter Paragraph Char,PECI Bullets (Content) Char,PECI Bullets Char,List Paragraph1 Char,H3 Char"/>
    <w:basedOn w:val="DefaultParagraphFont"/>
    <w:link w:val="ListParagraph"/>
    <w:uiPriority w:val="34"/>
    <w:qFormat/>
    <w:rsid w:val="00342363"/>
  </w:style>
  <w:style w:type="character" w:styleId="Mention">
    <w:name w:val="Mention"/>
    <w:basedOn w:val="DefaultParagraphFont"/>
    <w:uiPriority w:val="99"/>
    <w:unhideWhenUsed/>
    <w:rsid w:val="000A7B1A"/>
    <w:rPr>
      <w:color w:val="2B579A"/>
      <w:shd w:val="clear" w:color="auto" w:fill="E1DFDD"/>
    </w:rPr>
  </w:style>
  <w:style w:type="character" w:customStyle="1" w:styleId="TitleChar">
    <w:name w:val="Title Char"/>
    <w:link w:val="Title"/>
    <w:locked/>
    <w:rsid w:val="00135254"/>
    <w:rPr>
      <w:rFonts w:ascii="Arial" w:hAnsi="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90393">
      <w:bodyDiv w:val="1"/>
      <w:marLeft w:val="0"/>
      <w:marRight w:val="0"/>
      <w:marTop w:val="0"/>
      <w:marBottom w:val="0"/>
      <w:divBdr>
        <w:top w:val="none" w:sz="0" w:space="0" w:color="auto"/>
        <w:left w:val="none" w:sz="0" w:space="0" w:color="auto"/>
        <w:bottom w:val="none" w:sz="0" w:space="0" w:color="auto"/>
        <w:right w:val="none" w:sz="0" w:space="0" w:color="auto"/>
      </w:divBdr>
    </w:div>
    <w:div w:id="312486949">
      <w:bodyDiv w:val="1"/>
      <w:marLeft w:val="0"/>
      <w:marRight w:val="0"/>
      <w:marTop w:val="0"/>
      <w:marBottom w:val="0"/>
      <w:divBdr>
        <w:top w:val="none" w:sz="0" w:space="0" w:color="auto"/>
        <w:left w:val="none" w:sz="0" w:space="0" w:color="auto"/>
        <w:bottom w:val="none" w:sz="0" w:space="0" w:color="auto"/>
        <w:right w:val="none" w:sz="0" w:space="0" w:color="auto"/>
      </w:divBdr>
    </w:div>
    <w:div w:id="396903630">
      <w:bodyDiv w:val="1"/>
      <w:marLeft w:val="0"/>
      <w:marRight w:val="0"/>
      <w:marTop w:val="0"/>
      <w:marBottom w:val="0"/>
      <w:divBdr>
        <w:top w:val="none" w:sz="0" w:space="0" w:color="auto"/>
        <w:left w:val="none" w:sz="0" w:space="0" w:color="auto"/>
        <w:bottom w:val="none" w:sz="0" w:space="0" w:color="auto"/>
        <w:right w:val="none" w:sz="0" w:space="0" w:color="auto"/>
      </w:divBdr>
    </w:div>
    <w:div w:id="445319777">
      <w:bodyDiv w:val="1"/>
      <w:marLeft w:val="0"/>
      <w:marRight w:val="0"/>
      <w:marTop w:val="0"/>
      <w:marBottom w:val="0"/>
      <w:divBdr>
        <w:top w:val="none" w:sz="0" w:space="0" w:color="auto"/>
        <w:left w:val="none" w:sz="0" w:space="0" w:color="auto"/>
        <w:bottom w:val="none" w:sz="0" w:space="0" w:color="auto"/>
        <w:right w:val="none" w:sz="0" w:space="0" w:color="auto"/>
      </w:divBdr>
    </w:div>
    <w:div w:id="628632507">
      <w:bodyDiv w:val="1"/>
      <w:marLeft w:val="0"/>
      <w:marRight w:val="0"/>
      <w:marTop w:val="0"/>
      <w:marBottom w:val="0"/>
      <w:divBdr>
        <w:top w:val="none" w:sz="0" w:space="0" w:color="auto"/>
        <w:left w:val="none" w:sz="0" w:space="0" w:color="auto"/>
        <w:bottom w:val="none" w:sz="0" w:space="0" w:color="auto"/>
        <w:right w:val="none" w:sz="0" w:space="0" w:color="auto"/>
      </w:divBdr>
    </w:div>
    <w:div w:id="847645157">
      <w:bodyDiv w:val="1"/>
      <w:marLeft w:val="0"/>
      <w:marRight w:val="0"/>
      <w:marTop w:val="0"/>
      <w:marBottom w:val="0"/>
      <w:divBdr>
        <w:top w:val="none" w:sz="0" w:space="0" w:color="auto"/>
        <w:left w:val="none" w:sz="0" w:space="0" w:color="auto"/>
        <w:bottom w:val="none" w:sz="0" w:space="0" w:color="auto"/>
        <w:right w:val="none" w:sz="0" w:space="0" w:color="auto"/>
      </w:divBdr>
    </w:div>
    <w:div w:id="939947251">
      <w:bodyDiv w:val="1"/>
      <w:marLeft w:val="0"/>
      <w:marRight w:val="0"/>
      <w:marTop w:val="0"/>
      <w:marBottom w:val="0"/>
      <w:divBdr>
        <w:top w:val="none" w:sz="0" w:space="0" w:color="auto"/>
        <w:left w:val="none" w:sz="0" w:space="0" w:color="auto"/>
        <w:bottom w:val="none" w:sz="0" w:space="0" w:color="auto"/>
        <w:right w:val="none" w:sz="0" w:space="0" w:color="auto"/>
      </w:divBdr>
    </w:div>
    <w:div w:id="1035815767">
      <w:bodyDiv w:val="1"/>
      <w:marLeft w:val="0"/>
      <w:marRight w:val="0"/>
      <w:marTop w:val="0"/>
      <w:marBottom w:val="0"/>
      <w:divBdr>
        <w:top w:val="none" w:sz="0" w:space="0" w:color="auto"/>
        <w:left w:val="none" w:sz="0" w:space="0" w:color="auto"/>
        <w:bottom w:val="none" w:sz="0" w:space="0" w:color="auto"/>
        <w:right w:val="none" w:sz="0" w:space="0" w:color="auto"/>
      </w:divBdr>
    </w:div>
    <w:div w:id="1076976288">
      <w:bodyDiv w:val="1"/>
      <w:marLeft w:val="0"/>
      <w:marRight w:val="0"/>
      <w:marTop w:val="0"/>
      <w:marBottom w:val="0"/>
      <w:divBdr>
        <w:top w:val="none" w:sz="0" w:space="0" w:color="auto"/>
        <w:left w:val="none" w:sz="0" w:space="0" w:color="auto"/>
        <w:bottom w:val="none" w:sz="0" w:space="0" w:color="auto"/>
        <w:right w:val="none" w:sz="0" w:space="0" w:color="auto"/>
      </w:divBdr>
    </w:div>
    <w:div w:id="1313603824">
      <w:bodyDiv w:val="1"/>
      <w:marLeft w:val="0"/>
      <w:marRight w:val="0"/>
      <w:marTop w:val="0"/>
      <w:marBottom w:val="0"/>
      <w:divBdr>
        <w:top w:val="none" w:sz="0" w:space="0" w:color="auto"/>
        <w:left w:val="none" w:sz="0" w:space="0" w:color="auto"/>
        <w:bottom w:val="none" w:sz="0" w:space="0" w:color="auto"/>
        <w:right w:val="none" w:sz="0" w:space="0" w:color="auto"/>
      </w:divBdr>
    </w:div>
    <w:div w:id="1446390233">
      <w:bodyDiv w:val="1"/>
      <w:marLeft w:val="0"/>
      <w:marRight w:val="0"/>
      <w:marTop w:val="0"/>
      <w:marBottom w:val="0"/>
      <w:divBdr>
        <w:top w:val="none" w:sz="0" w:space="0" w:color="auto"/>
        <w:left w:val="none" w:sz="0" w:space="0" w:color="auto"/>
        <w:bottom w:val="none" w:sz="0" w:space="0" w:color="auto"/>
        <w:right w:val="none" w:sz="0" w:space="0" w:color="auto"/>
      </w:divBdr>
    </w:div>
    <w:div w:id="1496723229">
      <w:bodyDiv w:val="1"/>
      <w:marLeft w:val="0"/>
      <w:marRight w:val="0"/>
      <w:marTop w:val="0"/>
      <w:marBottom w:val="0"/>
      <w:divBdr>
        <w:top w:val="none" w:sz="0" w:space="0" w:color="auto"/>
        <w:left w:val="none" w:sz="0" w:space="0" w:color="auto"/>
        <w:bottom w:val="none" w:sz="0" w:space="0" w:color="auto"/>
        <w:right w:val="none" w:sz="0" w:space="0" w:color="auto"/>
      </w:divBdr>
    </w:div>
    <w:div w:id="1666468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a71d01b-0173-42d4-bd9e-03574c50f54f">
      <UserInfo>
        <DisplayName>Jon Kingsley</DisplayName>
        <AccountId>9391</AccountId>
        <AccountType/>
      </UserInfo>
      <UserInfo>
        <DisplayName>Sarah Sturdy</DisplayName>
        <AccountId>6192</AccountId>
        <AccountType/>
      </UserInfo>
      <UserInfo>
        <DisplayName>Keith Valenzuela</DisplayName>
        <AccountId>61</AccountId>
        <AccountType/>
      </UserInfo>
      <UserInfo>
        <DisplayName>Chazrick Branson</DisplayName>
        <AccountId>87</AccountId>
        <AccountType/>
      </UserInfo>
      <UserInfo>
        <DisplayName>Rosalie Ballo</DisplayName>
        <AccountId>59062</AccountId>
        <AccountType/>
      </UserInfo>
      <UserInfo>
        <DisplayName>Allison Bially</DisplayName>
        <AccountId>46</AccountId>
        <AccountType/>
      </UserInfo>
      <UserInfo>
        <DisplayName>Andrew Nishida</DisplayName>
        <AccountId>54533</AccountId>
        <AccountType/>
      </UserInfo>
      <UserInfo>
        <DisplayName>Amanda Davidowitz</DisplayName>
        <AccountId>67844</AccountId>
        <AccountType/>
      </UserInfo>
    </SharedWithUsers>
    <_ip_UnifiedCompliancePolicyUIAction xmlns="http://schemas.microsoft.com/sharepoint/v3" xsi:nil="true"/>
    <_Flow_SignoffStatus xmlns="870e7c11-ae1f-4d3d-a559-665563d266b8" xsi:nil="true"/>
    <_ip_UnifiedCompliancePolicyProperties xmlns="http://schemas.microsoft.com/sharepoint/v3" xsi:nil="true"/>
    <Test_x0020_notes xmlns="870e7c11-ae1f-4d3d-a559-665563d266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DED26DBB77D14CBDD35401EA8BA69A" ma:contentTypeVersion="22" ma:contentTypeDescription="Create a new document." ma:contentTypeScope="" ma:versionID="0fa853deb6074650b1958d413ddcbdbf">
  <xsd:schema xmlns:xsd="http://www.w3.org/2001/XMLSchema" xmlns:xs="http://www.w3.org/2001/XMLSchema" xmlns:p="http://schemas.microsoft.com/office/2006/metadata/properties" xmlns:ns1="http://schemas.microsoft.com/sharepoint/v3" xmlns:ns2="da71d01b-0173-42d4-bd9e-03574c50f54f" xmlns:ns3="870e7c11-ae1f-4d3d-a559-665563d266b8" targetNamespace="http://schemas.microsoft.com/office/2006/metadata/properties" ma:root="true" ma:fieldsID="362e351b73102c347e12c95509cc5a29" ns1:_="" ns2:_="" ns3:_="">
    <xsd:import namespace="http://schemas.microsoft.com/sharepoint/v3"/>
    <xsd:import namespace="da71d01b-0173-42d4-bd9e-03574c50f54f"/>
    <xsd:import namespace="870e7c11-ae1f-4d3d-a559-665563d266b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Test_x0020_notes" minOccurs="0"/>
                <xsd:element ref="ns3:MediaServiceAutoKeyPoints" minOccurs="0"/>
                <xsd:element ref="ns3:MediaServiceKeyPoints" minOccurs="0"/>
                <xsd:element ref="ns3:MediaLengthInSeconds" minOccurs="0"/>
                <xsd:element ref="ns3:_Flow_SignoffStatus"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71d01b-0173-42d4-bd9e-03574c50f5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70e7c11-ae1f-4d3d-a559-665563d266b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Test_x0020_notes" ma:index="20" nillable="true" ma:displayName="Test notes" ma:internalName="Test_x0020_notes">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14BCA-1EBB-48A8-BE1E-6D9351BE4543}">
  <ds:schemaRefs>
    <ds:schemaRef ds:uri="http://purl.org/dc/elements/1.1/"/>
    <ds:schemaRef ds:uri="http://schemas.microsoft.com/office/2006/metadata/properties"/>
    <ds:schemaRef ds:uri="http://schemas.microsoft.com/sharepoint/v3"/>
    <ds:schemaRef ds:uri="da71d01b-0173-42d4-bd9e-03574c50f54f"/>
    <ds:schemaRef ds:uri="http://purl.org/dc/terms/"/>
    <ds:schemaRef ds:uri="http://schemas.openxmlformats.org/package/2006/metadata/core-properties"/>
    <ds:schemaRef ds:uri="http://schemas.microsoft.com/office/2006/documentManagement/types"/>
    <ds:schemaRef ds:uri="870e7c11-ae1f-4d3d-a559-665563d266b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0A8862-30E2-4EFE-A65F-A367CACBB2F0}">
  <ds:schemaRefs>
    <ds:schemaRef ds:uri="http://schemas.microsoft.com/sharepoint/v3/contenttype/forms"/>
  </ds:schemaRefs>
</ds:datastoreItem>
</file>

<file path=customXml/itemProps3.xml><?xml version="1.0" encoding="utf-8"?>
<ds:datastoreItem xmlns:ds="http://schemas.openxmlformats.org/officeDocument/2006/customXml" ds:itemID="{939C6E13-F938-4048-BEA7-56213129D2D2}">
  <ds:schemaRefs>
    <ds:schemaRef ds:uri="http://schemas.openxmlformats.org/officeDocument/2006/bibliography"/>
  </ds:schemaRefs>
</ds:datastoreItem>
</file>

<file path=customXml/itemProps4.xml><?xml version="1.0" encoding="utf-8"?>
<ds:datastoreItem xmlns:ds="http://schemas.openxmlformats.org/officeDocument/2006/customXml" ds:itemID="{9CE780D5-40C0-4BE6-A3A1-CC6F26F94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71d01b-0173-42d4-bd9e-03574c50f54f"/>
    <ds:schemaRef ds:uri="870e7c11-ae1f-4d3d-a559-665563d26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46d2a3f-4d51-44da-b226-f025675a294d}" enabled="1" method="Privileged" siteId="{44ae661a-ece6-41aa-bc96-7c2c85a0894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4107</Words>
  <Characters>23412</Characters>
  <Application>Microsoft Office Word</Application>
  <DocSecurity>0</DocSecurity>
  <Lines>195</Lines>
  <Paragraphs>54</Paragraphs>
  <ScaleCrop>false</ScaleCrop>
  <Company/>
  <LinksUpToDate>false</LinksUpToDate>
  <CharactersWithSpaces>27465</CharactersWithSpaces>
  <SharedDoc>false</SharedDoc>
  <HLinks>
    <vt:vector size="186" baseType="variant">
      <vt:variant>
        <vt:i4>1179704</vt:i4>
      </vt:variant>
      <vt:variant>
        <vt:i4>185</vt:i4>
      </vt:variant>
      <vt:variant>
        <vt:i4>0</vt:i4>
      </vt:variant>
      <vt:variant>
        <vt:i4>5</vt:i4>
      </vt:variant>
      <vt:variant>
        <vt:lpwstr/>
      </vt:variant>
      <vt:variant>
        <vt:lpwstr>_Toc174352839</vt:lpwstr>
      </vt:variant>
      <vt:variant>
        <vt:i4>1179704</vt:i4>
      </vt:variant>
      <vt:variant>
        <vt:i4>179</vt:i4>
      </vt:variant>
      <vt:variant>
        <vt:i4>0</vt:i4>
      </vt:variant>
      <vt:variant>
        <vt:i4>5</vt:i4>
      </vt:variant>
      <vt:variant>
        <vt:lpwstr/>
      </vt:variant>
      <vt:variant>
        <vt:lpwstr>_Toc174352838</vt:lpwstr>
      </vt:variant>
      <vt:variant>
        <vt:i4>1179704</vt:i4>
      </vt:variant>
      <vt:variant>
        <vt:i4>173</vt:i4>
      </vt:variant>
      <vt:variant>
        <vt:i4>0</vt:i4>
      </vt:variant>
      <vt:variant>
        <vt:i4>5</vt:i4>
      </vt:variant>
      <vt:variant>
        <vt:lpwstr/>
      </vt:variant>
      <vt:variant>
        <vt:lpwstr>_Toc174352837</vt:lpwstr>
      </vt:variant>
      <vt:variant>
        <vt:i4>1179704</vt:i4>
      </vt:variant>
      <vt:variant>
        <vt:i4>167</vt:i4>
      </vt:variant>
      <vt:variant>
        <vt:i4>0</vt:i4>
      </vt:variant>
      <vt:variant>
        <vt:i4>5</vt:i4>
      </vt:variant>
      <vt:variant>
        <vt:lpwstr/>
      </vt:variant>
      <vt:variant>
        <vt:lpwstr>_Toc174352836</vt:lpwstr>
      </vt:variant>
      <vt:variant>
        <vt:i4>1179704</vt:i4>
      </vt:variant>
      <vt:variant>
        <vt:i4>161</vt:i4>
      </vt:variant>
      <vt:variant>
        <vt:i4>0</vt:i4>
      </vt:variant>
      <vt:variant>
        <vt:i4>5</vt:i4>
      </vt:variant>
      <vt:variant>
        <vt:lpwstr/>
      </vt:variant>
      <vt:variant>
        <vt:lpwstr>_Toc174352835</vt:lpwstr>
      </vt:variant>
      <vt:variant>
        <vt:i4>1179704</vt:i4>
      </vt:variant>
      <vt:variant>
        <vt:i4>155</vt:i4>
      </vt:variant>
      <vt:variant>
        <vt:i4>0</vt:i4>
      </vt:variant>
      <vt:variant>
        <vt:i4>5</vt:i4>
      </vt:variant>
      <vt:variant>
        <vt:lpwstr/>
      </vt:variant>
      <vt:variant>
        <vt:lpwstr>_Toc174352834</vt:lpwstr>
      </vt:variant>
      <vt:variant>
        <vt:i4>1179704</vt:i4>
      </vt:variant>
      <vt:variant>
        <vt:i4>149</vt:i4>
      </vt:variant>
      <vt:variant>
        <vt:i4>0</vt:i4>
      </vt:variant>
      <vt:variant>
        <vt:i4>5</vt:i4>
      </vt:variant>
      <vt:variant>
        <vt:lpwstr/>
      </vt:variant>
      <vt:variant>
        <vt:lpwstr>_Toc174352833</vt:lpwstr>
      </vt:variant>
      <vt:variant>
        <vt:i4>1179704</vt:i4>
      </vt:variant>
      <vt:variant>
        <vt:i4>143</vt:i4>
      </vt:variant>
      <vt:variant>
        <vt:i4>0</vt:i4>
      </vt:variant>
      <vt:variant>
        <vt:i4>5</vt:i4>
      </vt:variant>
      <vt:variant>
        <vt:lpwstr/>
      </vt:variant>
      <vt:variant>
        <vt:lpwstr>_Toc174352832</vt:lpwstr>
      </vt:variant>
      <vt:variant>
        <vt:i4>1179704</vt:i4>
      </vt:variant>
      <vt:variant>
        <vt:i4>137</vt:i4>
      </vt:variant>
      <vt:variant>
        <vt:i4>0</vt:i4>
      </vt:variant>
      <vt:variant>
        <vt:i4>5</vt:i4>
      </vt:variant>
      <vt:variant>
        <vt:lpwstr/>
      </vt:variant>
      <vt:variant>
        <vt:lpwstr>_Toc174352831</vt:lpwstr>
      </vt:variant>
      <vt:variant>
        <vt:i4>1179704</vt:i4>
      </vt:variant>
      <vt:variant>
        <vt:i4>131</vt:i4>
      </vt:variant>
      <vt:variant>
        <vt:i4>0</vt:i4>
      </vt:variant>
      <vt:variant>
        <vt:i4>5</vt:i4>
      </vt:variant>
      <vt:variant>
        <vt:lpwstr/>
      </vt:variant>
      <vt:variant>
        <vt:lpwstr>_Toc174352830</vt:lpwstr>
      </vt:variant>
      <vt:variant>
        <vt:i4>1245240</vt:i4>
      </vt:variant>
      <vt:variant>
        <vt:i4>125</vt:i4>
      </vt:variant>
      <vt:variant>
        <vt:i4>0</vt:i4>
      </vt:variant>
      <vt:variant>
        <vt:i4>5</vt:i4>
      </vt:variant>
      <vt:variant>
        <vt:lpwstr/>
      </vt:variant>
      <vt:variant>
        <vt:lpwstr>_Toc174352829</vt:lpwstr>
      </vt:variant>
      <vt:variant>
        <vt:i4>1245240</vt:i4>
      </vt:variant>
      <vt:variant>
        <vt:i4>119</vt:i4>
      </vt:variant>
      <vt:variant>
        <vt:i4>0</vt:i4>
      </vt:variant>
      <vt:variant>
        <vt:i4>5</vt:i4>
      </vt:variant>
      <vt:variant>
        <vt:lpwstr/>
      </vt:variant>
      <vt:variant>
        <vt:lpwstr>_Toc174352828</vt:lpwstr>
      </vt:variant>
      <vt:variant>
        <vt:i4>1245240</vt:i4>
      </vt:variant>
      <vt:variant>
        <vt:i4>113</vt:i4>
      </vt:variant>
      <vt:variant>
        <vt:i4>0</vt:i4>
      </vt:variant>
      <vt:variant>
        <vt:i4>5</vt:i4>
      </vt:variant>
      <vt:variant>
        <vt:lpwstr/>
      </vt:variant>
      <vt:variant>
        <vt:lpwstr>_Toc174352827</vt:lpwstr>
      </vt:variant>
      <vt:variant>
        <vt:i4>1245240</vt:i4>
      </vt:variant>
      <vt:variant>
        <vt:i4>107</vt:i4>
      </vt:variant>
      <vt:variant>
        <vt:i4>0</vt:i4>
      </vt:variant>
      <vt:variant>
        <vt:i4>5</vt:i4>
      </vt:variant>
      <vt:variant>
        <vt:lpwstr/>
      </vt:variant>
      <vt:variant>
        <vt:lpwstr>_Toc174352826</vt:lpwstr>
      </vt:variant>
      <vt:variant>
        <vt:i4>1245240</vt:i4>
      </vt:variant>
      <vt:variant>
        <vt:i4>101</vt:i4>
      </vt:variant>
      <vt:variant>
        <vt:i4>0</vt:i4>
      </vt:variant>
      <vt:variant>
        <vt:i4>5</vt:i4>
      </vt:variant>
      <vt:variant>
        <vt:lpwstr/>
      </vt:variant>
      <vt:variant>
        <vt:lpwstr>_Toc174352825</vt:lpwstr>
      </vt:variant>
      <vt:variant>
        <vt:i4>1245240</vt:i4>
      </vt:variant>
      <vt:variant>
        <vt:i4>95</vt:i4>
      </vt:variant>
      <vt:variant>
        <vt:i4>0</vt:i4>
      </vt:variant>
      <vt:variant>
        <vt:i4>5</vt:i4>
      </vt:variant>
      <vt:variant>
        <vt:lpwstr/>
      </vt:variant>
      <vt:variant>
        <vt:lpwstr>_Toc174352824</vt:lpwstr>
      </vt:variant>
      <vt:variant>
        <vt:i4>1245240</vt:i4>
      </vt:variant>
      <vt:variant>
        <vt:i4>89</vt:i4>
      </vt:variant>
      <vt:variant>
        <vt:i4>0</vt:i4>
      </vt:variant>
      <vt:variant>
        <vt:i4>5</vt:i4>
      </vt:variant>
      <vt:variant>
        <vt:lpwstr/>
      </vt:variant>
      <vt:variant>
        <vt:lpwstr>_Toc174352823</vt:lpwstr>
      </vt:variant>
      <vt:variant>
        <vt:i4>1245240</vt:i4>
      </vt:variant>
      <vt:variant>
        <vt:i4>83</vt:i4>
      </vt:variant>
      <vt:variant>
        <vt:i4>0</vt:i4>
      </vt:variant>
      <vt:variant>
        <vt:i4>5</vt:i4>
      </vt:variant>
      <vt:variant>
        <vt:lpwstr/>
      </vt:variant>
      <vt:variant>
        <vt:lpwstr>_Toc174352822</vt:lpwstr>
      </vt:variant>
      <vt:variant>
        <vt:i4>1114168</vt:i4>
      </vt:variant>
      <vt:variant>
        <vt:i4>77</vt:i4>
      </vt:variant>
      <vt:variant>
        <vt:i4>0</vt:i4>
      </vt:variant>
      <vt:variant>
        <vt:i4>5</vt:i4>
      </vt:variant>
      <vt:variant>
        <vt:lpwstr/>
      </vt:variant>
      <vt:variant>
        <vt:lpwstr>_Toc174352806</vt:lpwstr>
      </vt:variant>
      <vt:variant>
        <vt:i4>1114168</vt:i4>
      </vt:variant>
      <vt:variant>
        <vt:i4>71</vt:i4>
      </vt:variant>
      <vt:variant>
        <vt:i4>0</vt:i4>
      </vt:variant>
      <vt:variant>
        <vt:i4>5</vt:i4>
      </vt:variant>
      <vt:variant>
        <vt:lpwstr/>
      </vt:variant>
      <vt:variant>
        <vt:lpwstr>_Toc174352805</vt:lpwstr>
      </vt:variant>
      <vt:variant>
        <vt:i4>1114168</vt:i4>
      </vt:variant>
      <vt:variant>
        <vt:i4>65</vt:i4>
      </vt:variant>
      <vt:variant>
        <vt:i4>0</vt:i4>
      </vt:variant>
      <vt:variant>
        <vt:i4>5</vt:i4>
      </vt:variant>
      <vt:variant>
        <vt:lpwstr/>
      </vt:variant>
      <vt:variant>
        <vt:lpwstr>_Toc174352804</vt:lpwstr>
      </vt:variant>
      <vt:variant>
        <vt:i4>1114168</vt:i4>
      </vt:variant>
      <vt:variant>
        <vt:i4>59</vt:i4>
      </vt:variant>
      <vt:variant>
        <vt:i4>0</vt:i4>
      </vt:variant>
      <vt:variant>
        <vt:i4>5</vt:i4>
      </vt:variant>
      <vt:variant>
        <vt:lpwstr/>
      </vt:variant>
      <vt:variant>
        <vt:lpwstr>_Toc174352803</vt:lpwstr>
      </vt:variant>
      <vt:variant>
        <vt:i4>1572919</vt:i4>
      </vt:variant>
      <vt:variant>
        <vt:i4>53</vt:i4>
      </vt:variant>
      <vt:variant>
        <vt:i4>0</vt:i4>
      </vt:variant>
      <vt:variant>
        <vt:i4>5</vt:i4>
      </vt:variant>
      <vt:variant>
        <vt:lpwstr/>
      </vt:variant>
      <vt:variant>
        <vt:lpwstr>_Toc174352799</vt:lpwstr>
      </vt:variant>
      <vt:variant>
        <vt:i4>1572919</vt:i4>
      </vt:variant>
      <vt:variant>
        <vt:i4>47</vt:i4>
      </vt:variant>
      <vt:variant>
        <vt:i4>0</vt:i4>
      </vt:variant>
      <vt:variant>
        <vt:i4>5</vt:i4>
      </vt:variant>
      <vt:variant>
        <vt:lpwstr/>
      </vt:variant>
      <vt:variant>
        <vt:lpwstr>_Toc174352798</vt:lpwstr>
      </vt:variant>
      <vt:variant>
        <vt:i4>1572919</vt:i4>
      </vt:variant>
      <vt:variant>
        <vt:i4>41</vt:i4>
      </vt:variant>
      <vt:variant>
        <vt:i4>0</vt:i4>
      </vt:variant>
      <vt:variant>
        <vt:i4>5</vt:i4>
      </vt:variant>
      <vt:variant>
        <vt:lpwstr/>
      </vt:variant>
      <vt:variant>
        <vt:lpwstr>_Toc174352797</vt:lpwstr>
      </vt:variant>
      <vt:variant>
        <vt:i4>1572919</vt:i4>
      </vt:variant>
      <vt:variant>
        <vt:i4>35</vt:i4>
      </vt:variant>
      <vt:variant>
        <vt:i4>0</vt:i4>
      </vt:variant>
      <vt:variant>
        <vt:i4>5</vt:i4>
      </vt:variant>
      <vt:variant>
        <vt:lpwstr/>
      </vt:variant>
      <vt:variant>
        <vt:lpwstr>_Toc174352796</vt:lpwstr>
      </vt:variant>
      <vt:variant>
        <vt:i4>1572919</vt:i4>
      </vt:variant>
      <vt:variant>
        <vt:i4>29</vt:i4>
      </vt:variant>
      <vt:variant>
        <vt:i4>0</vt:i4>
      </vt:variant>
      <vt:variant>
        <vt:i4>5</vt:i4>
      </vt:variant>
      <vt:variant>
        <vt:lpwstr/>
      </vt:variant>
      <vt:variant>
        <vt:lpwstr>_Toc174352794</vt:lpwstr>
      </vt:variant>
      <vt:variant>
        <vt:i4>1572919</vt:i4>
      </vt:variant>
      <vt:variant>
        <vt:i4>23</vt:i4>
      </vt:variant>
      <vt:variant>
        <vt:i4>0</vt:i4>
      </vt:variant>
      <vt:variant>
        <vt:i4>5</vt:i4>
      </vt:variant>
      <vt:variant>
        <vt:lpwstr/>
      </vt:variant>
      <vt:variant>
        <vt:lpwstr>_Toc174352793</vt:lpwstr>
      </vt:variant>
      <vt:variant>
        <vt:i4>1572919</vt:i4>
      </vt:variant>
      <vt:variant>
        <vt:i4>17</vt:i4>
      </vt:variant>
      <vt:variant>
        <vt:i4>0</vt:i4>
      </vt:variant>
      <vt:variant>
        <vt:i4>5</vt:i4>
      </vt:variant>
      <vt:variant>
        <vt:lpwstr/>
      </vt:variant>
      <vt:variant>
        <vt:lpwstr>_Toc174352792</vt:lpwstr>
      </vt:variant>
      <vt:variant>
        <vt:i4>1572919</vt:i4>
      </vt:variant>
      <vt:variant>
        <vt:i4>11</vt:i4>
      </vt:variant>
      <vt:variant>
        <vt:i4>0</vt:i4>
      </vt:variant>
      <vt:variant>
        <vt:i4>5</vt:i4>
      </vt:variant>
      <vt:variant>
        <vt:lpwstr/>
      </vt:variant>
      <vt:variant>
        <vt:lpwstr>_Toc174352791</vt:lpwstr>
      </vt:variant>
      <vt:variant>
        <vt:i4>1572919</vt:i4>
      </vt:variant>
      <vt:variant>
        <vt:i4>5</vt:i4>
      </vt:variant>
      <vt:variant>
        <vt:i4>0</vt:i4>
      </vt:variant>
      <vt:variant>
        <vt:i4>5</vt:i4>
      </vt:variant>
      <vt:variant>
        <vt:lpwstr/>
      </vt:variant>
      <vt:variant>
        <vt:lpwstr>_Toc174352790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Erlenbach, Alison</dc:creator>
  <cp:keywords/>
  <cp:lastModifiedBy>Csapo, Sebastien</cp:lastModifiedBy>
  <cp:revision>2</cp:revision>
  <dcterms:created xsi:type="dcterms:W3CDTF">2024-08-12T21:43:00Z</dcterms:created>
  <dcterms:modified xsi:type="dcterms:W3CDTF">2024-08-12T21:43:00Z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0x01010028DED26DBB77D14CBDD35401EA8BA69A</vt:lpwstr>
  </property>
  <property fmtid="{D5CDD505-2E9C-101B-9397-08002B2CF9AE}" pid="3" name="pgeRecordCategory">
    <vt:lpwstr/>
  </property>
  <property fmtid="{D5CDD505-2E9C-101B-9397-08002B2CF9AE}" pid="4" name="MediaServiceImageTags">
    <vt:lpwstr/>
  </property>
  <property fmtid="{D5CDD505-2E9C-101B-9397-08002B2CF9AE}" pid="5" name="GrammarlyDocumentId">
    <vt:lpwstr>46e472994faa9700a7d87feae9dbbe4fee18d965eec28160f79542b76a1d471f</vt:lpwstr>
  </property>
</Properties>
</file>