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CB" w:rsidRDefault="000F5FCB" w:rsidP="000F5FCB">
      <w:pPr>
        <w:pStyle w:val="Default"/>
      </w:pPr>
    </w:p>
    <w:p w:rsidR="003D25DE" w:rsidRDefault="000F5FCB" w:rsidP="000F5FCB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Issue for Decision: </w:t>
      </w:r>
      <w:r>
        <w:rPr>
          <w:sz w:val="26"/>
          <w:szCs w:val="26"/>
        </w:rPr>
        <w:t>Whether AGA should engage in an intensive Capitol Hill campaign asking for legislation to establish two product classes for non-condensing and condensing furnaces, beginning with a fly-in of CEOs from across the country to meet with E&amp;C Committee members.</w:t>
      </w:r>
    </w:p>
    <w:p w:rsidR="000F5FCB" w:rsidRDefault="000F5FCB" w:rsidP="000F5FCB">
      <w:pPr>
        <w:rPr>
          <w:sz w:val="26"/>
          <w:szCs w:val="26"/>
        </w:rPr>
      </w:pPr>
    </w:p>
    <w:p w:rsidR="00923A1E" w:rsidRDefault="00923A1E" w:rsidP="000F5FCB">
      <w:pPr>
        <w:rPr>
          <w:sz w:val="26"/>
          <w:szCs w:val="26"/>
        </w:rPr>
      </w:pPr>
      <w:r>
        <w:rPr>
          <w:sz w:val="26"/>
          <w:szCs w:val="26"/>
        </w:rPr>
        <w:t>Position</w:t>
      </w:r>
      <w:r w:rsidR="004C0F9D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No support: </w:t>
      </w:r>
    </w:p>
    <w:p w:rsidR="00923A1E" w:rsidRDefault="00923A1E" w:rsidP="000F5FCB">
      <w:pPr>
        <w:rPr>
          <w:sz w:val="26"/>
          <w:szCs w:val="26"/>
        </w:rPr>
      </w:pPr>
    </w:p>
    <w:p w:rsidR="00923A1E" w:rsidRDefault="00943456" w:rsidP="000F5FCB">
      <w:pPr>
        <w:rPr>
          <w:sz w:val="26"/>
          <w:szCs w:val="26"/>
        </w:rPr>
      </w:pPr>
      <w:r>
        <w:rPr>
          <w:sz w:val="26"/>
          <w:szCs w:val="26"/>
        </w:rPr>
        <w:t>Impact on California customers</w:t>
      </w:r>
      <w:r w:rsidR="00923A1E">
        <w:rPr>
          <w:sz w:val="26"/>
          <w:szCs w:val="26"/>
        </w:rPr>
        <w:t xml:space="preserve"> </w:t>
      </w:r>
    </w:p>
    <w:p w:rsidR="00923A1E" w:rsidRDefault="00923A1E" w:rsidP="000F5FCB">
      <w:pPr>
        <w:rPr>
          <w:sz w:val="26"/>
          <w:szCs w:val="26"/>
        </w:rPr>
      </w:pPr>
    </w:p>
    <w:p w:rsidR="00923A1E" w:rsidRDefault="00923A1E" w:rsidP="000F5FCB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0F5FCB">
        <w:rPr>
          <w:sz w:val="26"/>
          <w:szCs w:val="26"/>
        </w:rPr>
        <w:t>eparating out the furnaces into two product classes appears to be a viable option</w:t>
      </w:r>
      <w:r>
        <w:rPr>
          <w:sz w:val="26"/>
          <w:szCs w:val="26"/>
        </w:rPr>
        <w:t>.  However</w:t>
      </w:r>
      <w:r w:rsidR="003F01BF">
        <w:rPr>
          <w:sz w:val="26"/>
          <w:szCs w:val="26"/>
        </w:rPr>
        <w:t xml:space="preserve">, the result would likely be the same for States with aggressive advancements in energy-efficiency.  </w:t>
      </w:r>
    </w:p>
    <w:p w:rsidR="00923A1E" w:rsidRDefault="003F01BF" w:rsidP="007449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44938">
        <w:rPr>
          <w:sz w:val="26"/>
          <w:szCs w:val="26"/>
          <w:u w:val="single"/>
        </w:rPr>
        <w:t>California’s 2016 Title 24</w:t>
      </w:r>
      <w:r w:rsidRPr="00744938">
        <w:rPr>
          <w:sz w:val="26"/>
          <w:szCs w:val="26"/>
        </w:rPr>
        <w:t xml:space="preserve"> cycle is similar to the furnace situation</w:t>
      </w:r>
      <w:r w:rsidR="00923A1E">
        <w:rPr>
          <w:sz w:val="26"/>
          <w:szCs w:val="26"/>
        </w:rPr>
        <w:t>.</w:t>
      </w:r>
      <w:r w:rsidRPr="00744938">
        <w:rPr>
          <w:sz w:val="26"/>
          <w:szCs w:val="26"/>
        </w:rPr>
        <w:t xml:space="preserve"> </w:t>
      </w:r>
      <w:r w:rsidR="00923A1E">
        <w:rPr>
          <w:sz w:val="26"/>
          <w:szCs w:val="26"/>
        </w:rPr>
        <w:t>T</w:t>
      </w:r>
      <w:r w:rsidR="000F5FCB" w:rsidRPr="00744938">
        <w:rPr>
          <w:sz w:val="26"/>
          <w:szCs w:val="26"/>
        </w:rPr>
        <w:t xml:space="preserve">he DOE </w:t>
      </w:r>
      <w:r w:rsidRPr="00744938">
        <w:rPr>
          <w:sz w:val="26"/>
          <w:szCs w:val="26"/>
        </w:rPr>
        <w:t xml:space="preserve">currently </w:t>
      </w:r>
      <w:r w:rsidR="000F5FCB" w:rsidRPr="00744938">
        <w:rPr>
          <w:sz w:val="26"/>
          <w:szCs w:val="26"/>
        </w:rPr>
        <w:t xml:space="preserve">has water heaters in two separate product classes, one for instantaneous and one for storage.  </w:t>
      </w:r>
      <w:r w:rsidRPr="00744938">
        <w:rPr>
          <w:sz w:val="26"/>
          <w:szCs w:val="26"/>
        </w:rPr>
        <w:t xml:space="preserve">When the </w:t>
      </w:r>
      <w:r w:rsidR="000F5FCB" w:rsidRPr="00744938">
        <w:rPr>
          <w:sz w:val="26"/>
          <w:szCs w:val="26"/>
        </w:rPr>
        <w:t>Federal standards of the storage water heater</w:t>
      </w:r>
      <w:r w:rsidRPr="00744938">
        <w:rPr>
          <w:sz w:val="26"/>
          <w:szCs w:val="26"/>
        </w:rPr>
        <w:t xml:space="preserve"> and the instantaneous water heater were recently raised to .675 EF and </w:t>
      </w:r>
      <w:r w:rsidR="000F5FCB" w:rsidRPr="00744938">
        <w:rPr>
          <w:sz w:val="26"/>
          <w:szCs w:val="26"/>
        </w:rPr>
        <w:t>.82 EF</w:t>
      </w:r>
      <w:r w:rsidRPr="00744938">
        <w:rPr>
          <w:sz w:val="26"/>
          <w:szCs w:val="26"/>
        </w:rPr>
        <w:t xml:space="preserve"> respectively, t</w:t>
      </w:r>
      <w:r w:rsidR="000F5FCB" w:rsidRPr="00744938">
        <w:rPr>
          <w:sz w:val="26"/>
          <w:szCs w:val="26"/>
        </w:rPr>
        <w:t xml:space="preserve">he California Energy Commission </w:t>
      </w:r>
      <w:r w:rsidRPr="00744938">
        <w:rPr>
          <w:sz w:val="26"/>
          <w:szCs w:val="26"/>
        </w:rPr>
        <w:t xml:space="preserve">chose to </w:t>
      </w:r>
      <w:r w:rsidR="000F5FCB" w:rsidRPr="00744938">
        <w:rPr>
          <w:sz w:val="26"/>
          <w:szCs w:val="26"/>
        </w:rPr>
        <w:t>adopt the higher standard product as the baseline for Califor</w:t>
      </w:r>
      <w:r w:rsidR="004C0F9D" w:rsidRPr="00744938">
        <w:rPr>
          <w:sz w:val="26"/>
          <w:szCs w:val="26"/>
        </w:rPr>
        <w:t>nia in the residential new construction market</w:t>
      </w:r>
      <w:r w:rsidR="00C328DF">
        <w:rPr>
          <w:sz w:val="26"/>
          <w:szCs w:val="26"/>
        </w:rPr>
        <w:t>.</w:t>
      </w:r>
      <w:r w:rsidR="00943456">
        <w:rPr>
          <w:sz w:val="26"/>
          <w:szCs w:val="26"/>
        </w:rPr>
        <w:t xml:space="preserve"> </w:t>
      </w:r>
    </w:p>
    <w:p w:rsidR="00923A1E" w:rsidRPr="00744938" w:rsidRDefault="00923A1E" w:rsidP="00744938">
      <w:pPr>
        <w:ind w:left="720"/>
        <w:rPr>
          <w:sz w:val="26"/>
          <w:szCs w:val="26"/>
        </w:rPr>
      </w:pPr>
    </w:p>
    <w:p w:rsidR="00923A1E" w:rsidRDefault="000F5FCB" w:rsidP="007449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44938">
        <w:rPr>
          <w:sz w:val="26"/>
          <w:szCs w:val="26"/>
        </w:rPr>
        <w:t>If the legislation was to mandate that the DOE separate condensing and non-condensing furnaces into two separate product classes, it is likely that California would simply adopt the higher standard equipment as the baseline</w:t>
      </w:r>
      <w:r w:rsidR="003F01BF" w:rsidRPr="00744938">
        <w:rPr>
          <w:sz w:val="26"/>
          <w:szCs w:val="26"/>
        </w:rPr>
        <w:t xml:space="preserve"> now that it has set prece</w:t>
      </w:r>
      <w:r w:rsidR="0087333E" w:rsidRPr="00744938">
        <w:rPr>
          <w:sz w:val="26"/>
          <w:szCs w:val="26"/>
        </w:rPr>
        <w:t>dent with the IWH</w:t>
      </w:r>
      <w:r w:rsidRPr="00744938">
        <w:rPr>
          <w:sz w:val="26"/>
          <w:szCs w:val="26"/>
        </w:rPr>
        <w:t>.</w:t>
      </w:r>
      <w:r w:rsidR="004C0F9D" w:rsidRPr="00744938">
        <w:rPr>
          <w:sz w:val="26"/>
          <w:szCs w:val="26"/>
        </w:rPr>
        <w:t xml:space="preserve">  </w:t>
      </w:r>
      <w:r w:rsidR="00943456">
        <w:rPr>
          <w:sz w:val="26"/>
          <w:szCs w:val="26"/>
        </w:rPr>
        <w:t xml:space="preserve">This would impose increased </w:t>
      </w:r>
      <w:r w:rsidR="00744938">
        <w:rPr>
          <w:sz w:val="26"/>
          <w:szCs w:val="26"/>
        </w:rPr>
        <w:t xml:space="preserve">new construction </w:t>
      </w:r>
      <w:r w:rsidR="00943456">
        <w:rPr>
          <w:sz w:val="26"/>
          <w:szCs w:val="26"/>
        </w:rPr>
        <w:t xml:space="preserve">costs on California customers; disproportionately impacting low-income communities.  </w:t>
      </w:r>
    </w:p>
    <w:p w:rsidR="00923A1E" w:rsidRDefault="00923A1E" w:rsidP="00744938">
      <w:pPr>
        <w:pStyle w:val="ListParagraph"/>
        <w:ind w:left="1080"/>
        <w:rPr>
          <w:sz w:val="26"/>
          <w:szCs w:val="26"/>
        </w:rPr>
      </w:pPr>
    </w:p>
    <w:p w:rsidR="00923A1E" w:rsidRDefault="004C0F9D" w:rsidP="007449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44938">
        <w:rPr>
          <w:sz w:val="26"/>
          <w:szCs w:val="26"/>
        </w:rPr>
        <w:t xml:space="preserve">The only relief this would provide to SoCalGas customers would be the delay in implementation for the retrofit market through the Title 20 process over the </w:t>
      </w:r>
      <w:r w:rsidR="005D3D70" w:rsidRPr="00744938">
        <w:rPr>
          <w:sz w:val="26"/>
          <w:szCs w:val="26"/>
        </w:rPr>
        <w:t>subsequent years</w:t>
      </w:r>
      <w:r w:rsidR="00923A1E" w:rsidRPr="00744938">
        <w:rPr>
          <w:sz w:val="26"/>
          <w:szCs w:val="26"/>
        </w:rPr>
        <w:t>.  Even</w:t>
      </w:r>
      <w:r w:rsidR="00C328DF">
        <w:rPr>
          <w:sz w:val="26"/>
          <w:szCs w:val="26"/>
        </w:rPr>
        <w:t>tu</w:t>
      </w:r>
      <w:r w:rsidR="00923A1E" w:rsidRPr="00744938">
        <w:rPr>
          <w:sz w:val="26"/>
          <w:szCs w:val="26"/>
        </w:rPr>
        <w:t xml:space="preserve">ally, </w:t>
      </w:r>
      <w:r w:rsidR="003F01BF" w:rsidRPr="00744938">
        <w:rPr>
          <w:sz w:val="26"/>
          <w:szCs w:val="26"/>
        </w:rPr>
        <w:t>the Title 20 process would adopt th</w:t>
      </w:r>
      <w:r w:rsidR="00923A1E">
        <w:rPr>
          <w:sz w:val="26"/>
          <w:szCs w:val="26"/>
        </w:rPr>
        <w:t>e higher</w:t>
      </w:r>
      <w:r w:rsidR="003F01BF" w:rsidRPr="00744938">
        <w:rPr>
          <w:sz w:val="26"/>
          <w:szCs w:val="26"/>
        </w:rPr>
        <w:t xml:space="preserve"> standard for the retrofit market</w:t>
      </w:r>
      <w:r w:rsidRPr="00744938">
        <w:rPr>
          <w:sz w:val="26"/>
          <w:szCs w:val="26"/>
        </w:rPr>
        <w:t xml:space="preserve">.  </w:t>
      </w:r>
    </w:p>
    <w:p w:rsidR="00943456" w:rsidRPr="00744938" w:rsidRDefault="00943456" w:rsidP="00744938">
      <w:pPr>
        <w:pStyle w:val="ListParagraph"/>
        <w:rPr>
          <w:sz w:val="26"/>
          <w:szCs w:val="26"/>
        </w:rPr>
      </w:pPr>
    </w:p>
    <w:p w:rsidR="00943456" w:rsidRPr="00744938" w:rsidRDefault="00943456" w:rsidP="0094345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Political Environment</w:t>
      </w:r>
    </w:p>
    <w:p w:rsidR="00923A1E" w:rsidRPr="00744938" w:rsidRDefault="00923A1E" w:rsidP="00744938">
      <w:pPr>
        <w:pStyle w:val="ListParagraph"/>
        <w:rPr>
          <w:sz w:val="26"/>
          <w:szCs w:val="26"/>
        </w:rPr>
      </w:pPr>
    </w:p>
    <w:p w:rsidR="00943456" w:rsidRDefault="00923A1E" w:rsidP="0094345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There is </w:t>
      </w:r>
      <w:r w:rsidR="004C0F9D" w:rsidRPr="00744938">
        <w:rPr>
          <w:sz w:val="26"/>
          <w:szCs w:val="26"/>
        </w:rPr>
        <w:t>significant opposition to this legislative option by environmental and efficiency advocacy groups</w:t>
      </w:r>
      <w:r w:rsidR="00C328DF">
        <w:rPr>
          <w:sz w:val="26"/>
          <w:szCs w:val="26"/>
        </w:rPr>
        <w:t>.</w:t>
      </w:r>
      <w:r w:rsidR="0087333E" w:rsidRPr="00744938">
        <w:rPr>
          <w:sz w:val="26"/>
          <w:szCs w:val="26"/>
        </w:rPr>
        <w:t xml:space="preserve"> </w:t>
      </w:r>
      <w:r w:rsidR="00943456">
        <w:rPr>
          <w:sz w:val="26"/>
          <w:szCs w:val="26"/>
        </w:rPr>
        <w:t xml:space="preserve">In addition, </w:t>
      </w:r>
      <w:r w:rsidR="0087333E" w:rsidRPr="00744938">
        <w:rPr>
          <w:sz w:val="26"/>
          <w:szCs w:val="26"/>
        </w:rPr>
        <w:t>the DOE has already rejected it</w:t>
      </w:r>
      <w:r>
        <w:rPr>
          <w:sz w:val="26"/>
          <w:szCs w:val="26"/>
        </w:rPr>
        <w:t xml:space="preserve">; making </w:t>
      </w:r>
      <w:r w:rsidR="004C0F9D" w:rsidRPr="00744938">
        <w:rPr>
          <w:sz w:val="26"/>
          <w:szCs w:val="26"/>
        </w:rPr>
        <w:t xml:space="preserve">the likelihood of this option passing low.  </w:t>
      </w:r>
    </w:p>
    <w:p w:rsidR="00943456" w:rsidRPr="00C328DF" w:rsidRDefault="00943456" w:rsidP="00C328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44938">
        <w:rPr>
          <w:sz w:val="26"/>
          <w:szCs w:val="26"/>
        </w:rPr>
        <w:t xml:space="preserve">Should the AGA aggressively seek this option in the face of opposition we risk alienating environmentalists and efficiency advocacy groups.  </w:t>
      </w:r>
    </w:p>
    <w:p w:rsidR="00923A1E" w:rsidRDefault="00923A1E" w:rsidP="0074493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="004C0F9D" w:rsidRPr="00744938">
        <w:rPr>
          <w:sz w:val="26"/>
          <w:szCs w:val="26"/>
        </w:rPr>
        <w:t>eighed against the current published proposed rule of 92% AFUE for all furnaces we would support two product classes but</w:t>
      </w:r>
      <w:r w:rsidR="00943456">
        <w:rPr>
          <w:sz w:val="26"/>
          <w:szCs w:val="26"/>
        </w:rPr>
        <w:t>,</w:t>
      </w:r>
      <w:r w:rsidR="004C0F9D" w:rsidRPr="00744938">
        <w:rPr>
          <w:sz w:val="26"/>
          <w:szCs w:val="26"/>
        </w:rPr>
        <w:t xml:space="preserve"> it would not provide </w:t>
      </w:r>
      <w:r w:rsidR="00943456">
        <w:rPr>
          <w:sz w:val="26"/>
          <w:szCs w:val="26"/>
        </w:rPr>
        <w:t xml:space="preserve">significant </w:t>
      </w:r>
      <w:r w:rsidR="004C0F9D" w:rsidRPr="00744938">
        <w:rPr>
          <w:sz w:val="26"/>
          <w:szCs w:val="26"/>
        </w:rPr>
        <w:t>relief for California consumers.</w:t>
      </w:r>
      <w:r w:rsidR="003F01BF" w:rsidRPr="00744938">
        <w:rPr>
          <w:sz w:val="26"/>
          <w:szCs w:val="26"/>
        </w:rPr>
        <w:t xml:space="preserve">  </w:t>
      </w:r>
    </w:p>
    <w:p w:rsidR="00943456" w:rsidRPr="00C328DF" w:rsidRDefault="00943456" w:rsidP="00C328DF">
      <w:pPr>
        <w:rPr>
          <w:sz w:val="26"/>
          <w:szCs w:val="26"/>
        </w:rPr>
      </w:pPr>
      <w:bookmarkStart w:id="0" w:name="_GoBack"/>
      <w:bookmarkEnd w:id="0"/>
    </w:p>
    <w:sectPr w:rsidR="00943456" w:rsidRPr="00C3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D7C"/>
    <w:multiLevelType w:val="hybridMultilevel"/>
    <w:tmpl w:val="0106BB34"/>
    <w:lvl w:ilvl="0" w:tplc="4E66F0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CB"/>
    <w:rsid w:val="000F5FCB"/>
    <w:rsid w:val="003D25DE"/>
    <w:rsid w:val="003F01BF"/>
    <w:rsid w:val="004C0F9D"/>
    <w:rsid w:val="005D3D70"/>
    <w:rsid w:val="00603AEE"/>
    <w:rsid w:val="00713D8E"/>
    <w:rsid w:val="00744938"/>
    <w:rsid w:val="007765AE"/>
    <w:rsid w:val="0087333E"/>
    <w:rsid w:val="00923A1E"/>
    <w:rsid w:val="00943456"/>
    <w:rsid w:val="0095005A"/>
    <w:rsid w:val="00C328DF"/>
    <w:rsid w:val="00CA00F2"/>
    <w:rsid w:val="00D8432E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5D596-E9C8-4F27-BEDD-15B1358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FC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B8F672D2E8E4A8EE93BB2E8ED62A3" ma:contentTypeVersion="7" ma:contentTypeDescription="Create a new document." ma:contentTypeScope="" ma:versionID="b17d363a749a0dd7b18e04a3e0367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3c3c0331fc2e6bc2154b81f750dc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C2534-E439-4E92-B9F7-7B04DD03421E}"/>
</file>

<file path=customXml/itemProps2.xml><?xml version="1.0" encoding="utf-8"?>
<ds:datastoreItem xmlns:ds="http://schemas.openxmlformats.org/officeDocument/2006/customXml" ds:itemID="{F410981F-036E-4FCF-9B68-131B4400BA09}"/>
</file>

<file path=customXml/itemProps3.xml><?xml version="1.0" encoding="utf-8"?>
<ds:datastoreItem xmlns:ds="http://schemas.openxmlformats.org/officeDocument/2006/customXml" ds:itemID="{14FFC3AC-2E6F-4C8F-BC82-DE402CBF9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skristja</dc:creator>
  <cp:lastModifiedBy>Wooden, Grant</cp:lastModifiedBy>
  <cp:revision>3</cp:revision>
  <dcterms:created xsi:type="dcterms:W3CDTF">2015-03-14T19:22:00Z</dcterms:created>
  <dcterms:modified xsi:type="dcterms:W3CDTF">2017-08-07T18:02:00Z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0x010100987B8F672D2E8E4A8EE93BB2E8ED62A3</vt:lpwstr>
  </property>
</Properties>
</file>