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3F" w:rsidRDefault="00E6773F" w:rsidP="00E6773F">
      <w:pPr>
        <w:pStyle w:val="NoSpacing"/>
        <w:jc w:val="center"/>
        <w:rPr>
          <w:rFonts w:ascii="Tahoma" w:hAnsi="Tahoma" w:cs="Tahoma"/>
          <w:b/>
          <w:sz w:val="28"/>
        </w:rPr>
      </w:pPr>
    </w:p>
    <w:p w:rsidR="004C4F3D" w:rsidRPr="002D2CB9" w:rsidRDefault="004C4F3D" w:rsidP="005251C9">
      <w:pPr>
        <w:pStyle w:val="NoSpacing"/>
        <w:rPr>
          <w:rFonts w:ascii="Tahoma" w:hAnsi="Tahoma" w:cs="Tahoma"/>
          <w:sz w:val="24"/>
          <w:szCs w:val="24"/>
        </w:rPr>
      </w:pPr>
    </w:p>
    <w:p w:rsidR="002D2CB9" w:rsidRPr="002D2CB9" w:rsidRDefault="002D2CB9" w:rsidP="004C4F3D">
      <w:pPr>
        <w:pStyle w:val="NoSpacing"/>
        <w:rPr>
          <w:rFonts w:ascii="Tahoma" w:hAnsi="Tahoma" w:cs="Tahoma"/>
          <w:sz w:val="24"/>
          <w:szCs w:val="24"/>
        </w:rPr>
      </w:pPr>
    </w:p>
    <w:p w:rsidR="005251C9" w:rsidRPr="002D2CB9" w:rsidRDefault="005251C9" w:rsidP="005251C9">
      <w:pPr>
        <w:pStyle w:val="NoSpacing"/>
        <w:rPr>
          <w:rFonts w:ascii="Tahoma" w:hAnsi="Tahoma" w:cs="Tahoma"/>
          <w:b/>
          <w:sz w:val="24"/>
          <w:szCs w:val="24"/>
          <w:u w:val="single"/>
        </w:rPr>
      </w:pPr>
      <w:r w:rsidRPr="002D2CB9">
        <w:rPr>
          <w:rFonts w:ascii="Tahoma" w:hAnsi="Tahoma" w:cs="Tahoma"/>
          <w:b/>
          <w:sz w:val="24"/>
          <w:szCs w:val="24"/>
          <w:u w:val="single"/>
        </w:rPr>
        <w:t>Legislative Update</w:t>
      </w:r>
    </w:p>
    <w:p w:rsidR="00C0351A" w:rsidRPr="002D2CB9" w:rsidRDefault="00C0351A" w:rsidP="005251C9">
      <w:pPr>
        <w:rPr>
          <w:rFonts w:ascii="Tahoma" w:hAnsi="Tahoma" w:cs="Tahoma"/>
          <w:sz w:val="24"/>
          <w:szCs w:val="24"/>
        </w:rPr>
      </w:pPr>
      <w:r w:rsidRPr="002D2CB9">
        <w:rPr>
          <w:rFonts w:ascii="Tahoma" w:hAnsi="Tahoma" w:cs="Tahoma"/>
          <w:sz w:val="24"/>
          <w:szCs w:val="24"/>
        </w:rPr>
        <w:t>The American Gas Association (</w:t>
      </w:r>
      <w:r w:rsidR="005251C9" w:rsidRPr="002D2CB9">
        <w:rPr>
          <w:rFonts w:ascii="Tahoma" w:hAnsi="Tahoma" w:cs="Tahoma"/>
          <w:sz w:val="24"/>
          <w:szCs w:val="24"/>
        </w:rPr>
        <w:t>AGA</w:t>
      </w:r>
      <w:r w:rsidRPr="002D2CB9">
        <w:rPr>
          <w:rFonts w:ascii="Tahoma" w:hAnsi="Tahoma" w:cs="Tahoma"/>
          <w:sz w:val="24"/>
          <w:szCs w:val="24"/>
        </w:rPr>
        <w:t>)</w:t>
      </w:r>
      <w:r w:rsidR="005251C9" w:rsidRPr="002D2CB9">
        <w:rPr>
          <w:rFonts w:ascii="Tahoma" w:hAnsi="Tahoma" w:cs="Tahoma"/>
          <w:sz w:val="24"/>
          <w:szCs w:val="24"/>
        </w:rPr>
        <w:t xml:space="preserve"> and the SRE Washington office are pursuing a legislative fix to </w:t>
      </w:r>
      <w:r w:rsidRPr="002D2CB9">
        <w:rPr>
          <w:rFonts w:ascii="Tahoma" w:hAnsi="Tahoma" w:cs="Tahoma"/>
          <w:sz w:val="24"/>
          <w:szCs w:val="24"/>
        </w:rPr>
        <w:t>the Department of Energy’s (DOE)</w:t>
      </w:r>
      <w:r w:rsidR="005251C9" w:rsidRPr="002D2CB9">
        <w:rPr>
          <w:rFonts w:ascii="Tahoma" w:hAnsi="Tahoma" w:cs="Tahoma"/>
          <w:sz w:val="24"/>
          <w:szCs w:val="24"/>
        </w:rPr>
        <w:t xml:space="preserve"> furnace rulemaking. </w:t>
      </w:r>
      <w:r w:rsidRPr="002D2CB9">
        <w:rPr>
          <w:rFonts w:ascii="Tahoma" w:hAnsi="Tahoma" w:cs="Tahoma"/>
          <w:sz w:val="24"/>
          <w:szCs w:val="24"/>
        </w:rPr>
        <w:t xml:space="preserve">  </w:t>
      </w:r>
      <w:r w:rsidR="005251C9" w:rsidRPr="002D2CB9">
        <w:rPr>
          <w:rFonts w:ascii="Tahoma" w:hAnsi="Tahoma" w:cs="Tahoma"/>
          <w:sz w:val="24"/>
          <w:szCs w:val="24"/>
        </w:rPr>
        <w:t>The House Energy &amp; Commerce Committee recently passed out of committee a bill that prohibits the DOE from issu</w:t>
      </w:r>
      <w:r w:rsidR="00F34692" w:rsidRPr="002D2CB9">
        <w:rPr>
          <w:rFonts w:ascii="Tahoma" w:hAnsi="Tahoma" w:cs="Tahoma"/>
          <w:sz w:val="24"/>
          <w:szCs w:val="24"/>
        </w:rPr>
        <w:t>ing a final rule until July 2016</w:t>
      </w:r>
      <w:r w:rsidR="005251C9" w:rsidRPr="002D2CB9">
        <w:rPr>
          <w:rFonts w:ascii="Tahoma" w:hAnsi="Tahoma" w:cs="Tahoma"/>
          <w:sz w:val="24"/>
          <w:szCs w:val="24"/>
        </w:rPr>
        <w:t xml:space="preserve">. </w:t>
      </w:r>
      <w:r w:rsidRPr="002D2CB9">
        <w:rPr>
          <w:rFonts w:ascii="Tahoma" w:hAnsi="Tahoma" w:cs="Tahoma"/>
          <w:sz w:val="24"/>
          <w:szCs w:val="24"/>
        </w:rPr>
        <w:t>It is</w:t>
      </w:r>
      <w:r w:rsidR="005251C9" w:rsidRPr="002D2CB9">
        <w:rPr>
          <w:rFonts w:ascii="Tahoma" w:hAnsi="Tahoma" w:cs="Tahoma"/>
          <w:sz w:val="24"/>
          <w:szCs w:val="24"/>
        </w:rPr>
        <w:t xml:space="preserve"> expect</w:t>
      </w:r>
      <w:r w:rsidRPr="002D2CB9">
        <w:rPr>
          <w:rFonts w:ascii="Tahoma" w:hAnsi="Tahoma" w:cs="Tahoma"/>
          <w:sz w:val="24"/>
          <w:szCs w:val="24"/>
        </w:rPr>
        <w:t>ed that</w:t>
      </w:r>
      <w:r w:rsidR="005251C9" w:rsidRPr="002D2CB9">
        <w:rPr>
          <w:rFonts w:ascii="Tahoma" w:hAnsi="Tahoma" w:cs="Tahoma"/>
          <w:sz w:val="24"/>
          <w:szCs w:val="24"/>
        </w:rPr>
        <w:t xml:space="preserve"> </w:t>
      </w:r>
      <w:r w:rsidRPr="002D2CB9">
        <w:rPr>
          <w:rFonts w:ascii="Tahoma" w:hAnsi="Tahoma" w:cs="Tahoma"/>
          <w:sz w:val="24"/>
          <w:szCs w:val="24"/>
        </w:rPr>
        <w:t>the bill will</w:t>
      </w:r>
      <w:r w:rsidR="005251C9" w:rsidRPr="002D2CB9">
        <w:rPr>
          <w:rFonts w:ascii="Tahoma" w:hAnsi="Tahoma" w:cs="Tahoma"/>
          <w:sz w:val="24"/>
          <w:szCs w:val="24"/>
        </w:rPr>
        <w:t xml:space="preserve"> come to the floor of the House of Representatives sometime in the next few weeks and it should have the votes to pass in the Republican majority House. </w:t>
      </w:r>
    </w:p>
    <w:p w:rsidR="00C0351A" w:rsidRPr="002D2CB9" w:rsidRDefault="005251C9" w:rsidP="004C4F3D">
      <w:pPr>
        <w:rPr>
          <w:rFonts w:ascii="Tahoma" w:hAnsi="Tahoma" w:cs="Tahoma"/>
          <w:sz w:val="24"/>
          <w:szCs w:val="24"/>
        </w:rPr>
      </w:pPr>
      <w:r w:rsidRPr="002D2CB9">
        <w:rPr>
          <w:rFonts w:ascii="Tahoma" w:hAnsi="Tahoma" w:cs="Tahoma"/>
          <w:sz w:val="24"/>
          <w:szCs w:val="24"/>
        </w:rPr>
        <w:t>The Senate Energy and Natural Res</w:t>
      </w:r>
      <w:r w:rsidR="00C0351A" w:rsidRPr="002D2CB9">
        <w:rPr>
          <w:rFonts w:ascii="Tahoma" w:hAnsi="Tahoma" w:cs="Tahoma"/>
          <w:sz w:val="24"/>
          <w:szCs w:val="24"/>
        </w:rPr>
        <w:t xml:space="preserve">ource Committee </w:t>
      </w:r>
      <w:r w:rsidR="001D0150">
        <w:rPr>
          <w:rFonts w:ascii="Tahoma" w:hAnsi="Tahoma" w:cs="Tahoma"/>
          <w:sz w:val="24"/>
          <w:szCs w:val="24"/>
        </w:rPr>
        <w:t>has</w:t>
      </w:r>
      <w:r w:rsidR="001D0150" w:rsidRPr="002D2CB9">
        <w:rPr>
          <w:rFonts w:ascii="Tahoma" w:hAnsi="Tahoma" w:cs="Tahoma"/>
          <w:sz w:val="24"/>
          <w:szCs w:val="24"/>
        </w:rPr>
        <w:t xml:space="preserve"> </w:t>
      </w:r>
      <w:r w:rsidRPr="002D2CB9">
        <w:rPr>
          <w:rFonts w:ascii="Tahoma" w:hAnsi="Tahoma" w:cs="Tahoma"/>
          <w:sz w:val="24"/>
          <w:szCs w:val="24"/>
        </w:rPr>
        <w:t>also passed a bill out of committee that prohibits DOE from moving forward with the rule without a stakeholder conference to evaluate if the furnace rule is economically justifiable. Although the Senate bill passed out of committee with bipartisan support, it is unclear when or if the bill will be brought to the flo</w:t>
      </w:r>
      <w:r w:rsidR="00C0351A" w:rsidRPr="002D2CB9">
        <w:rPr>
          <w:rFonts w:ascii="Tahoma" w:hAnsi="Tahoma" w:cs="Tahoma"/>
          <w:sz w:val="24"/>
          <w:szCs w:val="24"/>
        </w:rPr>
        <w:t>or of the Senate this year. Therefore</w:t>
      </w:r>
      <w:r w:rsidRPr="002D2CB9">
        <w:rPr>
          <w:rFonts w:ascii="Tahoma" w:hAnsi="Tahoma" w:cs="Tahoma"/>
          <w:sz w:val="24"/>
          <w:szCs w:val="24"/>
        </w:rPr>
        <w:t xml:space="preserve">, despite success in addressing the furnace rule in both houses of Congress, the uncertainty of final passage by both </w:t>
      </w:r>
      <w:r w:rsidR="001D0150">
        <w:rPr>
          <w:rFonts w:ascii="Tahoma" w:hAnsi="Tahoma" w:cs="Tahoma"/>
          <w:sz w:val="24"/>
          <w:szCs w:val="24"/>
        </w:rPr>
        <w:t>h</w:t>
      </w:r>
      <w:r w:rsidRPr="002D2CB9">
        <w:rPr>
          <w:rFonts w:ascii="Tahoma" w:hAnsi="Tahoma" w:cs="Tahoma"/>
          <w:sz w:val="24"/>
          <w:szCs w:val="24"/>
        </w:rPr>
        <w:t>ouses and a reconciliation of any diff</w:t>
      </w:r>
      <w:r w:rsidR="00512A30" w:rsidRPr="002D2CB9">
        <w:rPr>
          <w:rFonts w:ascii="Tahoma" w:hAnsi="Tahoma" w:cs="Tahoma"/>
          <w:sz w:val="24"/>
          <w:szCs w:val="24"/>
        </w:rPr>
        <w:t xml:space="preserve">erences before December </w:t>
      </w:r>
      <w:r w:rsidRPr="002D2CB9">
        <w:rPr>
          <w:rFonts w:ascii="Tahoma" w:hAnsi="Tahoma" w:cs="Tahoma"/>
          <w:sz w:val="24"/>
          <w:szCs w:val="24"/>
        </w:rPr>
        <w:t>is unlikely. We expect the DOE to issue a final rule in December prior to the President’s trip to Paris for climate talks.</w:t>
      </w:r>
    </w:p>
    <w:p w:rsidR="00732622" w:rsidRPr="002D2CB9" w:rsidRDefault="00262F8C" w:rsidP="00732622">
      <w:pPr>
        <w:pStyle w:val="NoSpacing"/>
        <w:rPr>
          <w:rFonts w:ascii="Tahoma" w:hAnsi="Tahoma" w:cs="Tahoma"/>
          <w:b/>
          <w:sz w:val="24"/>
          <w:szCs w:val="24"/>
          <w:u w:val="single"/>
        </w:rPr>
      </w:pPr>
      <w:r>
        <w:rPr>
          <w:rFonts w:ascii="Tahoma" w:hAnsi="Tahoma" w:cs="Tahoma"/>
          <w:b/>
          <w:sz w:val="24"/>
          <w:szCs w:val="24"/>
          <w:u w:val="single"/>
        </w:rPr>
        <w:t>Summary of</w:t>
      </w:r>
      <w:r w:rsidR="00732622" w:rsidRPr="002D2CB9">
        <w:rPr>
          <w:rFonts w:ascii="Tahoma" w:hAnsi="Tahoma" w:cs="Tahoma"/>
          <w:b/>
          <w:sz w:val="24"/>
          <w:szCs w:val="24"/>
          <w:u w:val="single"/>
        </w:rPr>
        <w:t xml:space="preserve"> Comments to NOPR</w:t>
      </w:r>
      <w:r>
        <w:rPr>
          <w:rFonts w:ascii="Tahoma" w:hAnsi="Tahoma" w:cs="Tahoma"/>
          <w:b/>
          <w:sz w:val="24"/>
          <w:szCs w:val="24"/>
          <w:u w:val="single"/>
        </w:rPr>
        <w:t>.</w:t>
      </w:r>
    </w:p>
    <w:p w:rsidR="00732622" w:rsidRPr="002D2CB9" w:rsidRDefault="00FB05EB" w:rsidP="00732622">
      <w:pPr>
        <w:pStyle w:val="NoSpacing"/>
        <w:rPr>
          <w:rFonts w:ascii="Tahoma" w:hAnsi="Tahoma" w:cs="Tahoma"/>
          <w:sz w:val="24"/>
          <w:szCs w:val="24"/>
        </w:rPr>
      </w:pPr>
      <w:r w:rsidRPr="002D2CB9">
        <w:rPr>
          <w:rFonts w:ascii="Tahoma" w:hAnsi="Tahoma" w:cs="Tahoma"/>
          <w:sz w:val="24"/>
          <w:szCs w:val="24"/>
        </w:rPr>
        <w:t>This Notice</w:t>
      </w:r>
      <w:r w:rsidR="000E627C" w:rsidRPr="002D2CB9">
        <w:rPr>
          <w:rFonts w:ascii="Tahoma" w:hAnsi="Tahoma" w:cs="Tahoma"/>
          <w:sz w:val="24"/>
          <w:szCs w:val="24"/>
        </w:rPr>
        <w:t xml:space="preserve"> of Proposed Rulemaking generated</w:t>
      </w:r>
      <w:r w:rsidRPr="002D2CB9">
        <w:rPr>
          <w:rFonts w:ascii="Tahoma" w:hAnsi="Tahoma" w:cs="Tahoma"/>
          <w:sz w:val="24"/>
          <w:szCs w:val="24"/>
        </w:rPr>
        <w:t xml:space="preserve"> a significant amount of attention and the predominant</w:t>
      </w:r>
      <w:r w:rsidR="00F34692" w:rsidRPr="002D2CB9">
        <w:rPr>
          <w:rFonts w:ascii="Tahoma" w:hAnsi="Tahoma" w:cs="Tahoma"/>
          <w:sz w:val="24"/>
          <w:szCs w:val="24"/>
        </w:rPr>
        <w:t xml:space="preserve"> responses were in opposition to</w:t>
      </w:r>
      <w:r w:rsidRPr="002D2CB9">
        <w:rPr>
          <w:rFonts w:ascii="Tahoma" w:hAnsi="Tahoma" w:cs="Tahoma"/>
          <w:sz w:val="24"/>
          <w:szCs w:val="24"/>
        </w:rPr>
        <w:t xml:space="preserve"> the action.  Below is an excerpt from a summary of the responses received as prepared by AGA:</w:t>
      </w:r>
    </w:p>
    <w:p w:rsidR="00FB05EB" w:rsidRPr="002D2CB9" w:rsidRDefault="00FB05EB" w:rsidP="00732622">
      <w:pPr>
        <w:pStyle w:val="NoSpacing"/>
        <w:rPr>
          <w:rFonts w:ascii="Tahoma" w:hAnsi="Tahoma" w:cs="Tahoma"/>
          <w:sz w:val="24"/>
          <w:szCs w:val="24"/>
        </w:rPr>
      </w:pPr>
    </w:p>
    <w:p w:rsidR="00FB05EB" w:rsidRPr="002D2CB9" w:rsidRDefault="00FB05EB" w:rsidP="00732622">
      <w:pPr>
        <w:pStyle w:val="NoSpacing"/>
        <w:rPr>
          <w:rFonts w:ascii="Tahoma" w:hAnsi="Tahoma" w:cs="Tahoma"/>
          <w:sz w:val="24"/>
          <w:szCs w:val="24"/>
        </w:rPr>
      </w:pPr>
      <w:r w:rsidRPr="002D2CB9">
        <w:rPr>
          <w:rFonts w:ascii="Tahoma" w:hAnsi="Tahoma" w:cs="Tahoma"/>
          <w:sz w:val="24"/>
          <w:szCs w:val="24"/>
        </w:rPr>
        <w:t xml:space="preserve">Those in favor of the NOPR were generally </w:t>
      </w:r>
      <w:r w:rsidRPr="002D2CB9">
        <w:rPr>
          <w:rFonts w:ascii="Tahoma" w:hAnsi="Tahoma" w:cs="Tahoma"/>
          <w:sz w:val="24"/>
          <w:szCs w:val="24"/>
        </w:rPr>
        <w:softHyphen/>
        <w:t xml:space="preserve">environmental and energy efficiency-focused groups, including the </w:t>
      </w:r>
      <w:r w:rsidRPr="002D2CB9">
        <w:rPr>
          <w:rFonts w:ascii="Tahoma" w:hAnsi="Tahoma" w:cs="Tahoma"/>
          <w:b/>
          <w:sz w:val="24"/>
          <w:szCs w:val="24"/>
        </w:rPr>
        <w:t>American Council for an Energy Efficient Economy (ACEEE), the Alliance to Save Energy, California Energy Commission, Consumer Federation of America, Natural Resource Defense Council (NRDC), Northeast Energy Efficiency Partnerships, and Pacific Gas &amp; Electric (PG&amp;E).</w:t>
      </w:r>
      <w:r w:rsidRPr="002D2CB9">
        <w:rPr>
          <w:rFonts w:ascii="Tahoma" w:hAnsi="Tahoma" w:cs="Tahoma"/>
          <w:sz w:val="24"/>
          <w:szCs w:val="24"/>
        </w:rPr>
        <w:t xml:space="preserve"> These groups were extremely supportive of raising the AFUE to 92 percent as proposed, arguing that DOE has demonstrated in their analysis that this standard has already been found to be technologically feasible and cost-effective. While achieving the maximum level of energy efficiency is the prominent aim, supporters, such as </w:t>
      </w:r>
      <w:r w:rsidRPr="002D2CB9">
        <w:rPr>
          <w:rFonts w:ascii="Tahoma" w:hAnsi="Tahoma" w:cs="Tahoma"/>
          <w:b/>
          <w:sz w:val="24"/>
          <w:szCs w:val="24"/>
        </w:rPr>
        <w:t>Northeast Energy Efficiency Partnerships,</w:t>
      </w:r>
      <w:r w:rsidRPr="002D2CB9">
        <w:rPr>
          <w:rFonts w:ascii="Tahoma" w:hAnsi="Tahoma" w:cs="Tahoma"/>
          <w:sz w:val="24"/>
          <w:szCs w:val="24"/>
        </w:rPr>
        <w:t xml:space="preserve"> also argued that the NOPR will assist low income consumers by reducing monthly utility bills. California-based groups, such as the </w:t>
      </w:r>
      <w:r w:rsidRPr="002D2CB9">
        <w:rPr>
          <w:rFonts w:ascii="Tahoma" w:hAnsi="Tahoma" w:cs="Tahoma"/>
          <w:b/>
          <w:sz w:val="24"/>
          <w:szCs w:val="24"/>
        </w:rPr>
        <w:t>California Energy Commission</w:t>
      </w:r>
      <w:r w:rsidRPr="002D2CB9">
        <w:rPr>
          <w:rFonts w:ascii="Tahoma" w:hAnsi="Tahoma" w:cs="Tahoma"/>
          <w:sz w:val="24"/>
          <w:szCs w:val="24"/>
        </w:rPr>
        <w:t xml:space="preserve"> and </w:t>
      </w:r>
      <w:r w:rsidRPr="002D2CB9">
        <w:rPr>
          <w:rFonts w:ascii="Tahoma" w:hAnsi="Tahoma" w:cs="Tahoma"/>
          <w:b/>
          <w:sz w:val="24"/>
          <w:szCs w:val="24"/>
        </w:rPr>
        <w:t>PG&amp;E</w:t>
      </w:r>
      <w:r w:rsidRPr="002D2CB9">
        <w:rPr>
          <w:rFonts w:ascii="Tahoma" w:hAnsi="Tahoma" w:cs="Tahoma"/>
          <w:sz w:val="24"/>
          <w:szCs w:val="24"/>
        </w:rPr>
        <w:t xml:space="preserve"> noted that states were not able to institute their own appliance standards on efficiency and NOx emissions, and needed DOE to act to meet their state’s statutory requirements.</w:t>
      </w:r>
    </w:p>
    <w:p w:rsidR="00FB05EB" w:rsidRPr="002D2CB9" w:rsidRDefault="00FB05EB" w:rsidP="00732622">
      <w:pPr>
        <w:pStyle w:val="NoSpacing"/>
        <w:rPr>
          <w:rFonts w:ascii="Tahoma" w:hAnsi="Tahoma" w:cs="Tahoma"/>
          <w:sz w:val="24"/>
          <w:szCs w:val="24"/>
        </w:rPr>
      </w:pPr>
    </w:p>
    <w:p w:rsidR="00FB05EB" w:rsidRPr="002D2CB9" w:rsidRDefault="00FB05EB" w:rsidP="00732622">
      <w:pPr>
        <w:pStyle w:val="NoSpacing"/>
        <w:rPr>
          <w:rFonts w:ascii="Tahoma" w:hAnsi="Tahoma" w:cs="Tahoma"/>
          <w:sz w:val="24"/>
          <w:szCs w:val="24"/>
        </w:rPr>
      </w:pPr>
      <w:r w:rsidRPr="002D2CB9">
        <w:rPr>
          <w:rFonts w:ascii="Tahoma" w:hAnsi="Tahoma" w:cs="Tahoma"/>
          <w:sz w:val="24"/>
          <w:szCs w:val="24"/>
        </w:rPr>
        <w:t xml:space="preserve">Many critical submissions focused on the negative impact the rule would have on ratepayers, especially low-income consumers. The negative consequence to consumers associated with fuel switching prompted by a condensing standard was another concern shared by almost all natural gas stakeholders, such as </w:t>
      </w:r>
      <w:r w:rsidRPr="002D2CB9">
        <w:rPr>
          <w:rFonts w:ascii="Tahoma" w:hAnsi="Tahoma" w:cs="Tahoma"/>
          <w:b/>
          <w:sz w:val="24"/>
          <w:szCs w:val="24"/>
        </w:rPr>
        <w:t>Washington Gas and Light</w:t>
      </w:r>
      <w:r w:rsidRPr="002D2CB9">
        <w:rPr>
          <w:rFonts w:ascii="Tahoma" w:hAnsi="Tahoma" w:cs="Tahoma"/>
          <w:sz w:val="24"/>
          <w:szCs w:val="24"/>
        </w:rPr>
        <w:t xml:space="preserve">, </w:t>
      </w:r>
      <w:r w:rsidRPr="002D2CB9">
        <w:rPr>
          <w:rFonts w:ascii="Tahoma" w:hAnsi="Tahoma" w:cs="Tahoma"/>
          <w:b/>
          <w:sz w:val="24"/>
          <w:szCs w:val="24"/>
        </w:rPr>
        <w:t>New Jersey Natural Gas and SoCalGas</w:t>
      </w:r>
      <w:r w:rsidRPr="002D2CB9">
        <w:rPr>
          <w:rFonts w:ascii="Tahoma" w:hAnsi="Tahoma" w:cs="Tahoma"/>
          <w:sz w:val="24"/>
          <w:szCs w:val="24"/>
        </w:rPr>
        <w:t xml:space="preserve">. </w:t>
      </w:r>
      <w:r w:rsidRPr="002D2CB9">
        <w:rPr>
          <w:rFonts w:ascii="Tahoma" w:hAnsi="Tahoma" w:cs="Tahoma"/>
          <w:b/>
          <w:sz w:val="24"/>
          <w:szCs w:val="24"/>
        </w:rPr>
        <w:t>SoCalGas’ analysis reflected that all customers in SoCalGas’ service territory would suffer a “net cost” rather than a “net benefit” with the proposed rule.  This is particularly concerning considering that nearly 33% of California residents fall below the poverty line.  These lower income consumers will bear a higher burden than the remaining consumers should this rule be enacted.  Additionally, due to the warm climate in California, the simple payback on installation of the equipment proposed in this rulemaking would exceed the stated 21.5 year life of the equipment.</w:t>
      </w:r>
      <w:r w:rsidRPr="002D2CB9">
        <w:rPr>
          <w:rFonts w:ascii="Tahoma" w:hAnsi="Tahoma" w:cs="Tahoma"/>
          <w:sz w:val="24"/>
          <w:szCs w:val="24"/>
        </w:rPr>
        <w:t xml:space="preserve">  SoCalGas’ analysis </w:t>
      </w:r>
      <w:r w:rsidRPr="002D2CB9">
        <w:rPr>
          <w:rFonts w:ascii="Tahoma" w:hAnsi="Tahoma" w:cs="Tahoma"/>
          <w:sz w:val="24"/>
          <w:szCs w:val="24"/>
        </w:rPr>
        <w:lastRenderedPageBreak/>
        <w:t xml:space="preserve">also contends that government intervention is unnecessary because the condensing furnace market has moved substantially toward the proposed 92% AFUE level in the appropriate markets without it being mandated by the standard.  Many groups, such as the </w:t>
      </w:r>
      <w:r w:rsidRPr="002D2CB9">
        <w:rPr>
          <w:rFonts w:ascii="Tahoma" w:hAnsi="Tahoma" w:cs="Tahoma"/>
          <w:b/>
          <w:sz w:val="24"/>
          <w:szCs w:val="24"/>
        </w:rPr>
        <w:t>American Energy Alliance</w:t>
      </w:r>
      <w:r w:rsidRPr="002D2CB9">
        <w:rPr>
          <w:rFonts w:ascii="Tahoma" w:hAnsi="Tahoma" w:cs="Tahoma"/>
          <w:sz w:val="24"/>
          <w:szCs w:val="24"/>
        </w:rPr>
        <w:t xml:space="preserve">, discussed the environmental impacts of fuel switching, arguing that the increased use of electric heating systems would cause an increase in greenhouse gas emissions. Advocates of multifamily structures, such as the </w:t>
      </w:r>
      <w:r w:rsidRPr="002D2CB9">
        <w:rPr>
          <w:rFonts w:ascii="Tahoma" w:hAnsi="Tahoma" w:cs="Tahoma"/>
          <w:b/>
          <w:sz w:val="24"/>
          <w:szCs w:val="24"/>
        </w:rPr>
        <w:t>National Multifamily Housing Council</w:t>
      </w:r>
      <w:r w:rsidRPr="002D2CB9">
        <w:rPr>
          <w:rFonts w:ascii="Tahoma" w:hAnsi="Tahoma" w:cs="Tahoma"/>
          <w:sz w:val="24"/>
          <w:szCs w:val="24"/>
        </w:rPr>
        <w:t>, raised concerns regarding the high cost involved in retrofitting multifamily homes and row houses with condensing furnaces.</w:t>
      </w:r>
    </w:p>
    <w:p w:rsidR="00FB05EB" w:rsidRPr="002D2CB9" w:rsidRDefault="00FB05EB" w:rsidP="00732622">
      <w:pPr>
        <w:pStyle w:val="NoSpacing"/>
        <w:rPr>
          <w:rFonts w:ascii="Tahoma" w:hAnsi="Tahoma" w:cs="Tahoma"/>
          <w:sz w:val="24"/>
          <w:szCs w:val="24"/>
        </w:rPr>
      </w:pPr>
    </w:p>
    <w:p w:rsidR="00FB05EB" w:rsidRPr="002D2CB9" w:rsidRDefault="00FB05EB" w:rsidP="00732622">
      <w:pPr>
        <w:pStyle w:val="NoSpacing"/>
        <w:rPr>
          <w:rFonts w:ascii="Tahoma" w:hAnsi="Tahoma" w:cs="Tahoma"/>
          <w:sz w:val="24"/>
          <w:szCs w:val="24"/>
        </w:rPr>
      </w:pPr>
      <w:r w:rsidRPr="002D2CB9">
        <w:rPr>
          <w:rFonts w:ascii="Tahoma" w:hAnsi="Tahoma" w:cs="Tahoma"/>
          <w:sz w:val="24"/>
          <w:szCs w:val="24"/>
        </w:rPr>
        <w:t xml:space="preserve">Manufacturers and contractors, such as the </w:t>
      </w:r>
      <w:r w:rsidRPr="002D2CB9">
        <w:rPr>
          <w:rFonts w:ascii="Tahoma" w:hAnsi="Tahoma" w:cs="Tahoma"/>
          <w:b/>
          <w:sz w:val="24"/>
          <w:szCs w:val="24"/>
        </w:rPr>
        <w:t>Air Conditioning Contractors of America</w:t>
      </w:r>
      <w:r w:rsidRPr="002D2CB9">
        <w:rPr>
          <w:rFonts w:ascii="Tahoma" w:hAnsi="Tahoma" w:cs="Tahoma"/>
          <w:sz w:val="24"/>
          <w:szCs w:val="24"/>
        </w:rPr>
        <w:t>, raised concerns over the more technical aspects of the rule, including flaws found in methodology, the failure to accurately estimate costs of installation, updated ventilation, the finalization of test procedures, and the life expectancy of the furnaces.</w:t>
      </w:r>
    </w:p>
    <w:p w:rsidR="00FB05EB" w:rsidRPr="002D2CB9" w:rsidRDefault="00FB05EB" w:rsidP="00732622">
      <w:pPr>
        <w:pStyle w:val="NoSpacing"/>
        <w:rPr>
          <w:rFonts w:ascii="Tahoma" w:hAnsi="Tahoma" w:cs="Tahoma"/>
          <w:sz w:val="24"/>
          <w:szCs w:val="24"/>
        </w:rPr>
      </w:pPr>
    </w:p>
    <w:p w:rsidR="00FB05EB" w:rsidRPr="002D2CB9" w:rsidRDefault="00FB05EB" w:rsidP="00732622">
      <w:pPr>
        <w:pStyle w:val="NoSpacing"/>
        <w:rPr>
          <w:rFonts w:ascii="Tahoma" w:hAnsi="Tahoma" w:cs="Tahoma"/>
          <w:sz w:val="24"/>
          <w:szCs w:val="24"/>
        </w:rPr>
      </w:pPr>
      <w:r w:rsidRPr="002D2CB9">
        <w:rPr>
          <w:rFonts w:ascii="Tahoma" w:hAnsi="Tahoma" w:cs="Tahoma"/>
          <w:sz w:val="24"/>
          <w:szCs w:val="24"/>
        </w:rPr>
        <w:t xml:space="preserve">Noteworthy </w:t>
      </w:r>
      <w:r w:rsidR="00F34692" w:rsidRPr="002D2CB9">
        <w:rPr>
          <w:rFonts w:ascii="Tahoma" w:hAnsi="Tahoma" w:cs="Tahoma"/>
          <w:sz w:val="24"/>
          <w:szCs w:val="24"/>
        </w:rPr>
        <w:t xml:space="preserve">was the fact that </w:t>
      </w:r>
      <w:r w:rsidRPr="002D2CB9">
        <w:rPr>
          <w:rFonts w:ascii="Tahoma" w:hAnsi="Tahoma" w:cs="Tahoma"/>
          <w:sz w:val="24"/>
          <w:szCs w:val="24"/>
        </w:rPr>
        <w:t xml:space="preserve">comments </w:t>
      </w:r>
      <w:r w:rsidR="00F34692" w:rsidRPr="002D2CB9">
        <w:rPr>
          <w:rFonts w:ascii="Tahoma" w:hAnsi="Tahoma" w:cs="Tahoma"/>
          <w:sz w:val="24"/>
          <w:szCs w:val="24"/>
        </w:rPr>
        <w:t>were submitted by a consortium of</w:t>
      </w:r>
      <w:r w:rsidRPr="002D2CB9">
        <w:rPr>
          <w:rFonts w:ascii="Tahoma" w:hAnsi="Tahoma" w:cs="Tahoma"/>
          <w:sz w:val="24"/>
          <w:szCs w:val="24"/>
        </w:rPr>
        <w:t xml:space="preserve"> United States House of Representatives</w:t>
      </w:r>
      <w:r w:rsidR="00F34692" w:rsidRPr="002D2CB9">
        <w:rPr>
          <w:rFonts w:ascii="Tahoma" w:hAnsi="Tahoma" w:cs="Tahoma"/>
          <w:sz w:val="24"/>
          <w:szCs w:val="24"/>
        </w:rPr>
        <w:t xml:space="preserve"> -123 Congressional Members</w:t>
      </w:r>
      <w:r w:rsidRPr="002D2CB9">
        <w:rPr>
          <w:rFonts w:ascii="Tahoma" w:hAnsi="Tahoma" w:cs="Tahoma"/>
          <w:sz w:val="24"/>
          <w:szCs w:val="24"/>
        </w:rPr>
        <w:t xml:space="preserve"> joined to submit their opposition to this rulemaking:</w:t>
      </w:r>
    </w:p>
    <w:p w:rsidR="00FB05EB" w:rsidRPr="002D2CB9" w:rsidRDefault="00FB05EB" w:rsidP="00FB05EB">
      <w:pPr>
        <w:spacing w:line="240" w:lineRule="auto"/>
        <w:ind w:left="720"/>
        <w:rPr>
          <w:rFonts w:ascii="Tahoma" w:hAnsi="Tahoma" w:cs="Tahoma"/>
          <w:b/>
          <w:sz w:val="24"/>
          <w:szCs w:val="24"/>
        </w:rPr>
      </w:pPr>
    </w:p>
    <w:p w:rsidR="00732622" w:rsidRPr="002D2CB9" w:rsidRDefault="00FB05EB" w:rsidP="004C4F3D">
      <w:pPr>
        <w:spacing w:line="240" w:lineRule="auto"/>
        <w:ind w:left="720"/>
        <w:rPr>
          <w:rFonts w:ascii="Tahoma" w:hAnsi="Tahoma" w:cs="Tahoma"/>
          <w:sz w:val="24"/>
          <w:szCs w:val="24"/>
        </w:rPr>
      </w:pPr>
      <w:r w:rsidRPr="002D2CB9">
        <w:rPr>
          <w:rFonts w:ascii="Tahoma" w:hAnsi="Tahoma" w:cs="Tahoma"/>
          <w:b/>
          <w:sz w:val="24"/>
          <w:szCs w:val="24"/>
        </w:rPr>
        <w:t>United States House of Representatives Congressman Brooks et al.</w:t>
      </w:r>
      <w:r w:rsidRPr="002D2CB9">
        <w:rPr>
          <w:rFonts w:ascii="Tahoma" w:hAnsi="Tahoma" w:cs="Tahoma"/>
          <w:sz w:val="24"/>
          <w:szCs w:val="24"/>
        </w:rPr>
        <w:t>: Brooks et al. raised concerns regarding the ability of low- or fixed-income households to pay for the installation of more efficient natural gas heating systems. The inability to pay for installation, according to Brooks, would result in the use of less efficient electric heating systems, increasing greenhouse gas emissions.  Brooks et al. stated that the proposed rule would force citizens to pay thousands for new installations or abandon natural gas use altogether. Brooks et al. recommended that DOE establish separate product classes with respective efficiency standards for condensing and non-condensing furnaces to remove the financial b</w:t>
      </w:r>
      <w:r w:rsidR="004C4F3D">
        <w:rPr>
          <w:rFonts w:ascii="Tahoma" w:hAnsi="Tahoma" w:cs="Tahoma"/>
          <w:sz w:val="24"/>
          <w:szCs w:val="24"/>
        </w:rPr>
        <w:t>urden from low-income citizens.</w:t>
      </w:r>
    </w:p>
    <w:p w:rsidR="00732622" w:rsidRPr="002D2CB9" w:rsidRDefault="00732622" w:rsidP="00732622">
      <w:pPr>
        <w:pStyle w:val="NoSpacing"/>
        <w:rPr>
          <w:rFonts w:ascii="Tahoma" w:hAnsi="Tahoma" w:cs="Tahoma"/>
          <w:b/>
          <w:sz w:val="24"/>
          <w:szCs w:val="24"/>
          <w:u w:val="single"/>
        </w:rPr>
      </w:pPr>
      <w:r w:rsidRPr="002D2CB9">
        <w:rPr>
          <w:rFonts w:ascii="Tahoma" w:hAnsi="Tahoma" w:cs="Tahoma"/>
          <w:b/>
          <w:sz w:val="24"/>
          <w:szCs w:val="24"/>
          <w:u w:val="single"/>
        </w:rPr>
        <w:t>Notice of Data Availability</w:t>
      </w:r>
      <w:r w:rsidR="00C0351A" w:rsidRPr="002D2CB9">
        <w:rPr>
          <w:rFonts w:ascii="Tahoma" w:hAnsi="Tahoma" w:cs="Tahoma"/>
          <w:b/>
          <w:sz w:val="24"/>
          <w:szCs w:val="24"/>
          <w:u w:val="single"/>
        </w:rPr>
        <w:t xml:space="preserve"> Summary</w:t>
      </w:r>
    </w:p>
    <w:p w:rsidR="00405E2A" w:rsidRPr="002D2CB9" w:rsidRDefault="00C0351A" w:rsidP="00405E2A">
      <w:pPr>
        <w:rPr>
          <w:rFonts w:ascii="Tahoma" w:hAnsi="Tahoma" w:cs="Tahoma"/>
          <w:sz w:val="24"/>
          <w:szCs w:val="24"/>
        </w:rPr>
      </w:pPr>
      <w:r w:rsidRPr="002D2CB9">
        <w:rPr>
          <w:rFonts w:ascii="Tahoma" w:hAnsi="Tahoma" w:cs="Tahoma"/>
          <w:sz w:val="24"/>
          <w:szCs w:val="24"/>
          <w:shd w:val="clear" w:color="auto" w:fill="FFFFFF"/>
        </w:rPr>
        <w:t xml:space="preserve">On September 14, 2015, the Department of Energy (DOE) published a Notice of Data Availability (NODA), 80 Fed. Reg. 55038, and released two spreadsheets, one on consumer impacts (life-cycle costs/payback periods) and one on national impacts (national energy savings and net present value of national benefits). </w:t>
      </w:r>
    </w:p>
    <w:p w:rsidR="00405E2A" w:rsidRPr="002D2CB9" w:rsidRDefault="00C0351A" w:rsidP="00405E2A">
      <w:pPr>
        <w:rPr>
          <w:rFonts w:ascii="Tahoma" w:hAnsi="Tahoma" w:cs="Tahoma"/>
          <w:sz w:val="24"/>
          <w:szCs w:val="24"/>
          <w:shd w:val="clear" w:color="auto" w:fill="FFFFFF"/>
        </w:rPr>
      </w:pPr>
      <w:r w:rsidRPr="002D2CB9">
        <w:rPr>
          <w:rFonts w:ascii="Tahoma" w:eastAsia="Times New Roman" w:hAnsi="Tahoma" w:cs="Tahoma"/>
          <w:sz w:val="24"/>
          <w:szCs w:val="24"/>
        </w:rPr>
        <w:t xml:space="preserve">The key aspect of this analysis is that only large furnaces would need to use condensing technology to meet the standard. Therefore residential buildings installing a small furnace would not need to incur the costs associated with installing a condensing furnace.  </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129"/>
        <w:gridCol w:w="5461"/>
        <w:gridCol w:w="743"/>
        <w:gridCol w:w="743"/>
        <w:gridCol w:w="743"/>
      </w:tblGrid>
      <w:tr w:rsidR="00C0351A" w:rsidRPr="002D2CB9" w:rsidTr="00704349">
        <w:trPr>
          <w:tblHeader/>
        </w:trPr>
        <w:tc>
          <w:tcPr>
            <w:tcW w:w="0" w:type="auto"/>
            <w:gridSpan w:val="5"/>
            <w:tcBorders>
              <w:top w:val="nil"/>
              <w:left w:val="nil"/>
              <w:bottom w:val="nil"/>
              <w:right w:val="nil"/>
            </w:tcBorders>
            <w:tcMar>
              <w:top w:w="30" w:type="dxa"/>
              <w:left w:w="150" w:type="dxa"/>
              <w:bottom w:w="30" w:type="dxa"/>
              <w:right w:w="150" w:type="dxa"/>
            </w:tcMar>
            <w:vAlign w:val="center"/>
            <w:hideMark/>
          </w:tcPr>
          <w:p w:rsidR="00C0351A" w:rsidRPr="002D2CB9" w:rsidRDefault="00C0351A" w:rsidP="00405E2A">
            <w:pPr>
              <w:spacing w:after="0" w:line="240" w:lineRule="auto"/>
              <w:rPr>
                <w:rFonts w:ascii="Tahoma" w:eastAsia="Times New Roman" w:hAnsi="Tahoma" w:cs="Tahoma"/>
                <w:i/>
                <w:iCs/>
                <w:sz w:val="24"/>
                <w:szCs w:val="24"/>
              </w:rPr>
            </w:pPr>
            <w:r w:rsidRPr="002D2CB9">
              <w:rPr>
                <w:rFonts w:ascii="Tahoma" w:eastAsia="Times New Roman" w:hAnsi="Tahoma" w:cs="Tahoma"/>
                <w:i/>
                <w:iCs/>
                <w:sz w:val="24"/>
                <w:szCs w:val="24"/>
              </w:rPr>
              <w:t>Table II.1—Potential Standard Level Combinations Analyzed for Large and Small Furnaces</w:t>
            </w:r>
          </w:p>
        </w:tc>
      </w:tr>
      <w:tr w:rsidR="00C0351A" w:rsidRPr="002D2CB9" w:rsidTr="00704349">
        <w:trPr>
          <w:tblHeader/>
        </w:trPr>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p>
        </w:tc>
      </w:tr>
      <w:tr w:rsidR="00C0351A" w:rsidRPr="002D2CB9" w:rsidTr="00704349">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02198D" w:rsidP="00704349">
            <w:pPr>
              <w:spacing w:after="0" w:line="240" w:lineRule="auto"/>
              <w:rPr>
                <w:rFonts w:ascii="Tahoma" w:eastAsia="Times New Roman" w:hAnsi="Tahoma" w:cs="Tahoma"/>
                <w:sz w:val="24"/>
                <w:szCs w:val="24"/>
              </w:rPr>
            </w:pPr>
            <w:r>
              <w:rPr>
                <w:rFonts w:ascii="Tahoma" w:eastAsia="Times New Roman" w:hAnsi="Tahoma" w:cs="Tahoma"/>
                <w:sz w:val="24"/>
                <w:szCs w:val="24"/>
              </w:rPr>
              <w:t>Furna</w:t>
            </w:r>
            <w:r w:rsidR="00C0351A" w:rsidRPr="002D2CB9">
              <w:rPr>
                <w:rFonts w:ascii="Tahoma" w:eastAsia="Times New Roman" w:hAnsi="Tahoma" w:cs="Tahoma"/>
                <w:sz w:val="24"/>
                <w:szCs w:val="24"/>
              </w:rPr>
              <w:t>ce size</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Annual fuel utilization efficiency (%)</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 </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 </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 </w:t>
            </w:r>
          </w:p>
        </w:tc>
      </w:tr>
      <w:tr w:rsidR="00C0351A" w:rsidRPr="002D2CB9" w:rsidTr="00704349">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Large</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90</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92</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95</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98</w:t>
            </w:r>
          </w:p>
        </w:tc>
      </w:tr>
      <w:tr w:rsidR="00C0351A" w:rsidRPr="002D2CB9" w:rsidTr="00704349">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Small</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80</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80</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80</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80</w:t>
            </w:r>
          </w:p>
        </w:tc>
      </w:tr>
    </w:tbl>
    <w:p w:rsidR="00C0351A" w:rsidRPr="002D2CB9" w:rsidRDefault="00C0351A" w:rsidP="00C0351A">
      <w:pPr>
        <w:shd w:val="clear" w:color="auto" w:fill="FFFFFF"/>
        <w:spacing w:after="0" w:line="263" w:lineRule="atLeast"/>
        <w:rPr>
          <w:rFonts w:ascii="Tahoma" w:eastAsia="Times New Roman" w:hAnsi="Tahoma" w:cs="Tahoma"/>
          <w:sz w:val="24"/>
          <w:szCs w:val="24"/>
        </w:rPr>
      </w:pPr>
    </w:p>
    <w:p w:rsidR="00C0351A" w:rsidRPr="002D2CB9" w:rsidRDefault="00C0351A" w:rsidP="00C0351A">
      <w:pPr>
        <w:shd w:val="clear" w:color="auto" w:fill="FFFFFF"/>
        <w:spacing w:after="0" w:line="263" w:lineRule="atLeast"/>
        <w:rPr>
          <w:rFonts w:ascii="Tahoma" w:eastAsia="Times New Roman" w:hAnsi="Tahoma" w:cs="Tahoma"/>
          <w:sz w:val="24"/>
          <w:szCs w:val="24"/>
        </w:rPr>
      </w:pPr>
      <w:r w:rsidRPr="002D2CB9">
        <w:rPr>
          <w:rFonts w:ascii="Tahoma" w:eastAsia="Times New Roman" w:hAnsi="Tahoma" w:cs="Tahoma"/>
          <w:sz w:val="24"/>
          <w:szCs w:val="24"/>
        </w:rPr>
        <w:lastRenderedPageBreak/>
        <w:t>This NODA analysis used the same sample of residential furnace consumers as the March 2015 NOPR. Each sample household was assigned a furnace size (in terms of input capacity) based on a number of features</w:t>
      </w:r>
      <w:r w:rsidR="00405E2A" w:rsidRPr="002D2CB9">
        <w:rPr>
          <w:rFonts w:ascii="Tahoma" w:eastAsia="Times New Roman" w:hAnsi="Tahoma" w:cs="Tahoma"/>
          <w:sz w:val="24"/>
          <w:szCs w:val="24"/>
        </w:rPr>
        <w:t xml:space="preserve">.  </w:t>
      </w:r>
      <w:r w:rsidRPr="002D2CB9">
        <w:rPr>
          <w:rFonts w:ascii="Tahoma" w:eastAsia="Times New Roman" w:hAnsi="Tahoma" w:cs="Tahoma"/>
          <w:sz w:val="24"/>
          <w:szCs w:val="24"/>
        </w:rPr>
        <w:t>The share of households that would install a small furnace depends on how “small furnace” is defined in terms of input capacity. For this analysis, DOE considered the following small furnace definitions: ≤45 kBtu/hour, ≤50 kBtu/hour, ≤55 kBtu/hour, ≤60 kBtu/hour, and ≤65 kBtu/hour. In each case, large furnaces would be defined as all sizes above the given thresholds. The share of households that would install a furnace meeting a small furnace standard rises as the size cutoff in the small furnace definition increases</w:t>
      </w:r>
      <w:r w:rsidR="00A96E3C" w:rsidRPr="002D2CB9">
        <w:rPr>
          <w:rFonts w:ascii="Tahoma" w:eastAsia="Times New Roman" w:hAnsi="Tahoma" w:cs="Tahoma"/>
          <w:sz w:val="24"/>
          <w:szCs w:val="24"/>
        </w:rPr>
        <w:t>.</w:t>
      </w:r>
    </w:p>
    <w:p w:rsidR="00C0351A" w:rsidRPr="002D2CB9" w:rsidRDefault="00C0351A" w:rsidP="00C0351A">
      <w:pPr>
        <w:shd w:val="clear" w:color="auto" w:fill="FFFFFF"/>
        <w:spacing w:after="0" w:line="263" w:lineRule="atLeast"/>
        <w:rPr>
          <w:rFonts w:ascii="Tahoma" w:eastAsia="Times New Roman" w:hAnsi="Tahoma" w:cs="Tahoma"/>
          <w:sz w:val="24"/>
          <w:szCs w:val="24"/>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24"/>
        <w:gridCol w:w="1651"/>
        <w:gridCol w:w="1625"/>
        <w:gridCol w:w="1625"/>
        <w:gridCol w:w="1625"/>
        <w:gridCol w:w="1625"/>
        <w:gridCol w:w="1625"/>
      </w:tblGrid>
      <w:tr w:rsidR="00C0351A" w:rsidRPr="002D2CB9" w:rsidTr="00704349">
        <w:trPr>
          <w:tblHeader/>
        </w:trPr>
        <w:tc>
          <w:tcPr>
            <w:tcW w:w="0" w:type="auto"/>
            <w:gridSpan w:val="7"/>
            <w:tcBorders>
              <w:top w:val="nil"/>
              <w:left w:val="nil"/>
              <w:bottom w:val="nil"/>
              <w:right w:val="nil"/>
            </w:tcBorders>
            <w:tcMar>
              <w:top w:w="30" w:type="dxa"/>
              <w:left w:w="150" w:type="dxa"/>
              <w:bottom w:w="30" w:type="dxa"/>
              <w:right w:w="150" w:type="dxa"/>
            </w:tcMar>
            <w:vAlign w:val="center"/>
            <w:hideMark/>
          </w:tcPr>
          <w:p w:rsidR="00C0351A" w:rsidRPr="002D2CB9" w:rsidRDefault="00C0351A" w:rsidP="00704349">
            <w:pPr>
              <w:spacing w:after="0" w:line="240" w:lineRule="auto"/>
              <w:jc w:val="center"/>
              <w:rPr>
                <w:rFonts w:ascii="Tahoma" w:eastAsia="Times New Roman" w:hAnsi="Tahoma" w:cs="Tahoma"/>
                <w:i/>
                <w:iCs/>
                <w:sz w:val="24"/>
                <w:szCs w:val="24"/>
              </w:rPr>
            </w:pPr>
            <w:r w:rsidRPr="002D2CB9">
              <w:rPr>
                <w:rFonts w:ascii="Tahoma" w:eastAsia="Times New Roman" w:hAnsi="Tahoma" w:cs="Tahoma"/>
                <w:i/>
                <w:iCs/>
                <w:sz w:val="24"/>
                <w:szCs w:val="24"/>
              </w:rPr>
              <w:t>Table II.2—Share of Sample Households by Furnace Size</w:t>
            </w:r>
          </w:p>
        </w:tc>
      </w:tr>
      <w:tr w:rsidR="00C0351A" w:rsidRPr="002D2CB9" w:rsidTr="00704349">
        <w:trPr>
          <w:tblHeader/>
        </w:trPr>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r w:rsidRPr="002D2CB9">
              <w:rPr>
                <w:rFonts w:ascii="Tahoma" w:eastAsia="Times New Roman" w:hAnsi="Tahoma" w:cs="Tahoma"/>
                <w:b/>
                <w:bCs/>
                <w:sz w:val="24"/>
                <w:szCs w:val="24"/>
              </w:rPr>
              <w:t>Furnace size</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r w:rsidRPr="002D2CB9">
              <w:rPr>
                <w:rFonts w:ascii="Tahoma" w:eastAsia="Times New Roman" w:hAnsi="Tahoma" w:cs="Tahoma"/>
                <w:b/>
                <w:bCs/>
                <w:sz w:val="24"/>
                <w:szCs w:val="24"/>
              </w:rPr>
              <w:t>Small furnace definition</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r w:rsidRPr="002D2CB9">
              <w:rPr>
                <w:rFonts w:ascii="Tahoma" w:eastAsia="Times New Roman" w:hAnsi="Tahoma" w:cs="Tahoma"/>
                <w:b/>
                <w:bCs/>
                <w:sz w:val="24"/>
                <w:szCs w:val="24"/>
              </w:rPr>
              <w:t>≤45 kBtu/hour</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r w:rsidRPr="002D2CB9">
              <w:rPr>
                <w:rFonts w:ascii="Tahoma" w:eastAsia="Times New Roman" w:hAnsi="Tahoma" w:cs="Tahoma"/>
                <w:b/>
                <w:bCs/>
                <w:sz w:val="24"/>
                <w:szCs w:val="24"/>
              </w:rPr>
              <w:t>≤50 kBtu/hour</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r w:rsidRPr="002D2CB9">
              <w:rPr>
                <w:rFonts w:ascii="Tahoma" w:eastAsia="Times New Roman" w:hAnsi="Tahoma" w:cs="Tahoma"/>
                <w:b/>
                <w:bCs/>
                <w:sz w:val="24"/>
                <w:szCs w:val="24"/>
              </w:rPr>
              <w:t>≤55 kBtu/hour</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r w:rsidRPr="002D2CB9">
              <w:rPr>
                <w:rFonts w:ascii="Tahoma" w:eastAsia="Times New Roman" w:hAnsi="Tahoma" w:cs="Tahoma"/>
                <w:b/>
                <w:bCs/>
                <w:sz w:val="24"/>
                <w:szCs w:val="24"/>
              </w:rPr>
              <w:t>≤60 kBtu/hour</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b/>
                <w:bCs/>
                <w:sz w:val="24"/>
                <w:szCs w:val="24"/>
              </w:rPr>
            </w:pPr>
            <w:r w:rsidRPr="002D2CB9">
              <w:rPr>
                <w:rFonts w:ascii="Tahoma" w:eastAsia="Times New Roman" w:hAnsi="Tahoma" w:cs="Tahoma"/>
                <w:b/>
                <w:bCs/>
                <w:sz w:val="24"/>
                <w:szCs w:val="24"/>
              </w:rPr>
              <w:t>≤65 kBtu/hour</w:t>
            </w:r>
          </w:p>
        </w:tc>
      </w:tr>
      <w:tr w:rsidR="00C0351A" w:rsidRPr="002D2CB9" w:rsidTr="00704349">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Large</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92</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86</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85</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68</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62</w:t>
            </w:r>
          </w:p>
        </w:tc>
        <w:tc>
          <w:tcPr>
            <w:tcW w:w="0" w:type="auto"/>
            <w:vAlign w:val="center"/>
            <w:hideMark/>
          </w:tcPr>
          <w:p w:rsidR="00C0351A" w:rsidRPr="002D2CB9" w:rsidRDefault="00C0351A" w:rsidP="00704349">
            <w:pPr>
              <w:spacing w:after="0" w:line="240" w:lineRule="auto"/>
              <w:rPr>
                <w:rFonts w:ascii="Tahoma" w:eastAsia="Times New Roman" w:hAnsi="Tahoma" w:cs="Tahoma"/>
                <w:sz w:val="24"/>
                <w:szCs w:val="24"/>
              </w:rPr>
            </w:pPr>
          </w:p>
        </w:tc>
      </w:tr>
      <w:tr w:rsidR="00C0351A" w:rsidRPr="002D2CB9" w:rsidTr="00704349">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Small</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8</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14</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15</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32</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38</w:t>
            </w:r>
          </w:p>
        </w:tc>
        <w:tc>
          <w:tcPr>
            <w:tcW w:w="0" w:type="auto"/>
            <w:vAlign w:val="center"/>
            <w:hideMark/>
          </w:tcPr>
          <w:p w:rsidR="00C0351A" w:rsidRPr="002D2CB9" w:rsidRDefault="00C0351A" w:rsidP="00704349">
            <w:pPr>
              <w:spacing w:after="0" w:line="240" w:lineRule="auto"/>
              <w:rPr>
                <w:rFonts w:ascii="Tahoma" w:eastAsia="Times New Roman" w:hAnsi="Tahoma" w:cs="Tahoma"/>
                <w:sz w:val="24"/>
                <w:szCs w:val="24"/>
              </w:rPr>
            </w:pPr>
          </w:p>
        </w:tc>
      </w:tr>
      <w:tr w:rsidR="00C0351A" w:rsidRPr="002D2CB9" w:rsidTr="00704349">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Total</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100</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100</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100</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100</w:t>
            </w:r>
          </w:p>
        </w:tc>
        <w:tc>
          <w:tcPr>
            <w:tcW w:w="0" w:type="auto"/>
            <w:tcBorders>
              <w:bottom w:val="single" w:sz="6" w:space="0" w:color="CCCCCC"/>
            </w:tcBorders>
            <w:tcMar>
              <w:top w:w="30" w:type="dxa"/>
              <w:left w:w="150" w:type="dxa"/>
              <w:bottom w:w="30" w:type="dxa"/>
              <w:right w:w="150" w:type="dxa"/>
            </w:tcMar>
            <w:vAlign w:val="center"/>
            <w:hideMark/>
          </w:tcPr>
          <w:p w:rsidR="00C0351A" w:rsidRPr="002D2CB9" w:rsidRDefault="00C0351A" w:rsidP="00704349">
            <w:pPr>
              <w:spacing w:after="0" w:line="240" w:lineRule="auto"/>
              <w:rPr>
                <w:rFonts w:ascii="Tahoma" w:eastAsia="Times New Roman" w:hAnsi="Tahoma" w:cs="Tahoma"/>
                <w:sz w:val="24"/>
                <w:szCs w:val="24"/>
              </w:rPr>
            </w:pPr>
            <w:r w:rsidRPr="002D2CB9">
              <w:rPr>
                <w:rFonts w:ascii="Tahoma" w:eastAsia="Times New Roman" w:hAnsi="Tahoma" w:cs="Tahoma"/>
                <w:sz w:val="24"/>
                <w:szCs w:val="24"/>
              </w:rPr>
              <w:t>100</w:t>
            </w:r>
          </w:p>
        </w:tc>
        <w:tc>
          <w:tcPr>
            <w:tcW w:w="0" w:type="auto"/>
            <w:vAlign w:val="center"/>
            <w:hideMark/>
          </w:tcPr>
          <w:p w:rsidR="00C0351A" w:rsidRPr="002D2CB9" w:rsidRDefault="00C0351A" w:rsidP="00704349">
            <w:pPr>
              <w:spacing w:after="0" w:line="240" w:lineRule="auto"/>
              <w:rPr>
                <w:rFonts w:ascii="Tahoma" w:eastAsia="Times New Roman" w:hAnsi="Tahoma" w:cs="Tahoma"/>
                <w:sz w:val="24"/>
                <w:szCs w:val="24"/>
              </w:rPr>
            </w:pPr>
          </w:p>
        </w:tc>
      </w:tr>
    </w:tbl>
    <w:p w:rsidR="00732622" w:rsidRPr="002D2CB9" w:rsidRDefault="00732622" w:rsidP="00732622">
      <w:pPr>
        <w:pStyle w:val="NoSpacing"/>
        <w:rPr>
          <w:rFonts w:ascii="Tahoma" w:hAnsi="Tahoma" w:cs="Tahoma"/>
          <w:sz w:val="24"/>
          <w:szCs w:val="24"/>
        </w:rPr>
      </w:pPr>
    </w:p>
    <w:p w:rsidR="00405E2A" w:rsidRPr="002D2CB9" w:rsidRDefault="00A96E3C" w:rsidP="00732622">
      <w:pPr>
        <w:pStyle w:val="NoSpacing"/>
        <w:rPr>
          <w:rFonts w:ascii="Tahoma" w:hAnsi="Tahoma" w:cs="Tahoma"/>
          <w:sz w:val="24"/>
          <w:szCs w:val="24"/>
        </w:rPr>
      </w:pPr>
      <w:r w:rsidRPr="002D2CB9">
        <w:rPr>
          <w:rFonts w:ascii="Tahoma" w:hAnsi="Tahoma" w:cs="Tahoma"/>
          <w:sz w:val="24"/>
          <w:szCs w:val="24"/>
        </w:rPr>
        <w:t>Comments have been requested to improve the analysis, as the simulation inputs were not changed to adequately address issues provided by many stakeholders.</w:t>
      </w:r>
    </w:p>
    <w:p w:rsidR="00A96E3C" w:rsidRPr="002D2CB9" w:rsidRDefault="00A96E3C" w:rsidP="00732622">
      <w:pPr>
        <w:pStyle w:val="NoSpacing"/>
        <w:rPr>
          <w:rFonts w:ascii="Tahoma" w:hAnsi="Tahoma" w:cs="Tahoma"/>
          <w:sz w:val="24"/>
          <w:szCs w:val="24"/>
        </w:rPr>
      </w:pPr>
    </w:p>
    <w:p w:rsidR="00A96E3C" w:rsidRPr="002D2CB9" w:rsidRDefault="00A96E3C" w:rsidP="00732622">
      <w:pPr>
        <w:pStyle w:val="NoSpacing"/>
        <w:rPr>
          <w:rFonts w:ascii="Tahoma" w:hAnsi="Tahoma" w:cs="Tahoma"/>
          <w:sz w:val="24"/>
          <w:szCs w:val="24"/>
        </w:rPr>
      </w:pPr>
    </w:p>
    <w:p w:rsidR="005251C9" w:rsidRPr="002D2CB9" w:rsidRDefault="00F34692" w:rsidP="00A96E3C">
      <w:pPr>
        <w:pStyle w:val="NoSpacing"/>
        <w:rPr>
          <w:rFonts w:ascii="Tahoma" w:hAnsi="Tahoma" w:cs="Tahoma"/>
          <w:b/>
          <w:sz w:val="24"/>
          <w:szCs w:val="24"/>
          <w:u w:val="single"/>
        </w:rPr>
      </w:pPr>
      <w:r w:rsidRPr="002D2CB9">
        <w:rPr>
          <w:rFonts w:ascii="Tahoma" w:hAnsi="Tahoma" w:cs="Tahoma"/>
          <w:b/>
          <w:sz w:val="24"/>
          <w:szCs w:val="24"/>
          <w:u w:val="single"/>
        </w:rPr>
        <w:t>SoCalGas’ Planned Action on the NODA</w:t>
      </w:r>
    </w:p>
    <w:p w:rsidR="006A5A87" w:rsidRPr="002D2CB9" w:rsidRDefault="006A5A87" w:rsidP="00A96E3C">
      <w:pPr>
        <w:pStyle w:val="NoSpacing"/>
        <w:rPr>
          <w:rFonts w:ascii="Tahoma" w:hAnsi="Tahoma" w:cs="Tahoma"/>
          <w:sz w:val="24"/>
          <w:szCs w:val="24"/>
        </w:rPr>
      </w:pPr>
      <w:r w:rsidRPr="002D2CB9">
        <w:rPr>
          <w:rFonts w:ascii="Tahoma" w:hAnsi="Tahoma" w:cs="Tahoma"/>
          <w:sz w:val="24"/>
          <w:szCs w:val="24"/>
        </w:rPr>
        <w:t>The AGA will be asking the BOD whether they should attempt to find a compromise on minimum threshold for the small furnace size with the key stakeholders to the rule (ACEEE, NRDC, Alliance to Save Energy, etc.).  SoCalGas should encourage the AGA to seek that compromise however all information would indicate that a compromise is likely not to be achieved because of the significant divide in opinions on what that size should be. Nonetheless, SoCalGas believes an attempt should be made on behalf of our customers.</w:t>
      </w:r>
    </w:p>
    <w:p w:rsidR="006A5A87" w:rsidRPr="002D2CB9" w:rsidRDefault="006A5A87" w:rsidP="00A96E3C">
      <w:pPr>
        <w:pStyle w:val="NoSpacing"/>
        <w:rPr>
          <w:rFonts w:ascii="Tahoma" w:hAnsi="Tahoma" w:cs="Tahoma"/>
          <w:sz w:val="24"/>
          <w:szCs w:val="24"/>
        </w:rPr>
      </w:pPr>
    </w:p>
    <w:p w:rsidR="00A96E3C" w:rsidRPr="002D2CB9" w:rsidRDefault="00A33ADD" w:rsidP="00A33ADD">
      <w:pPr>
        <w:pStyle w:val="NoSpacing"/>
        <w:rPr>
          <w:rFonts w:ascii="Tahoma" w:hAnsi="Tahoma" w:cs="Tahoma"/>
          <w:sz w:val="24"/>
          <w:szCs w:val="24"/>
        </w:rPr>
      </w:pPr>
      <w:r w:rsidRPr="002D2CB9">
        <w:rPr>
          <w:rFonts w:ascii="Tahoma" w:hAnsi="Tahoma" w:cs="Tahoma"/>
          <w:sz w:val="24"/>
          <w:szCs w:val="24"/>
        </w:rPr>
        <w:t>Because SoCalGas took a firm position and filed detailed comments to the issuance of the NOPR, it was decided that the comp</w:t>
      </w:r>
      <w:r w:rsidR="00F34692" w:rsidRPr="002D2CB9">
        <w:rPr>
          <w:rFonts w:ascii="Tahoma" w:hAnsi="Tahoma" w:cs="Tahoma"/>
          <w:sz w:val="24"/>
          <w:szCs w:val="24"/>
        </w:rPr>
        <w:t>any should also file equally firm</w:t>
      </w:r>
      <w:r w:rsidRPr="002D2CB9">
        <w:rPr>
          <w:rFonts w:ascii="Tahoma" w:hAnsi="Tahoma" w:cs="Tahoma"/>
          <w:sz w:val="24"/>
          <w:szCs w:val="24"/>
        </w:rPr>
        <w:t xml:space="preserve"> comments regarding the NODA.</w:t>
      </w:r>
    </w:p>
    <w:p w:rsidR="00A33ADD" w:rsidRPr="002D2CB9" w:rsidRDefault="00A33ADD" w:rsidP="00A33ADD">
      <w:pPr>
        <w:pStyle w:val="NoSpacing"/>
        <w:rPr>
          <w:rFonts w:ascii="Tahoma" w:hAnsi="Tahoma" w:cs="Tahoma"/>
          <w:sz w:val="24"/>
          <w:szCs w:val="24"/>
        </w:rPr>
      </w:pPr>
    </w:p>
    <w:p w:rsidR="00A33ADD" w:rsidRPr="002D2CB9" w:rsidRDefault="00A33ADD" w:rsidP="00A33ADD">
      <w:pPr>
        <w:pStyle w:val="NoSpacing"/>
        <w:rPr>
          <w:rFonts w:ascii="Tahoma" w:hAnsi="Tahoma" w:cs="Tahoma"/>
          <w:sz w:val="24"/>
          <w:szCs w:val="24"/>
        </w:rPr>
      </w:pPr>
      <w:r w:rsidRPr="002D2CB9">
        <w:rPr>
          <w:rFonts w:ascii="Tahoma" w:hAnsi="Tahoma" w:cs="Tahoma"/>
          <w:sz w:val="24"/>
          <w:szCs w:val="24"/>
        </w:rPr>
        <w:t xml:space="preserve">SoCalGas’ position is that </w:t>
      </w:r>
      <w:r w:rsidR="00F34692" w:rsidRPr="002D2CB9">
        <w:rPr>
          <w:rFonts w:ascii="Tahoma" w:hAnsi="Tahoma" w:cs="Tahoma"/>
          <w:sz w:val="24"/>
          <w:szCs w:val="24"/>
        </w:rPr>
        <w:t>although we applaud the DOE’s attempt to find a compromise option, our original concerns have not been addressed.  This NODA proposes an option that seeks to address the economic impact to our customer and to some extent it achieves that</w:t>
      </w:r>
      <w:r w:rsidR="00205B3D">
        <w:rPr>
          <w:rFonts w:ascii="Tahoma" w:hAnsi="Tahoma" w:cs="Tahoma"/>
          <w:sz w:val="24"/>
          <w:szCs w:val="24"/>
        </w:rPr>
        <w:t>. H</w:t>
      </w:r>
      <w:r w:rsidR="00F34692" w:rsidRPr="002D2CB9">
        <w:rPr>
          <w:rFonts w:ascii="Tahoma" w:hAnsi="Tahoma" w:cs="Tahoma"/>
          <w:sz w:val="24"/>
          <w:szCs w:val="24"/>
        </w:rPr>
        <w:t>owever, the DOE has not yet addressed the methodology flaws in the following areas:</w:t>
      </w:r>
    </w:p>
    <w:p w:rsidR="00F34692" w:rsidRPr="002D2CB9" w:rsidRDefault="006A5A87" w:rsidP="00F34692">
      <w:pPr>
        <w:pStyle w:val="NoSpacing"/>
        <w:numPr>
          <w:ilvl w:val="0"/>
          <w:numId w:val="33"/>
        </w:numPr>
        <w:rPr>
          <w:rFonts w:ascii="Tahoma" w:hAnsi="Tahoma" w:cs="Tahoma"/>
          <w:sz w:val="24"/>
          <w:szCs w:val="24"/>
        </w:rPr>
      </w:pPr>
      <w:r w:rsidRPr="002D2CB9">
        <w:rPr>
          <w:rFonts w:ascii="Tahoma" w:hAnsi="Tahoma" w:cs="Tahoma"/>
          <w:sz w:val="24"/>
          <w:szCs w:val="24"/>
        </w:rPr>
        <w:t>Method DOE used to determine the homes that would be impacted by the proposed rule</w:t>
      </w:r>
    </w:p>
    <w:p w:rsidR="006A5A87" w:rsidRPr="002D2CB9" w:rsidRDefault="006A5A87" w:rsidP="00F34692">
      <w:pPr>
        <w:pStyle w:val="NoSpacing"/>
        <w:numPr>
          <w:ilvl w:val="0"/>
          <w:numId w:val="33"/>
        </w:numPr>
        <w:rPr>
          <w:rFonts w:ascii="Tahoma" w:hAnsi="Tahoma" w:cs="Tahoma"/>
          <w:sz w:val="24"/>
          <w:szCs w:val="24"/>
        </w:rPr>
      </w:pPr>
      <w:r w:rsidRPr="002D2CB9">
        <w:rPr>
          <w:rFonts w:ascii="Tahoma" w:hAnsi="Tahoma" w:cs="Tahoma"/>
          <w:sz w:val="24"/>
          <w:szCs w:val="24"/>
        </w:rPr>
        <w:t>Method DOE used in its fuel switching analysis</w:t>
      </w:r>
    </w:p>
    <w:p w:rsidR="005251C9" w:rsidRPr="002D2CB9" w:rsidRDefault="006A5A87" w:rsidP="00FE1755">
      <w:pPr>
        <w:pStyle w:val="NoSpacing"/>
        <w:numPr>
          <w:ilvl w:val="0"/>
          <w:numId w:val="33"/>
        </w:numPr>
        <w:rPr>
          <w:rFonts w:ascii="Tahoma" w:hAnsi="Tahoma" w:cs="Tahoma"/>
          <w:sz w:val="24"/>
          <w:szCs w:val="24"/>
        </w:rPr>
      </w:pPr>
      <w:r w:rsidRPr="002D2CB9">
        <w:rPr>
          <w:rFonts w:ascii="Tahoma" w:hAnsi="Tahoma" w:cs="Tahoma"/>
          <w:sz w:val="24"/>
          <w:szCs w:val="24"/>
        </w:rPr>
        <w:t>Inaccuracies in various key input variables used in the DOE NOPR Life-Cycle Cost (LCC) Analysis</w:t>
      </w:r>
    </w:p>
    <w:p w:rsidR="006A5A87" w:rsidRPr="002D2CB9" w:rsidRDefault="006A5A87" w:rsidP="006A5A87">
      <w:pPr>
        <w:pStyle w:val="NoSpacing"/>
        <w:rPr>
          <w:rFonts w:ascii="Tahoma" w:hAnsi="Tahoma" w:cs="Tahoma"/>
          <w:sz w:val="24"/>
          <w:szCs w:val="24"/>
        </w:rPr>
      </w:pPr>
      <w:r w:rsidRPr="002D2CB9">
        <w:rPr>
          <w:rFonts w:ascii="Tahoma" w:hAnsi="Tahoma" w:cs="Tahoma"/>
          <w:sz w:val="24"/>
          <w:szCs w:val="24"/>
        </w:rPr>
        <w:lastRenderedPageBreak/>
        <w:t xml:space="preserve">Regarding the intent of the NODA, which is to gain information on what size threshold would be acceptable for the smaller furnace size, SoCalGas would require a minimum of 65 KBtu/h as that minimum threshold in order to mitigate the negative impact to our customer.  </w:t>
      </w: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p>
    <w:p w:rsidR="005251C9" w:rsidRPr="002D2CB9" w:rsidRDefault="005251C9" w:rsidP="00FE1755">
      <w:pPr>
        <w:pStyle w:val="NoSpacing"/>
        <w:rPr>
          <w:rFonts w:ascii="Tahoma" w:hAnsi="Tahoma" w:cs="Tahoma"/>
          <w:b/>
          <w:smallCaps/>
          <w:sz w:val="24"/>
          <w:szCs w:val="24"/>
        </w:rPr>
      </w:pPr>
      <w:bookmarkStart w:id="0" w:name="_GoBack"/>
      <w:bookmarkEnd w:id="0"/>
    </w:p>
    <w:sectPr w:rsidR="005251C9" w:rsidRPr="002D2CB9" w:rsidSect="005504DE">
      <w:headerReference w:type="default" r:id="rId9"/>
      <w:footerReference w:type="default" r:id="rId10"/>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2B" w:rsidRDefault="000F6B2B" w:rsidP="000038BE">
      <w:pPr>
        <w:spacing w:after="0" w:line="240" w:lineRule="auto"/>
      </w:pPr>
      <w:r>
        <w:separator/>
      </w:r>
    </w:p>
  </w:endnote>
  <w:endnote w:type="continuationSeparator" w:id="0">
    <w:p w:rsidR="000F6B2B" w:rsidRDefault="000F6B2B" w:rsidP="0000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D9" w:rsidRDefault="00F37BD9">
    <w:pPr>
      <w:pStyle w:val="Footer"/>
    </w:pPr>
    <w:r>
      <w:t xml:space="preserve">                  </w:t>
    </w:r>
    <w:r w:rsidRPr="000038BE">
      <w:rPr>
        <w:noProof/>
      </w:rPr>
      <w:drawing>
        <wp:inline distT="0" distB="0" distL="0" distR="0" wp14:anchorId="0F4B161A" wp14:editId="4E9B9E30">
          <wp:extent cx="5943600" cy="1026160"/>
          <wp:effectExtent l="0" t="0" r="0" b="254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26160"/>
                  </a:xfrm>
                  <a:prstGeom prst="rect">
                    <a:avLst/>
                  </a:prstGeom>
                  <a:noFill/>
                  <a:ln>
                    <a:noFill/>
                  </a:ln>
                  <a:extLst/>
                </pic:spPr>
              </pic:pic>
            </a:graphicData>
          </a:graphic>
        </wp:inline>
      </w:drawing>
    </w:r>
    <w:r w:rsidR="001C32E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2B" w:rsidRDefault="000F6B2B" w:rsidP="000038BE">
      <w:pPr>
        <w:spacing w:after="0" w:line="240" w:lineRule="auto"/>
      </w:pPr>
      <w:r>
        <w:separator/>
      </w:r>
    </w:p>
  </w:footnote>
  <w:footnote w:type="continuationSeparator" w:id="0">
    <w:p w:rsidR="000F6B2B" w:rsidRDefault="000F6B2B" w:rsidP="00003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011193"/>
      <w:docPartObj>
        <w:docPartGallery w:val="Page Numbers (Top of Page)"/>
        <w:docPartUnique/>
      </w:docPartObj>
    </w:sdtPr>
    <w:sdtEndPr>
      <w:rPr>
        <w:noProof/>
      </w:rPr>
    </w:sdtEndPr>
    <w:sdtContent>
      <w:p w:rsidR="001C32E3" w:rsidRDefault="001C32E3">
        <w:pPr>
          <w:pStyle w:val="Header"/>
          <w:jc w:val="right"/>
        </w:pPr>
        <w:r>
          <w:fldChar w:fldCharType="begin"/>
        </w:r>
        <w:r>
          <w:instrText xml:space="preserve"> PAGE   \* MERGEFORMAT </w:instrText>
        </w:r>
        <w:r>
          <w:fldChar w:fldCharType="separate"/>
        </w:r>
        <w:r w:rsidR="00262F8C">
          <w:rPr>
            <w:noProof/>
          </w:rPr>
          <w:t>4</w:t>
        </w:r>
        <w:r>
          <w:rPr>
            <w:noProof/>
          </w:rPr>
          <w:fldChar w:fldCharType="end"/>
        </w:r>
      </w:p>
    </w:sdtContent>
  </w:sdt>
  <w:p w:rsidR="001C32E3" w:rsidRDefault="001C3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4FF6"/>
    <w:multiLevelType w:val="hybridMultilevel"/>
    <w:tmpl w:val="953C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CBD"/>
    <w:multiLevelType w:val="hybridMultilevel"/>
    <w:tmpl w:val="8572C778"/>
    <w:lvl w:ilvl="0" w:tplc="F24CD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44587"/>
    <w:multiLevelType w:val="hybridMultilevel"/>
    <w:tmpl w:val="FC5849F0"/>
    <w:lvl w:ilvl="0" w:tplc="2EC83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F2542"/>
    <w:multiLevelType w:val="hybridMultilevel"/>
    <w:tmpl w:val="1B06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86B8F"/>
    <w:multiLevelType w:val="hybridMultilevel"/>
    <w:tmpl w:val="EECCA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273BE"/>
    <w:multiLevelType w:val="hybridMultilevel"/>
    <w:tmpl w:val="11AC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E60C3"/>
    <w:multiLevelType w:val="hybridMultilevel"/>
    <w:tmpl w:val="D7EC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25EEC"/>
    <w:multiLevelType w:val="hybridMultilevel"/>
    <w:tmpl w:val="A058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C02F6"/>
    <w:multiLevelType w:val="hybridMultilevel"/>
    <w:tmpl w:val="88A6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60723"/>
    <w:multiLevelType w:val="hybridMultilevel"/>
    <w:tmpl w:val="0B9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51557"/>
    <w:multiLevelType w:val="hybridMultilevel"/>
    <w:tmpl w:val="CC1E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C5EFF"/>
    <w:multiLevelType w:val="hybridMultilevel"/>
    <w:tmpl w:val="64B02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861F1B"/>
    <w:multiLevelType w:val="hybridMultilevel"/>
    <w:tmpl w:val="2228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15F7E"/>
    <w:multiLevelType w:val="hybridMultilevel"/>
    <w:tmpl w:val="6AF2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63644"/>
    <w:multiLevelType w:val="hybridMultilevel"/>
    <w:tmpl w:val="006A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7334E"/>
    <w:multiLevelType w:val="hybridMultilevel"/>
    <w:tmpl w:val="9E326342"/>
    <w:lvl w:ilvl="0" w:tplc="B8529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C0908"/>
    <w:multiLevelType w:val="hybridMultilevel"/>
    <w:tmpl w:val="9E326342"/>
    <w:lvl w:ilvl="0" w:tplc="B8529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267F24"/>
    <w:multiLevelType w:val="hybridMultilevel"/>
    <w:tmpl w:val="D548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24998"/>
    <w:multiLevelType w:val="hybridMultilevel"/>
    <w:tmpl w:val="2D52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85EDC"/>
    <w:multiLevelType w:val="hybridMultilevel"/>
    <w:tmpl w:val="C708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32B78"/>
    <w:multiLevelType w:val="hybridMultilevel"/>
    <w:tmpl w:val="C570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340099"/>
    <w:multiLevelType w:val="hybridMultilevel"/>
    <w:tmpl w:val="1DCC7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30642"/>
    <w:multiLevelType w:val="hybridMultilevel"/>
    <w:tmpl w:val="695C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273F9"/>
    <w:multiLevelType w:val="hybridMultilevel"/>
    <w:tmpl w:val="BA26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900AB8"/>
    <w:multiLevelType w:val="hybridMultilevel"/>
    <w:tmpl w:val="BBBA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F078E8"/>
    <w:multiLevelType w:val="hybridMultilevel"/>
    <w:tmpl w:val="530C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8C52A9"/>
    <w:multiLevelType w:val="hybridMultilevel"/>
    <w:tmpl w:val="E572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0E4F90"/>
    <w:multiLevelType w:val="hybridMultilevel"/>
    <w:tmpl w:val="0AFA5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51EE0"/>
    <w:multiLevelType w:val="hybridMultilevel"/>
    <w:tmpl w:val="9F18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6E6ACF"/>
    <w:multiLevelType w:val="hybridMultilevel"/>
    <w:tmpl w:val="911C8D28"/>
    <w:lvl w:ilvl="0" w:tplc="B516BE64">
      <w:start w:val="1"/>
      <w:numFmt w:val="bullet"/>
      <w:lvlText w:val="•"/>
      <w:lvlJc w:val="left"/>
      <w:pPr>
        <w:tabs>
          <w:tab w:val="num" w:pos="720"/>
        </w:tabs>
        <w:ind w:left="720" w:hanging="360"/>
      </w:pPr>
      <w:rPr>
        <w:rFonts w:ascii="Times New Roman" w:hAnsi="Times New Roman" w:hint="default"/>
      </w:rPr>
    </w:lvl>
    <w:lvl w:ilvl="1" w:tplc="AC58363E" w:tentative="1">
      <w:start w:val="1"/>
      <w:numFmt w:val="bullet"/>
      <w:lvlText w:val="•"/>
      <w:lvlJc w:val="left"/>
      <w:pPr>
        <w:tabs>
          <w:tab w:val="num" w:pos="1440"/>
        </w:tabs>
        <w:ind w:left="1440" w:hanging="360"/>
      </w:pPr>
      <w:rPr>
        <w:rFonts w:ascii="Times New Roman" w:hAnsi="Times New Roman" w:hint="default"/>
      </w:rPr>
    </w:lvl>
    <w:lvl w:ilvl="2" w:tplc="45202F5C" w:tentative="1">
      <w:start w:val="1"/>
      <w:numFmt w:val="bullet"/>
      <w:lvlText w:val="•"/>
      <w:lvlJc w:val="left"/>
      <w:pPr>
        <w:tabs>
          <w:tab w:val="num" w:pos="2160"/>
        </w:tabs>
        <w:ind w:left="2160" w:hanging="360"/>
      </w:pPr>
      <w:rPr>
        <w:rFonts w:ascii="Times New Roman" w:hAnsi="Times New Roman" w:hint="default"/>
      </w:rPr>
    </w:lvl>
    <w:lvl w:ilvl="3" w:tplc="305A42F0" w:tentative="1">
      <w:start w:val="1"/>
      <w:numFmt w:val="bullet"/>
      <w:lvlText w:val="•"/>
      <w:lvlJc w:val="left"/>
      <w:pPr>
        <w:tabs>
          <w:tab w:val="num" w:pos="2880"/>
        </w:tabs>
        <w:ind w:left="2880" w:hanging="360"/>
      </w:pPr>
      <w:rPr>
        <w:rFonts w:ascii="Times New Roman" w:hAnsi="Times New Roman" w:hint="default"/>
      </w:rPr>
    </w:lvl>
    <w:lvl w:ilvl="4" w:tplc="6D74942E" w:tentative="1">
      <w:start w:val="1"/>
      <w:numFmt w:val="bullet"/>
      <w:lvlText w:val="•"/>
      <w:lvlJc w:val="left"/>
      <w:pPr>
        <w:tabs>
          <w:tab w:val="num" w:pos="3600"/>
        </w:tabs>
        <w:ind w:left="3600" w:hanging="360"/>
      </w:pPr>
      <w:rPr>
        <w:rFonts w:ascii="Times New Roman" w:hAnsi="Times New Roman" w:hint="default"/>
      </w:rPr>
    </w:lvl>
    <w:lvl w:ilvl="5" w:tplc="1FE29BD0" w:tentative="1">
      <w:start w:val="1"/>
      <w:numFmt w:val="bullet"/>
      <w:lvlText w:val="•"/>
      <w:lvlJc w:val="left"/>
      <w:pPr>
        <w:tabs>
          <w:tab w:val="num" w:pos="4320"/>
        </w:tabs>
        <w:ind w:left="4320" w:hanging="360"/>
      </w:pPr>
      <w:rPr>
        <w:rFonts w:ascii="Times New Roman" w:hAnsi="Times New Roman" w:hint="default"/>
      </w:rPr>
    </w:lvl>
    <w:lvl w:ilvl="6" w:tplc="E0F2407E" w:tentative="1">
      <w:start w:val="1"/>
      <w:numFmt w:val="bullet"/>
      <w:lvlText w:val="•"/>
      <w:lvlJc w:val="left"/>
      <w:pPr>
        <w:tabs>
          <w:tab w:val="num" w:pos="5040"/>
        </w:tabs>
        <w:ind w:left="5040" w:hanging="360"/>
      </w:pPr>
      <w:rPr>
        <w:rFonts w:ascii="Times New Roman" w:hAnsi="Times New Roman" w:hint="default"/>
      </w:rPr>
    </w:lvl>
    <w:lvl w:ilvl="7" w:tplc="93D492BE" w:tentative="1">
      <w:start w:val="1"/>
      <w:numFmt w:val="bullet"/>
      <w:lvlText w:val="•"/>
      <w:lvlJc w:val="left"/>
      <w:pPr>
        <w:tabs>
          <w:tab w:val="num" w:pos="5760"/>
        </w:tabs>
        <w:ind w:left="5760" w:hanging="360"/>
      </w:pPr>
      <w:rPr>
        <w:rFonts w:ascii="Times New Roman" w:hAnsi="Times New Roman" w:hint="default"/>
      </w:rPr>
    </w:lvl>
    <w:lvl w:ilvl="8" w:tplc="046042B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65461B2"/>
    <w:multiLevelType w:val="hybridMultilevel"/>
    <w:tmpl w:val="5B32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9B4EEF"/>
    <w:multiLevelType w:val="hybridMultilevel"/>
    <w:tmpl w:val="F5A68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2A4C51"/>
    <w:multiLevelType w:val="hybridMultilevel"/>
    <w:tmpl w:val="EC9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395CA5"/>
    <w:multiLevelType w:val="hybridMultilevel"/>
    <w:tmpl w:val="E952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9"/>
  </w:num>
  <w:num w:numId="4">
    <w:abstractNumId w:val="8"/>
  </w:num>
  <w:num w:numId="5">
    <w:abstractNumId w:val="28"/>
  </w:num>
  <w:num w:numId="6">
    <w:abstractNumId w:val="16"/>
  </w:num>
  <w:num w:numId="7">
    <w:abstractNumId w:val="2"/>
  </w:num>
  <w:num w:numId="8">
    <w:abstractNumId w:val="1"/>
  </w:num>
  <w:num w:numId="9">
    <w:abstractNumId w:val="11"/>
  </w:num>
  <w:num w:numId="10">
    <w:abstractNumId w:val="27"/>
  </w:num>
  <w:num w:numId="11">
    <w:abstractNumId w:val="25"/>
  </w:num>
  <w:num w:numId="12">
    <w:abstractNumId w:val="6"/>
  </w:num>
  <w:num w:numId="13">
    <w:abstractNumId w:val="10"/>
  </w:num>
  <w:num w:numId="14">
    <w:abstractNumId w:val="20"/>
  </w:num>
  <w:num w:numId="15">
    <w:abstractNumId w:val="14"/>
  </w:num>
  <w:num w:numId="16">
    <w:abstractNumId w:val="9"/>
  </w:num>
  <w:num w:numId="17">
    <w:abstractNumId w:val="13"/>
  </w:num>
  <w:num w:numId="18">
    <w:abstractNumId w:val="31"/>
  </w:num>
  <w:num w:numId="19">
    <w:abstractNumId w:val="18"/>
  </w:num>
  <w:num w:numId="20">
    <w:abstractNumId w:val="32"/>
  </w:num>
  <w:num w:numId="21">
    <w:abstractNumId w:val="15"/>
  </w:num>
  <w:num w:numId="22">
    <w:abstractNumId w:val="30"/>
  </w:num>
  <w:num w:numId="23">
    <w:abstractNumId w:val="0"/>
  </w:num>
  <w:num w:numId="24">
    <w:abstractNumId w:val="3"/>
  </w:num>
  <w:num w:numId="25">
    <w:abstractNumId w:val="5"/>
  </w:num>
  <w:num w:numId="26">
    <w:abstractNumId w:val="24"/>
  </w:num>
  <w:num w:numId="27">
    <w:abstractNumId w:val="23"/>
  </w:num>
  <w:num w:numId="28">
    <w:abstractNumId w:val="12"/>
  </w:num>
  <w:num w:numId="29">
    <w:abstractNumId w:val="7"/>
  </w:num>
  <w:num w:numId="30">
    <w:abstractNumId w:val="19"/>
  </w:num>
  <w:num w:numId="31">
    <w:abstractNumId w:val="21"/>
  </w:num>
  <w:num w:numId="32">
    <w:abstractNumId w:val="4"/>
  </w:num>
  <w:num w:numId="33">
    <w:abstractNumId w:val="3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33"/>
    <w:rsid w:val="000038BE"/>
    <w:rsid w:val="00005119"/>
    <w:rsid w:val="0000530A"/>
    <w:rsid w:val="0002198D"/>
    <w:rsid w:val="00066BF3"/>
    <w:rsid w:val="00097143"/>
    <w:rsid w:val="000D4E08"/>
    <w:rsid w:val="000E627C"/>
    <w:rsid w:val="000E636D"/>
    <w:rsid w:val="000F6B2B"/>
    <w:rsid w:val="001C32E3"/>
    <w:rsid w:val="001D0150"/>
    <w:rsid w:val="00205B3D"/>
    <w:rsid w:val="00216727"/>
    <w:rsid w:val="00225B31"/>
    <w:rsid w:val="00262F8C"/>
    <w:rsid w:val="00264D04"/>
    <w:rsid w:val="00272B26"/>
    <w:rsid w:val="002A2E3C"/>
    <w:rsid w:val="002C2F88"/>
    <w:rsid w:val="002D2CB9"/>
    <w:rsid w:val="002D6C62"/>
    <w:rsid w:val="00321B8E"/>
    <w:rsid w:val="00383D9B"/>
    <w:rsid w:val="0038796A"/>
    <w:rsid w:val="003C639B"/>
    <w:rsid w:val="003E1109"/>
    <w:rsid w:val="003E4529"/>
    <w:rsid w:val="003F7D34"/>
    <w:rsid w:val="00405E2A"/>
    <w:rsid w:val="00453336"/>
    <w:rsid w:val="0045379F"/>
    <w:rsid w:val="00474124"/>
    <w:rsid w:val="0048443A"/>
    <w:rsid w:val="004919C0"/>
    <w:rsid w:val="00497D6E"/>
    <w:rsid w:val="004C4F3D"/>
    <w:rsid w:val="004E4739"/>
    <w:rsid w:val="00500DA0"/>
    <w:rsid w:val="0050585C"/>
    <w:rsid w:val="00507322"/>
    <w:rsid w:val="00512A30"/>
    <w:rsid w:val="005152FD"/>
    <w:rsid w:val="00523DE0"/>
    <w:rsid w:val="005251C9"/>
    <w:rsid w:val="005345A3"/>
    <w:rsid w:val="005504DE"/>
    <w:rsid w:val="00562C16"/>
    <w:rsid w:val="0057696A"/>
    <w:rsid w:val="005924A1"/>
    <w:rsid w:val="00597468"/>
    <w:rsid w:val="005A1B55"/>
    <w:rsid w:val="005C7819"/>
    <w:rsid w:val="006020EC"/>
    <w:rsid w:val="00606FE2"/>
    <w:rsid w:val="00613448"/>
    <w:rsid w:val="00622533"/>
    <w:rsid w:val="006717CF"/>
    <w:rsid w:val="006A5A87"/>
    <w:rsid w:val="006C19CA"/>
    <w:rsid w:val="006E05DB"/>
    <w:rsid w:val="006F0B61"/>
    <w:rsid w:val="006F200D"/>
    <w:rsid w:val="007015F3"/>
    <w:rsid w:val="00732622"/>
    <w:rsid w:val="007515F8"/>
    <w:rsid w:val="00807A66"/>
    <w:rsid w:val="00833EFA"/>
    <w:rsid w:val="008633F8"/>
    <w:rsid w:val="008E3FA5"/>
    <w:rsid w:val="008F1C96"/>
    <w:rsid w:val="00912E0F"/>
    <w:rsid w:val="00914050"/>
    <w:rsid w:val="00916323"/>
    <w:rsid w:val="009A37EA"/>
    <w:rsid w:val="009B2AA7"/>
    <w:rsid w:val="009F7A89"/>
    <w:rsid w:val="00A02DEF"/>
    <w:rsid w:val="00A171BE"/>
    <w:rsid w:val="00A2018B"/>
    <w:rsid w:val="00A33ADD"/>
    <w:rsid w:val="00A642CD"/>
    <w:rsid w:val="00A83D36"/>
    <w:rsid w:val="00A96E3C"/>
    <w:rsid w:val="00AA6D12"/>
    <w:rsid w:val="00AA7A00"/>
    <w:rsid w:val="00AC3BF5"/>
    <w:rsid w:val="00B03A8C"/>
    <w:rsid w:val="00B503CB"/>
    <w:rsid w:val="00B51A25"/>
    <w:rsid w:val="00B73821"/>
    <w:rsid w:val="00B8080F"/>
    <w:rsid w:val="00C0351A"/>
    <w:rsid w:val="00C65458"/>
    <w:rsid w:val="00C978BD"/>
    <w:rsid w:val="00CA3F2D"/>
    <w:rsid w:val="00CA44D7"/>
    <w:rsid w:val="00CB026A"/>
    <w:rsid w:val="00CE423B"/>
    <w:rsid w:val="00D15164"/>
    <w:rsid w:val="00D30D49"/>
    <w:rsid w:val="00D47463"/>
    <w:rsid w:val="00D51D36"/>
    <w:rsid w:val="00D76E62"/>
    <w:rsid w:val="00DA14FC"/>
    <w:rsid w:val="00E34E55"/>
    <w:rsid w:val="00E6773F"/>
    <w:rsid w:val="00F34692"/>
    <w:rsid w:val="00F359A9"/>
    <w:rsid w:val="00F3651F"/>
    <w:rsid w:val="00F37BD9"/>
    <w:rsid w:val="00F40029"/>
    <w:rsid w:val="00F417C2"/>
    <w:rsid w:val="00F42178"/>
    <w:rsid w:val="00F96881"/>
    <w:rsid w:val="00FA5B05"/>
    <w:rsid w:val="00FB05EB"/>
    <w:rsid w:val="00FB21EC"/>
    <w:rsid w:val="00FD5C0D"/>
    <w:rsid w:val="00FE1755"/>
    <w:rsid w:val="00FF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533"/>
    <w:pPr>
      <w:spacing w:after="0" w:line="240" w:lineRule="auto"/>
    </w:pPr>
  </w:style>
  <w:style w:type="table" w:styleId="TableGrid">
    <w:name w:val="Table Grid"/>
    <w:basedOn w:val="TableNormal"/>
    <w:uiPriority w:val="59"/>
    <w:rsid w:val="0062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3CB"/>
    <w:rPr>
      <w:rFonts w:ascii="Tahoma" w:hAnsi="Tahoma" w:cs="Tahoma"/>
      <w:sz w:val="16"/>
      <w:szCs w:val="16"/>
    </w:rPr>
  </w:style>
  <w:style w:type="paragraph" w:styleId="Header">
    <w:name w:val="header"/>
    <w:basedOn w:val="Normal"/>
    <w:link w:val="HeaderChar"/>
    <w:uiPriority w:val="99"/>
    <w:unhideWhenUsed/>
    <w:rsid w:val="0000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BE"/>
  </w:style>
  <w:style w:type="paragraph" w:styleId="Footer">
    <w:name w:val="footer"/>
    <w:basedOn w:val="Normal"/>
    <w:link w:val="FooterChar"/>
    <w:uiPriority w:val="99"/>
    <w:unhideWhenUsed/>
    <w:rsid w:val="00003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BE"/>
  </w:style>
  <w:style w:type="paragraph" w:styleId="ListParagraph">
    <w:name w:val="List Paragraph"/>
    <w:basedOn w:val="Normal"/>
    <w:uiPriority w:val="34"/>
    <w:qFormat/>
    <w:rsid w:val="0048443A"/>
    <w:pPr>
      <w:ind w:left="720"/>
      <w:contextualSpacing/>
    </w:pPr>
  </w:style>
  <w:style w:type="character" w:styleId="CommentReference">
    <w:name w:val="annotation reference"/>
    <w:basedOn w:val="DefaultParagraphFont"/>
    <w:uiPriority w:val="99"/>
    <w:semiHidden/>
    <w:unhideWhenUsed/>
    <w:rsid w:val="0048443A"/>
    <w:rPr>
      <w:sz w:val="16"/>
      <w:szCs w:val="16"/>
    </w:rPr>
  </w:style>
  <w:style w:type="paragraph" w:styleId="CommentText">
    <w:name w:val="annotation text"/>
    <w:basedOn w:val="Normal"/>
    <w:link w:val="CommentTextChar"/>
    <w:uiPriority w:val="99"/>
    <w:semiHidden/>
    <w:unhideWhenUsed/>
    <w:rsid w:val="0048443A"/>
    <w:pPr>
      <w:spacing w:line="240" w:lineRule="auto"/>
    </w:pPr>
    <w:rPr>
      <w:sz w:val="20"/>
      <w:szCs w:val="20"/>
    </w:rPr>
  </w:style>
  <w:style w:type="character" w:customStyle="1" w:styleId="CommentTextChar">
    <w:name w:val="Comment Text Char"/>
    <w:basedOn w:val="DefaultParagraphFont"/>
    <w:link w:val="CommentText"/>
    <w:uiPriority w:val="99"/>
    <w:semiHidden/>
    <w:rsid w:val="0048443A"/>
    <w:rPr>
      <w:sz w:val="20"/>
      <w:szCs w:val="20"/>
    </w:rPr>
  </w:style>
  <w:style w:type="paragraph" w:styleId="CommentSubject">
    <w:name w:val="annotation subject"/>
    <w:basedOn w:val="CommentText"/>
    <w:next w:val="CommentText"/>
    <w:link w:val="CommentSubjectChar"/>
    <w:uiPriority w:val="99"/>
    <w:semiHidden/>
    <w:unhideWhenUsed/>
    <w:rsid w:val="0048443A"/>
    <w:rPr>
      <w:b/>
      <w:bCs/>
    </w:rPr>
  </w:style>
  <w:style w:type="character" w:customStyle="1" w:styleId="CommentSubjectChar">
    <w:name w:val="Comment Subject Char"/>
    <w:basedOn w:val="CommentTextChar"/>
    <w:link w:val="CommentSubject"/>
    <w:uiPriority w:val="99"/>
    <w:semiHidden/>
    <w:rsid w:val="0048443A"/>
    <w:rPr>
      <w:b/>
      <w:bCs/>
      <w:sz w:val="20"/>
      <w:szCs w:val="20"/>
    </w:rPr>
  </w:style>
  <w:style w:type="paragraph" w:styleId="FootnoteText">
    <w:name w:val="footnote text"/>
    <w:basedOn w:val="Normal"/>
    <w:link w:val="FootnoteTextChar"/>
    <w:uiPriority w:val="99"/>
    <w:semiHidden/>
    <w:unhideWhenUsed/>
    <w:rsid w:val="00833E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EFA"/>
    <w:rPr>
      <w:sz w:val="20"/>
      <w:szCs w:val="20"/>
    </w:rPr>
  </w:style>
  <w:style w:type="character" w:styleId="FootnoteReference">
    <w:name w:val="footnote reference"/>
    <w:basedOn w:val="DefaultParagraphFont"/>
    <w:uiPriority w:val="99"/>
    <w:semiHidden/>
    <w:unhideWhenUsed/>
    <w:rsid w:val="00833EFA"/>
    <w:rPr>
      <w:vertAlign w:val="superscript"/>
    </w:rPr>
  </w:style>
  <w:style w:type="character" w:styleId="Hyperlink">
    <w:name w:val="Hyperlink"/>
    <w:basedOn w:val="DefaultParagraphFont"/>
    <w:uiPriority w:val="99"/>
    <w:unhideWhenUsed/>
    <w:rsid w:val="00F365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533"/>
    <w:pPr>
      <w:spacing w:after="0" w:line="240" w:lineRule="auto"/>
    </w:pPr>
  </w:style>
  <w:style w:type="table" w:styleId="TableGrid">
    <w:name w:val="Table Grid"/>
    <w:basedOn w:val="TableNormal"/>
    <w:uiPriority w:val="59"/>
    <w:rsid w:val="0062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3CB"/>
    <w:rPr>
      <w:rFonts w:ascii="Tahoma" w:hAnsi="Tahoma" w:cs="Tahoma"/>
      <w:sz w:val="16"/>
      <w:szCs w:val="16"/>
    </w:rPr>
  </w:style>
  <w:style w:type="paragraph" w:styleId="Header">
    <w:name w:val="header"/>
    <w:basedOn w:val="Normal"/>
    <w:link w:val="HeaderChar"/>
    <w:uiPriority w:val="99"/>
    <w:unhideWhenUsed/>
    <w:rsid w:val="0000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BE"/>
  </w:style>
  <w:style w:type="paragraph" w:styleId="Footer">
    <w:name w:val="footer"/>
    <w:basedOn w:val="Normal"/>
    <w:link w:val="FooterChar"/>
    <w:uiPriority w:val="99"/>
    <w:unhideWhenUsed/>
    <w:rsid w:val="00003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BE"/>
  </w:style>
  <w:style w:type="paragraph" w:styleId="ListParagraph">
    <w:name w:val="List Paragraph"/>
    <w:basedOn w:val="Normal"/>
    <w:uiPriority w:val="34"/>
    <w:qFormat/>
    <w:rsid w:val="0048443A"/>
    <w:pPr>
      <w:ind w:left="720"/>
      <w:contextualSpacing/>
    </w:pPr>
  </w:style>
  <w:style w:type="character" w:styleId="CommentReference">
    <w:name w:val="annotation reference"/>
    <w:basedOn w:val="DefaultParagraphFont"/>
    <w:uiPriority w:val="99"/>
    <w:semiHidden/>
    <w:unhideWhenUsed/>
    <w:rsid w:val="0048443A"/>
    <w:rPr>
      <w:sz w:val="16"/>
      <w:szCs w:val="16"/>
    </w:rPr>
  </w:style>
  <w:style w:type="paragraph" w:styleId="CommentText">
    <w:name w:val="annotation text"/>
    <w:basedOn w:val="Normal"/>
    <w:link w:val="CommentTextChar"/>
    <w:uiPriority w:val="99"/>
    <w:semiHidden/>
    <w:unhideWhenUsed/>
    <w:rsid w:val="0048443A"/>
    <w:pPr>
      <w:spacing w:line="240" w:lineRule="auto"/>
    </w:pPr>
    <w:rPr>
      <w:sz w:val="20"/>
      <w:szCs w:val="20"/>
    </w:rPr>
  </w:style>
  <w:style w:type="character" w:customStyle="1" w:styleId="CommentTextChar">
    <w:name w:val="Comment Text Char"/>
    <w:basedOn w:val="DefaultParagraphFont"/>
    <w:link w:val="CommentText"/>
    <w:uiPriority w:val="99"/>
    <w:semiHidden/>
    <w:rsid w:val="0048443A"/>
    <w:rPr>
      <w:sz w:val="20"/>
      <w:szCs w:val="20"/>
    </w:rPr>
  </w:style>
  <w:style w:type="paragraph" w:styleId="CommentSubject">
    <w:name w:val="annotation subject"/>
    <w:basedOn w:val="CommentText"/>
    <w:next w:val="CommentText"/>
    <w:link w:val="CommentSubjectChar"/>
    <w:uiPriority w:val="99"/>
    <w:semiHidden/>
    <w:unhideWhenUsed/>
    <w:rsid w:val="0048443A"/>
    <w:rPr>
      <w:b/>
      <w:bCs/>
    </w:rPr>
  </w:style>
  <w:style w:type="character" w:customStyle="1" w:styleId="CommentSubjectChar">
    <w:name w:val="Comment Subject Char"/>
    <w:basedOn w:val="CommentTextChar"/>
    <w:link w:val="CommentSubject"/>
    <w:uiPriority w:val="99"/>
    <w:semiHidden/>
    <w:rsid w:val="0048443A"/>
    <w:rPr>
      <w:b/>
      <w:bCs/>
      <w:sz w:val="20"/>
      <w:szCs w:val="20"/>
    </w:rPr>
  </w:style>
  <w:style w:type="paragraph" w:styleId="FootnoteText">
    <w:name w:val="footnote text"/>
    <w:basedOn w:val="Normal"/>
    <w:link w:val="FootnoteTextChar"/>
    <w:uiPriority w:val="99"/>
    <w:semiHidden/>
    <w:unhideWhenUsed/>
    <w:rsid w:val="00833E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EFA"/>
    <w:rPr>
      <w:sz w:val="20"/>
      <w:szCs w:val="20"/>
    </w:rPr>
  </w:style>
  <w:style w:type="character" w:styleId="FootnoteReference">
    <w:name w:val="footnote reference"/>
    <w:basedOn w:val="DefaultParagraphFont"/>
    <w:uiPriority w:val="99"/>
    <w:semiHidden/>
    <w:unhideWhenUsed/>
    <w:rsid w:val="00833EFA"/>
    <w:rPr>
      <w:vertAlign w:val="superscript"/>
    </w:rPr>
  </w:style>
  <w:style w:type="character" w:styleId="Hyperlink">
    <w:name w:val="Hyperlink"/>
    <w:basedOn w:val="DefaultParagraphFont"/>
    <w:uiPriority w:val="99"/>
    <w:unhideWhenUsed/>
    <w:rsid w:val="00F36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6043">
      <w:bodyDiv w:val="1"/>
      <w:marLeft w:val="0"/>
      <w:marRight w:val="0"/>
      <w:marTop w:val="0"/>
      <w:marBottom w:val="0"/>
      <w:divBdr>
        <w:top w:val="none" w:sz="0" w:space="0" w:color="auto"/>
        <w:left w:val="none" w:sz="0" w:space="0" w:color="auto"/>
        <w:bottom w:val="none" w:sz="0" w:space="0" w:color="auto"/>
        <w:right w:val="none" w:sz="0" w:space="0" w:color="auto"/>
      </w:divBdr>
    </w:div>
    <w:div w:id="69816551">
      <w:bodyDiv w:val="1"/>
      <w:marLeft w:val="0"/>
      <w:marRight w:val="0"/>
      <w:marTop w:val="0"/>
      <w:marBottom w:val="0"/>
      <w:divBdr>
        <w:top w:val="none" w:sz="0" w:space="0" w:color="auto"/>
        <w:left w:val="none" w:sz="0" w:space="0" w:color="auto"/>
        <w:bottom w:val="none" w:sz="0" w:space="0" w:color="auto"/>
        <w:right w:val="none" w:sz="0" w:space="0" w:color="auto"/>
      </w:divBdr>
      <w:divsChild>
        <w:div w:id="904995598">
          <w:marLeft w:val="547"/>
          <w:marRight w:val="0"/>
          <w:marTop w:val="0"/>
          <w:marBottom w:val="0"/>
          <w:divBdr>
            <w:top w:val="none" w:sz="0" w:space="0" w:color="auto"/>
            <w:left w:val="none" w:sz="0" w:space="0" w:color="auto"/>
            <w:bottom w:val="none" w:sz="0" w:space="0" w:color="auto"/>
            <w:right w:val="none" w:sz="0" w:space="0" w:color="auto"/>
          </w:divBdr>
        </w:div>
        <w:div w:id="1095786842">
          <w:marLeft w:val="547"/>
          <w:marRight w:val="0"/>
          <w:marTop w:val="0"/>
          <w:marBottom w:val="0"/>
          <w:divBdr>
            <w:top w:val="none" w:sz="0" w:space="0" w:color="auto"/>
            <w:left w:val="none" w:sz="0" w:space="0" w:color="auto"/>
            <w:bottom w:val="none" w:sz="0" w:space="0" w:color="auto"/>
            <w:right w:val="none" w:sz="0" w:space="0" w:color="auto"/>
          </w:divBdr>
        </w:div>
        <w:div w:id="666787715">
          <w:marLeft w:val="547"/>
          <w:marRight w:val="0"/>
          <w:marTop w:val="0"/>
          <w:marBottom w:val="0"/>
          <w:divBdr>
            <w:top w:val="none" w:sz="0" w:space="0" w:color="auto"/>
            <w:left w:val="none" w:sz="0" w:space="0" w:color="auto"/>
            <w:bottom w:val="none" w:sz="0" w:space="0" w:color="auto"/>
            <w:right w:val="none" w:sz="0" w:space="0" w:color="auto"/>
          </w:divBdr>
        </w:div>
        <w:div w:id="2037609120">
          <w:marLeft w:val="547"/>
          <w:marRight w:val="0"/>
          <w:marTop w:val="0"/>
          <w:marBottom w:val="0"/>
          <w:divBdr>
            <w:top w:val="none" w:sz="0" w:space="0" w:color="auto"/>
            <w:left w:val="none" w:sz="0" w:space="0" w:color="auto"/>
            <w:bottom w:val="none" w:sz="0" w:space="0" w:color="auto"/>
            <w:right w:val="none" w:sz="0" w:space="0" w:color="auto"/>
          </w:divBdr>
        </w:div>
        <w:div w:id="1317567190">
          <w:marLeft w:val="547"/>
          <w:marRight w:val="0"/>
          <w:marTop w:val="0"/>
          <w:marBottom w:val="0"/>
          <w:divBdr>
            <w:top w:val="none" w:sz="0" w:space="0" w:color="auto"/>
            <w:left w:val="none" w:sz="0" w:space="0" w:color="auto"/>
            <w:bottom w:val="none" w:sz="0" w:space="0" w:color="auto"/>
            <w:right w:val="none" w:sz="0" w:space="0" w:color="auto"/>
          </w:divBdr>
        </w:div>
        <w:div w:id="933975387">
          <w:marLeft w:val="547"/>
          <w:marRight w:val="0"/>
          <w:marTop w:val="0"/>
          <w:marBottom w:val="0"/>
          <w:divBdr>
            <w:top w:val="none" w:sz="0" w:space="0" w:color="auto"/>
            <w:left w:val="none" w:sz="0" w:space="0" w:color="auto"/>
            <w:bottom w:val="none" w:sz="0" w:space="0" w:color="auto"/>
            <w:right w:val="none" w:sz="0" w:space="0" w:color="auto"/>
          </w:divBdr>
        </w:div>
        <w:div w:id="644966630">
          <w:marLeft w:val="547"/>
          <w:marRight w:val="0"/>
          <w:marTop w:val="0"/>
          <w:marBottom w:val="0"/>
          <w:divBdr>
            <w:top w:val="none" w:sz="0" w:space="0" w:color="auto"/>
            <w:left w:val="none" w:sz="0" w:space="0" w:color="auto"/>
            <w:bottom w:val="none" w:sz="0" w:space="0" w:color="auto"/>
            <w:right w:val="none" w:sz="0" w:space="0" w:color="auto"/>
          </w:divBdr>
        </w:div>
        <w:div w:id="1466580665">
          <w:marLeft w:val="547"/>
          <w:marRight w:val="0"/>
          <w:marTop w:val="0"/>
          <w:marBottom w:val="0"/>
          <w:divBdr>
            <w:top w:val="none" w:sz="0" w:space="0" w:color="auto"/>
            <w:left w:val="none" w:sz="0" w:space="0" w:color="auto"/>
            <w:bottom w:val="none" w:sz="0" w:space="0" w:color="auto"/>
            <w:right w:val="none" w:sz="0" w:space="0" w:color="auto"/>
          </w:divBdr>
        </w:div>
        <w:div w:id="2008357467">
          <w:marLeft w:val="547"/>
          <w:marRight w:val="0"/>
          <w:marTop w:val="0"/>
          <w:marBottom w:val="0"/>
          <w:divBdr>
            <w:top w:val="none" w:sz="0" w:space="0" w:color="auto"/>
            <w:left w:val="none" w:sz="0" w:space="0" w:color="auto"/>
            <w:bottom w:val="none" w:sz="0" w:space="0" w:color="auto"/>
            <w:right w:val="none" w:sz="0" w:space="0" w:color="auto"/>
          </w:divBdr>
        </w:div>
        <w:div w:id="1308171169">
          <w:marLeft w:val="547"/>
          <w:marRight w:val="0"/>
          <w:marTop w:val="0"/>
          <w:marBottom w:val="0"/>
          <w:divBdr>
            <w:top w:val="none" w:sz="0" w:space="0" w:color="auto"/>
            <w:left w:val="none" w:sz="0" w:space="0" w:color="auto"/>
            <w:bottom w:val="none" w:sz="0" w:space="0" w:color="auto"/>
            <w:right w:val="none" w:sz="0" w:space="0" w:color="auto"/>
          </w:divBdr>
        </w:div>
      </w:divsChild>
    </w:div>
    <w:div w:id="518544901">
      <w:bodyDiv w:val="1"/>
      <w:marLeft w:val="0"/>
      <w:marRight w:val="0"/>
      <w:marTop w:val="0"/>
      <w:marBottom w:val="0"/>
      <w:divBdr>
        <w:top w:val="none" w:sz="0" w:space="0" w:color="auto"/>
        <w:left w:val="none" w:sz="0" w:space="0" w:color="auto"/>
        <w:bottom w:val="none" w:sz="0" w:space="0" w:color="auto"/>
        <w:right w:val="none" w:sz="0" w:space="0" w:color="auto"/>
      </w:divBdr>
    </w:div>
    <w:div w:id="8610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6ED6C-C8E5-4ECE-8E77-A0438F4ECBBB}"/>
</file>

<file path=customXml/itemProps2.xml><?xml version="1.0" encoding="utf-8"?>
<ds:datastoreItem xmlns:ds="http://schemas.openxmlformats.org/officeDocument/2006/customXml" ds:itemID="{0B91CAEC-563E-4760-8EF7-EAB7684929A3}"/>
</file>

<file path=customXml/itemProps3.xml><?xml version="1.0" encoding="utf-8"?>
<ds:datastoreItem xmlns:ds="http://schemas.openxmlformats.org/officeDocument/2006/customXml" ds:itemID="{BE7B1C9C-0096-43FD-88EE-3303994EDF9F}"/>
</file>

<file path=customXml/itemProps4.xml><?xml version="1.0" encoding="utf-8"?>
<ds:datastoreItem xmlns:ds="http://schemas.openxmlformats.org/officeDocument/2006/customXml" ds:itemID="{0B5E1348-5A4C-490C-83C4-92B2C335320B}"/>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Manke, Adam P</dc:creator>
  <cp:lastModifiedBy>Reed, Jeffrey G.</cp:lastModifiedBy>
  <cp:revision>2</cp:revision>
  <dcterms:created xsi:type="dcterms:W3CDTF">2015-10-10T00:38:00Z</dcterms:created>
  <dcterms:modified xsi:type="dcterms:W3CDTF">2015-10-10T00:38:00Z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