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D9" w:rsidRPr="0080667D" w:rsidRDefault="001E35D9" w:rsidP="002D01F4">
      <w:pPr>
        <w:spacing w:after="0" w:line="240" w:lineRule="auto"/>
        <w:jc w:val="right"/>
        <w:rPr>
          <w:rFonts w:asciiTheme="minorHAnsi" w:hAnsiTheme="minorHAnsi" w:cs="Times New Roman"/>
          <w:b/>
          <w:sz w:val="8"/>
          <w:szCs w:val="8"/>
        </w:rPr>
      </w:pPr>
      <w:r>
        <w:rPr>
          <w:rFonts w:cs="Times New Roman"/>
          <w:noProof/>
          <w:szCs w:val="24"/>
        </w:rPr>
        <w:drawing>
          <wp:anchor distT="0" distB="0" distL="114300" distR="114300" simplePos="0" relativeHeight="251659264" behindDoc="1" locked="0" layoutInCell="1" allowOverlap="1" wp14:anchorId="21F7EB2C" wp14:editId="3F05C3B6">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0080667D">
        <w:rPr>
          <w:rFonts w:asciiTheme="minorHAnsi" w:hAnsiTheme="minorHAnsi" w:cs="Times New Roman"/>
          <w:b/>
          <w:szCs w:val="24"/>
        </w:rPr>
        <w:t xml:space="preserve"> </w:t>
      </w:r>
      <w:r w:rsidR="0080667D" w:rsidRPr="0080667D">
        <w:rPr>
          <w:rFonts w:asciiTheme="minorHAnsi" w:hAnsiTheme="minorHAnsi" w:cs="Times New Roman"/>
          <w:b/>
          <w:sz w:val="8"/>
          <w:szCs w:val="8"/>
        </w:rPr>
        <w:t xml:space="preserve"> </w:t>
      </w:r>
    </w:p>
    <w:p w:rsidR="00CE7EAB" w:rsidRDefault="001E35D9" w:rsidP="00CE7EAB">
      <w:pPr>
        <w:spacing w:after="0" w:line="240" w:lineRule="auto"/>
        <w:ind w:left="5846" w:firstLine="806"/>
        <w:jc w:val="right"/>
        <w:rPr>
          <w:rFonts w:asciiTheme="minorHAnsi" w:hAnsiTheme="minorHAnsi" w:cs="Arial"/>
          <w:sz w:val="22"/>
        </w:rPr>
      </w:pPr>
      <w:r>
        <w:rPr>
          <w:rFonts w:asciiTheme="minorHAnsi" w:hAnsiTheme="minorHAnsi" w:cs="Arial"/>
          <w:sz w:val="22"/>
        </w:rPr>
        <w:t xml:space="preserve">        </w:t>
      </w:r>
      <w:r w:rsidR="00D6241A">
        <w:rPr>
          <w:rFonts w:asciiTheme="minorHAnsi" w:hAnsiTheme="minorHAnsi" w:cs="Arial"/>
          <w:sz w:val="22"/>
        </w:rPr>
        <w:t xml:space="preserve">  </w:t>
      </w:r>
      <w:r w:rsidRPr="00CE7EAB">
        <w:rPr>
          <w:rFonts w:asciiTheme="minorHAnsi" w:hAnsiTheme="minorHAnsi" w:cs="Arial"/>
          <w:b/>
          <w:sz w:val="22"/>
        </w:rPr>
        <w:t xml:space="preserve">Lisa </w:t>
      </w:r>
      <w:proofErr w:type="spellStart"/>
      <w:r w:rsidRPr="00CE7EAB">
        <w:rPr>
          <w:rFonts w:asciiTheme="minorHAnsi" w:hAnsiTheme="minorHAnsi" w:cs="Arial"/>
          <w:b/>
          <w:sz w:val="22"/>
        </w:rPr>
        <w:t>Larroque</w:t>
      </w:r>
      <w:proofErr w:type="spellEnd"/>
      <w:r w:rsidRPr="00CE7EAB">
        <w:rPr>
          <w:rFonts w:asciiTheme="minorHAnsi" w:hAnsiTheme="minorHAnsi" w:cs="Arial"/>
          <w:b/>
          <w:sz w:val="22"/>
        </w:rPr>
        <w:t xml:space="preserve"> Alexander</w:t>
      </w:r>
      <w:r>
        <w:rPr>
          <w:rFonts w:asciiTheme="minorHAnsi" w:hAnsiTheme="minorHAnsi" w:cs="Arial"/>
          <w:sz w:val="22"/>
        </w:rPr>
        <w:t xml:space="preserve"> </w:t>
      </w:r>
      <w:r w:rsidRPr="001E35D9">
        <w:rPr>
          <w:rFonts w:asciiTheme="minorHAnsi" w:hAnsiTheme="minorHAnsi" w:cs="Arial"/>
          <w:sz w:val="22"/>
        </w:rPr>
        <w:t xml:space="preserve">                                                 Vice-President                                              Customer Solutions &amp;</w:t>
      </w:r>
      <w:r>
        <w:rPr>
          <w:rFonts w:asciiTheme="minorHAnsi" w:hAnsiTheme="minorHAnsi" w:cs="Arial"/>
          <w:sz w:val="22"/>
        </w:rPr>
        <w:t xml:space="preserve"> Communications </w:t>
      </w:r>
    </w:p>
    <w:p w:rsidR="00CE7EAB" w:rsidRDefault="00CE7EAB" w:rsidP="00CE7EAB">
      <w:pPr>
        <w:spacing w:after="0" w:line="240" w:lineRule="auto"/>
        <w:ind w:left="5850" w:firstLine="810"/>
        <w:jc w:val="right"/>
        <w:rPr>
          <w:rFonts w:asciiTheme="minorHAnsi" w:hAnsiTheme="minorHAnsi" w:cs="Arial"/>
          <w:sz w:val="22"/>
        </w:rPr>
      </w:pPr>
    </w:p>
    <w:p w:rsidR="00CE7EAB" w:rsidRDefault="001E35D9" w:rsidP="00CE7EAB">
      <w:pPr>
        <w:spacing w:after="0" w:line="240" w:lineRule="auto"/>
        <w:ind w:left="5850" w:hanging="90"/>
        <w:jc w:val="right"/>
        <w:rPr>
          <w:rFonts w:asciiTheme="minorHAnsi" w:hAnsiTheme="minorHAnsi" w:cs="Arial"/>
          <w:sz w:val="22"/>
        </w:rPr>
      </w:pPr>
      <w:r>
        <w:rPr>
          <w:rFonts w:asciiTheme="minorHAnsi" w:hAnsiTheme="minorHAnsi" w:cs="Arial"/>
          <w:sz w:val="22"/>
        </w:rPr>
        <w:t xml:space="preserve">         </w:t>
      </w:r>
      <w:r w:rsidR="00D6241A">
        <w:rPr>
          <w:rFonts w:asciiTheme="minorHAnsi" w:hAnsiTheme="minorHAnsi" w:cs="Arial"/>
          <w:sz w:val="22"/>
        </w:rPr>
        <w:t xml:space="preserve">        </w:t>
      </w:r>
      <w:r w:rsidR="00CE7EAB">
        <w:rPr>
          <w:rFonts w:asciiTheme="minorHAnsi" w:hAnsiTheme="minorHAnsi" w:cs="Arial"/>
          <w:sz w:val="22"/>
        </w:rPr>
        <w:t xml:space="preserve">555 W. Fifth Street, GT20B7 </w:t>
      </w:r>
    </w:p>
    <w:p w:rsidR="00CE7EAB" w:rsidRDefault="00CE7EAB" w:rsidP="00CE7EAB">
      <w:pPr>
        <w:spacing w:after="0" w:line="240" w:lineRule="auto"/>
        <w:ind w:left="5850" w:firstLine="810"/>
        <w:jc w:val="right"/>
        <w:rPr>
          <w:rFonts w:asciiTheme="minorHAnsi" w:hAnsiTheme="minorHAnsi" w:cs="Arial"/>
          <w:sz w:val="22"/>
        </w:rPr>
      </w:pPr>
      <w:r>
        <w:rPr>
          <w:rFonts w:asciiTheme="minorHAnsi" w:hAnsiTheme="minorHAnsi" w:cs="Arial"/>
          <w:sz w:val="22"/>
        </w:rPr>
        <w:t>Los Angeles, CA  90013-1101</w:t>
      </w:r>
    </w:p>
    <w:p w:rsidR="002D01F4" w:rsidRDefault="002D01F4" w:rsidP="00CE7EAB">
      <w:pPr>
        <w:spacing w:after="0" w:line="240" w:lineRule="auto"/>
        <w:ind w:left="5850" w:firstLine="810"/>
        <w:jc w:val="right"/>
        <w:rPr>
          <w:rFonts w:asciiTheme="minorHAnsi" w:hAnsiTheme="minorHAnsi" w:cs="Arial"/>
          <w:sz w:val="22"/>
        </w:rPr>
      </w:pPr>
    </w:p>
    <w:p w:rsidR="001E35D9" w:rsidRPr="001E35D9" w:rsidRDefault="00CE7EAB" w:rsidP="00CE7EAB">
      <w:pPr>
        <w:spacing w:after="0" w:line="240" w:lineRule="auto"/>
        <w:ind w:left="5850" w:firstLine="810"/>
        <w:jc w:val="right"/>
        <w:rPr>
          <w:rFonts w:asciiTheme="minorHAnsi" w:hAnsiTheme="minorHAnsi" w:cs="Arial"/>
          <w:sz w:val="22"/>
        </w:rPr>
      </w:pPr>
      <w:r>
        <w:rPr>
          <w:rFonts w:asciiTheme="minorHAnsi" w:hAnsiTheme="minorHAnsi" w:cs="Arial"/>
          <w:sz w:val="22"/>
        </w:rPr>
        <w:t>Tel: 213.244.</w:t>
      </w:r>
      <w:r w:rsidR="001E35D9">
        <w:rPr>
          <w:rFonts w:asciiTheme="minorHAnsi" w:hAnsiTheme="minorHAnsi" w:cs="Arial"/>
          <w:sz w:val="22"/>
        </w:rPr>
        <w:t xml:space="preserve">2957 </w:t>
      </w:r>
      <w:r w:rsidR="001E35D9" w:rsidRPr="001E35D9">
        <w:rPr>
          <w:rFonts w:asciiTheme="minorHAnsi" w:hAnsiTheme="minorHAnsi" w:cs="Arial"/>
          <w:sz w:val="22"/>
        </w:rPr>
        <w:t xml:space="preserve">                                </w:t>
      </w:r>
      <w:r w:rsidR="001E35D9">
        <w:rPr>
          <w:rFonts w:asciiTheme="minorHAnsi" w:hAnsiTheme="minorHAnsi" w:cs="Arial"/>
          <w:sz w:val="22"/>
        </w:rPr>
        <w:t xml:space="preserve">                                                                    </w:t>
      </w:r>
      <w:r w:rsidRPr="00CE7EAB">
        <w:rPr>
          <w:rFonts w:asciiTheme="minorHAnsi" w:hAnsiTheme="minorHAnsi" w:cs="Arial"/>
          <w:i/>
          <w:sz w:val="22"/>
        </w:rPr>
        <w:t>LAlexander@semprautilities.com</w:t>
      </w:r>
      <w:r w:rsidR="001E35D9" w:rsidRPr="001E35D9">
        <w:rPr>
          <w:rFonts w:asciiTheme="minorHAnsi" w:hAnsiTheme="minorHAnsi" w:cs="Arial"/>
          <w:sz w:val="22"/>
        </w:rPr>
        <w:t xml:space="preserve"> </w:t>
      </w:r>
    </w:p>
    <w:p w:rsidR="001E35D9" w:rsidRDefault="001E35D9" w:rsidP="00CE7EAB">
      <w:pPr>
        <w:spacing w:after="0" w:line="240" w:lineRule="auto"/>
        <w:jc w:val="right"/>
        <w:rPr>
          <w:rFonts w:asciiTheme="minorHAnsi" w:hAnsiTheme="minorHAnsi" w:cs="Times New Roman"/>
          <w:b/>
          <w:szCs w:val="24"/>
        </w:rPr>
      </w:pPr>
      <w:r>
        <w:rPr>
          <w:rFonts w:asciiTheme="minorHAnsi" w:hAnsiTheme="minorHAnsi" w:cs="Times New Roman"/>
          <w:b/>
          <w:szCs w:val="24"/>
        </w:rPr>
        <w:t xml:space="preserve"> </w:t>
      </w:r>
    </w:p>
    <w:p w:rsidR="001E35D9" w:rsidRDefault="001E35D9" w:rsidP="00A71B0C">
      <w:pPr>
        <w:spacing w:after="0" w:line="240" w:lineRule="auto"/>
        <w:jc w:val="center"/>
        <w:rPr>
          <w:rFonts w:asciiTheme="minorHAnsi" w:hAnsiTheme="minorHAnsi" w:cs="Times New Roman"/>
          <w:b/>
          <w:szCs w:val="24"/>
        </w:rPr>
      </w:pPr>
      <w:r>
        <w:rPr>
          <w:rFonts w:asciiTheme="minorHAnsi" w:hAnsiTheme="minorHAnsi" w:cs="Times New Roman"/>
          <w:b/>
          <w:szCs w:val="24"/>
        </w:rPr>
        <w:tab/>
      </w:r>
    </w:p>
    <w:p w:rsidR="00A71B0C" w:rsidRPr="00A71B0C" w:rsidRDefault="00A71B0C" w:rsidP="00E64882">
      <w:pPr>
        <w:spacing w:after="0" w:line="240" w:lineRule="auto"/>
        <w:jc w:val="center"/>
        <w:rPr>
          <w:rFonts w:asciiTheme="minorHAnsi" w:hAnsiTheme="minorHAnsi" w:cs="Times New Roman"/>
          <w:b/>
          <w:szCs w:val="24"/>
        </w:rPr>
      </w:pPr>
      <w:r w:rsidRPr="00A71B0C">
        <w:rPr>
          <w:rFonts w:asciiTheme="minorHAnsi" w:hAnsiTheme="minorHAnsi" w:cs="Times New Roman"/>
          <w:b/>
          <w:szCs w:val="24"/>
        </w:rPr>
        <w:t>BEFORE THE</w:t>
      </w:r>
    </w:p>
    <w:p w:rsidR="00A71B0C" w:rsidRPr="00A71B0C" w:rsidRDefault="00A71B0C" w:rsidP="00A71B0C">
      <w:pPr>
        <w:spacing w:after="0" w:line="240" w:lineRule="auto"/>
        <w:jc w:val="center"/>
        <w:rPr>
          <w:rFonts w:asciiTheme="minorHAnsi" w:hAnsiTheme="minorHAnsi" w:cs="Times New Roman"/>
          <w:b/>
          <w:szCs w:val="24"/>
        </w:rPr>
      </w:pPr>
      <w:r w:rsidRPr="00A71B0C">
        <w:rPr>
          <w:rFonts w:asciiTheme="minorHAnsi" w:hAnsiTheme="minorHAnsi" w:cs="Times New Roman"/>
          <w:b/>
          <w:szCs w:val="24"/>
        </w:rPr>
        <w:t>OFFICE OF ENERGY EFFICIENCY AND RENEWABLE ENERGY</w:t>
      </w:r>
    </w:p>
    <w:p w:rsidR="00A71B0C" w:rsidRPr="00A71B0C" w:rsidRDefault="00A71B0C" w:rsidP="00A71B0C">
      <w:pPr>
        <w:spacing w:after="0" w:line="240" w:lineRule="auto"/>
        <w:jc w:val="center"/>
        <w:rPr>
          <w:rFonts w:asciiTheme="minorHAnsi" w:hAnsiTheme="minorHAnsi" w:cs="Times New Roman"/>
          <w:b/>
          <w:szCs w:val="24"/>
        </w:rPr>
      </w:pPr>
      <w:r w:rsidRPr="00A71B0C">
        <w:rPr>
          <w:rFonts w:asciiTheme="minorHAnsi" w:hAnsiTheme="minorHAnsi" w:cs="Times New Roman"/>
          <w:b/>
          <w:szCs w:val="24"/>
        </w:rPr>
        <w:t>UNITED STATES DEPARTMENT OF ENERGY</w:t>
      </w:r>
    </w:p>
    <w:p w:rsidR="00A71B0C" w:rsidRPr="00A71B0C" w:rsidRDefault="00A71B0C" w:rsidP="00A71B0C">
      <w:pPr>
        <w:spacing w:after="0" w:line="240" w:lineRule="auto"/>
        <w:jc w:val="center"/>
        <w:rPr>
          <w:rFonts w:asciiTheme="minorHAnsi" w:hAnsiTheme="minorHAnsi" w:cs="Times New Roman"/>
          <w:b/>
          <w:szCs w:val="24"/>
        </w:rPr>
      </w:pPr>
      <w:r w:rsidRPr="00A71B0C">
        <w:rPr>
          <w:rFonts w:asciiTheme="minorHAnsi" w:hAnsiTheme="minorHAnsi" w:cs="Times New Roman"/>
          <w:b/>
          <w:szCs w:val="24"/>
        </w:rPr>
        <w:t>WASHINGTON, DC</w:t>
      </w:r>
    </w:p>
    <w:p w:rsidR="00A71B0C" w:rsidRPr="00A71B0C" w:rsidRDefault="00A71B0C" w:rsidP="00A71B0C">
      <w:pPr>
        <w:spacing w:after="0" w:line="240" w:lineRule="auto"/>
        <w:jc w:val="center"/>
        <w:rPr>
          <w:rFonts w:asciiTheme="minorHAnsi" w:hAnsiTheme="minorHAnsi" w:cs="Times New Roman"/>
          <w:b/>
          <w:szCs w:val="24"/>
        </w:rPr>
      </w:pPr>
    </w:p>
    <w:p w:rsidR="00A71B0C" w:rsidRPr="00A71B0C" w:rsidRDefault="00A71B0C" w:rsidP="00A71B0C">
      <w:pPr>
        <w:tabs>
          <w:tab w:val="left" w:pos="4320"/>
        </w:tabs>
        <w:spacing w:after="0" w:line="240" w:lineRule="auto"/>
        <w:rPr>
          <w:rFonts w:asciiTheme="minorHAnsi" w:hAnsiTheme="minorHAnsi" w:cs="Times New Roman"/>
          <w:b/>
          <w:szCs w:val="24"/>
        </w:rPr>
      </w:pPr>
      <w:r w:rsidRPr="00A71B0C">
        <w:rPr>
          <w:rFonts w:asciiTheme="minorHAnsi" w:hAnsiTheme="minorHAnsi" w:cs="Times New Roman"/>
          <w:b/>
          <w:szCs w:val="24"/>
        </w:rPr>
        <w:t>Energy Conservation Program</w:t>
      </w:r>
      <w:r w:rsidRPr="00A71B0C">
        <w:rPr>
          <w:rFonts w:asciiTheme="minorHAnsi" w:hAnsiTheme="minorHAnsi" w:cs="Times New Roman"/>
          <w:b/>
          <w:szCs w:val="24"/>
        </w:rPr>
        <w:tab/>
        <w:t>)</w:t>
      </w:r>
      <w:r w:rsidRPr="00A71B0C">
        <w:rPr>
          <w:rFonts w:asciiTheme="minorHAnsi" w:hAnsiTheme="minorHAnsi" w:cs="Times New Roman"/>
          <w:b/>
          <w:szCs w:val="24"/>
        </w:rPr>
        <w:tab/>
      </w:r>
      <w:r w:rsidRPr="00A71B0C">
        <w:rPr>
          <w:rFonts w:asciiTheme="minorHAnsi" w:hAnsiTheme="minorHAnsi" w:cs="Times New Roman"/>
          <w:b/>
          <w:szCs w:val="24"/>
        </w:rPr>
        <w:tab/>
      </w:r>
    </w:p>
    <w:p w:rsidR="00A71B0C" w:rsidRPr="00DC6AB4" w:rsidRDefault="00A71B0C" w:rsidP="00A71B0C">
      <w:pPr>
        <w:tabs>
          <w:tab w:val="left" w:pos="4320"/>
          <w:tab w:val="left" w:pos="5400"/>
        </w:tabs>
        <w:spacing w:after="0" w:line="240" w:lineRule="auto"/>
        <w:rPr>
          <w:rFonts w:asciiTheme="minorHAnsi" w:hAnsiTheme="minorHAnsi" w:cs="Times New Roman"/>
          <w:b/>
          <w:szCs w:val="24"/>
        </w:rPr>
      </w:pPr>
      <w:r w:rsidRPr="00A71B0C">
        <w:rPr>
          <w:rFonts w:asciiTheme="minorHAnsi" w:hAnsiTheme="minorHAnsi" w:cs="Times New Roman"/>
          <w:b/>
          <w:szCs w:val="24"/>
        </w:rPr>
        <w:t>for Consumer Products:</w:t>
      </w:r>
      <w:proofErr w:type="gramStart"/>
      <w:r w:rsidRPr="00A71B0C">
        <w:rPr>
          <w:rFonts w:asciiTheme="minorHAnsi" w:hAnsiTheme="minorHAnsi" w:cs="Times New Roman"/>
          <w:b/>
          <w:szCs w:val="24"/>
        </w:rPr>
        <w:tab/>
        <w:t xml:space="preserve">)   </w:t>
      </w:r>
      <w:proofErr w:type="gramEnd"/>
      <w:r w:rsidRPr="00A71B0C">
        <w:rPr>
          <w:rFonts w:asciiTheme="minorHAnsi" w:hAnsiTheme="minorHAnsi" w:cs="Times New Roman"/>
          <w:b/>
          <w:szCs w:val="24"/>
        </w:rPr>
        <w:t xml:space="preserve">  </w:t>
      </w:r>
      <w:r w:rsidRPr="00A71B0C">
        <w:rPr>
          <w:rFonts w:asciiTheme="minorHAnsi" w:hAnsiTheme="minorHAnsi" w:cs="Times New Roman"/>
          <w:b/>
          <w:szCs w:val="24"/>
        </w:rPr>
        <w:tab/>
      </w:r>
      <w:r w:rsidRPr="00DC6AB4">
        <w:rPr>
          <w:rFonts w:asciiTheme="minorHAnsi" w:hAnsiTheme="minorHAnsi" w:cs="Times New Roman"/>
          <w:b/>
          <w:szCs w:val="24"/>
        </w:rPr>
        <w:t>Docket No. EERE-2014-BT-STD-0031</w:t>
      </w:r>
    </w:p>
    <w:p w:rsidR="00A71B0C" w:rsidRPr="00DC6AB4" w:rsidRDefault="00A71B0C" w:rsidP="00A71B0C">
      <w:pPr>
        <w:tabs>
          <w:tab w:val="left" w:pos="4320"/>
          <w:tab w:val="left" w:pos="5400"/>
        </w:tabs>
        <w:spacing w:after="0" w:line="240" w:lineRule="auto"/>
        <w:rPr>
          <w:rFonts w:asciiTheme="minorHAnsi" w:hAnsiTheme="minorHAnsi" w:cs="Times New Roman"/>
          <w:b/>
          <w:szCs w:val="24"/>
        </w:rPr>
      </w:pPr>
      <w:r w:rsidRPr="00DC6AB4">
        <w:rPr>
          <w:rFonts w:asciiTheme="minorHAnsi" w:hAnsiTheme="minorHAnsi" w:cs="Times New Roman"/>
          <w:b/>
          <w:szCs w:val="24"/>
        </w:rPr>
        <w:t>Energy Conservation Standards</w:t>
      </w:r>
      <w:proofErr w:type="gramStart"/>
      <w:r w:rsidRPr="00DC6AB4">
        <w:rPr>
          <w:rFonts w:asciiTheme="minorHAnsi" w:hAnsiTheme="minorHAnsi" w:cs="Times New Roman"/>
          <w:b/>
          <w:szCs w:val="24"/>
        </w:rPr>
        <w:tab/>
        <w:t xml:space="preserve">)   </w:t>
      </w:r>
      <w:proofErr w:type="gramEnd"/>
      <w:r w:rsidRPr="00DC6AB4">
        <w:rPr>
          <w:rFonts w:asciiTheme="minorHAnsi" w:hAnsiTheme="minorHAnsi" w:cs="Times New Roman"/>
          <w:b/>
          <w:szCs w:val="24"/>
        </w:rPr>
        <w:t xml:space="preserve">  </w:t>
      </w:r>
      <w:r w:rsidRPr="00DC6AB4">
        <w:rPr>
          <w:rFonts w:asciiTheme="minorHAnsi" w:hAnsiTheme="minorHAnsi" w:cs="Times New Roman"/>
          <w:b/>
          <w:szCs w:val="24"/>
        </w:rPr>
        <w:tab/>
        <w:t>RIN 190</w:t>
      </w:r>
      <w:r w:rsidR="00172A04" w:rsidRPr="00DC6AB4">
        <w:rPr>
          <w:rFonts w:asciiTheme="minorHAnsi" w:hAnsiTheme="minorHAnsi" w:cs="Times New Roman"/>
          <w:b/>
          <w:szCs w:val="24"/>
        </w:rPr>
        <w:t>4</w:t>
      </w:r>
      <w:r w:rsidRPr="00DC6AB4">
        <w:rPr>
          <w:rFonts w:asciiTheme="minorHAnsi" w:hAnsiTheme="minorHAnsi" w:cs="Times New Roman"/>
          <w:b/>
          <w:szCs w:val="24"/>
        </w:rPr>
        <w:t>-AD20</w:t>
      </w:r>
    </w:p>
    <w:p w:rsidR="00A71B0C" w:rsidRPr="00A71B0C" w:rsidRDefault="00A71B0C" w:rsidP="00A71B0C">
      <w:pPr>
        <w:tabs>
          <w:tab w:val="left" w:pos="4320"/>
        </w:tabs>
        <w:spacing w:after="0" w:line="240" w:lineRule="auto"/>
        <w:rPr>
          <w:rFonts w:asciiTheme="minorHAnsi" w:hAnsiTheme="minorHAnsi" w:cs="Times New Roman"/>
          <w:b/>
          <w:szCs w:val="24"/>
        </w:rPr>
      </w:pPr>
      <w:r w:rsidRPr="00DC6AB4">
        <w:rPr>
          <w:rFonts w:asciiTheme="minorHAnsi" w:hAnsiTheme="minorHAnsi" w:cs="Times New Roman"/>
          <w:b/>
          <w:szCs w:val="24"/>
        </w:rPr>
        <w:t>For Residential Furnaces</w:t>
      </w:r>
      <w:r w:rsidRPr="00DC6AB4">
        <w:rPr>
          <w:rFonts w:asciiTheme="minorHAnsi" w:hAnsiTheme="minorHAnsi" w:cs="Times New Roman"/>
          <w:b/>
          <w:szCs w:val="24"/>
        </w:rPr>
        <w:tab/>
        <w:t>)</w:t>
      </w:r>
    </w:p>
    <w:p w:rsidR="003D25DE" w:rsidRDefault="003D25DE">
      <w:pPr>
        <w:rPr>
          <w:rFonts w:asciiTheme="minorHAnsi" w:hAnsiTheme="minorHAnsi"/>
        </w:rPr>
      </w:pPr>
    </w:p>
    <w:p w:rsidR="00A71B0C" w:rsidRDefault="00A71B0C" w:rsidP="00A71B0C">
      <w:pPr>
        <w:jc w:val="center"/>
        <w:rPr>
          <w:rFonts w:asciiTheme="minorHAnsi" w:hAnsiTheme="minorHAnsi"/>
          <w:b/>
        </w:rPr>
      </w:pPr>
      <w:r>
        <w:rPr>
          <w:rFonts w:asciiTheme="minorHAnsi" w:hAnsiTheme="minorHAnsi"/>
          <w:b/>
        </w:rPr>
        <w:t>SOUTHERN CALIFORNIA GAS (SoCalGas®) COMMENTS:</w:t>
      </w:r>
    </w:p>
    <w:p w:rsidR="0052396C" w:rsidRDefault="00A71B0C" w:rsidP="00FA2887">
      <w:pPr>
        <w:spacing w:line="240" w:lineRule="auto"/>
        <w:rPr>
          <w:rFonts w:asciiTheme="minorHAnsi" w:hAnsiTheme="minorHAnsi" w:cstheme="minorHAnsi"/>
          <w:sz w:val="22"/>
        </w:rPr>
      </w:pPr>
      <w:r w:rsidRPr="00965BC5">
        <w:rPr>
          <w:rFonts w:asciiTheme="minorHAnsi" w:hAnsiTheme="minorHAnsi"/>
          <w:sz w:val="22"/>
        </w:rPr>
        <w:t xml:space="preserve">In response to the United States Department of Energy’s (DOE) </w:t>
      </w:r>
      <w:r w:rsidR="005E6A8A" w:rsidRPr="00965BC5">
        <w:rPr>
          <w:rFonts w:asciiTheme="minorHAnsi" w:hAnsiTheme="minorHAnsi"/>
          <w:sz w:val="22"/>
        </w:rPr>
        <w:t xml:space="preserve">Supplemental </w:t>
      </w:r>
      <w:r w:rsidRPr="00965BC5">
        <w:rPr>
          <w:rFonts w:asciiTheme="minorHAnsi" w:hAnsiTheme="minorHAnsi"/>
          <w:sz w:val="22"/>
        </w:rPr>
        <w:t>Notice of Proposed Rulemaking (</w:t>
      </w:r>
      <w:r w:rsidR="005E6A8A" w:rsidRPr="00965BC5">
        <w:rPr>
          <w:rFonts w:asciiTheme="minorHAnsi" w:hAnsiTheme="minorHAnsi"/>
          <w:sz w:val="22"/>
        </w:rPr>
        <w:t>S</w:t>
      </w:r>
      <w:r w:rsidRPr="00965BC5">
        <w:rPr>
          <w:rFonts w:asciiTheme="minorHAnsi" w:hAnsiTheme="minorHAnsi"/>
          <w:sz w:val="22"/>
        </w:rPr>
        <w:t xml:space="preserve">NOPR) regarding non-weatherized gas furnaces (NWGF) and mobile home gas furnaces (MHGF), </w:t>
      </w:r>
      <w:r w:rsidR="005E6A8A" w:rsidRPr="00965BC5">
        <w:rPr>
          <w:rFonts w:asciiTheme="minorHAnsi" w:hAnsiTheme="minorHAnsi"/>
          <w:sz w:val="22"/>
        </w:rPr>
        <w:t xml:space="preserve">as well as the introduction of a separate product class for non-condensing furnaces with a designated input rating threshold, </w:t>
      </w:r>
      <w:r w:rsidRPr="00965BC5">
        <w:rPr>
          <w:rFonts w:asciiTheme="minorHAnsi" w:hAnsiTheme="minorHAnsi"/>
          <w:sz w:val="22"/>
        </w:rPr>
        <w:t xml:space="preserve">SoCalGas respectfully submits our </w:t>
      </w:r>
      <w:r w:rsidR="00E75650" w:rsidRPr="00965BC5">
        <w:rPr>
          <w:rFonts w:asciiTheme="minorHAnsi" w:hAnsiTheme="minorHAnsi"/>
          <w:sz w:val="22"/>
        </w:rPr>
        <w:t xml:space="preserve">comments and </w:t>
      </w:r>
      <w:r w:rsidRPr="00965BC5">
        <w:rPr>
          <w:rFonts w:asciiTheme="minorHAnsi" w:hAnsiTheme="minorHAnsi"/>
          <w:sz w:val="22"/>
        </w:rPr>
        <w:t xml:space="preserve">analyses on the impact to our customers should this standard advance.  </w:t>
      </w:r>
      <w:r w:rsidR="0052396C" w:rsidRPr="00627920">
        <w:rPr>
          <w:rFonts w:asciiTheme="minorHAnsi" w:hAnsiTheme="minorHAnsi" w:cstheme="minorHAnsi"/>
          <w:sz w:val="22"/>
        </w:rPr>
        <w:t xml:space="preserve">We commend DOE for revisiting energy conservation standards for residential </w:t>
      </w:r>
      <w:r w:rsidR="0052396C">
        <w:rPr>
          <w:rFonts w:asciiTheme="minorHAnsi" w:hAnsiTheme="minorHAnsi" w:cstheme="minorHAnsi"/>
          <w:sz w:val="22"/>
        </w:rPr>
        <w:t>furnaces</w:t>
      </w:r>
      <w:r w:rsidR="000A5206">
        <w:rPr>
          <w:rFonts w:asciiTheme="minorHAnsi" w:hAnsiTheme="minorHAnsi" w:cstheme="minorHAnsi"/>
          <w:sz w:val="22"/>
        </w:rPr>
        <w:t xml:space="preserve"> and</w:t>
      </w:r>
      <w:r w:rsidR="000A5206" w:rsidRPr="00627920">
        <w:rPr>
          <w:rFonts w:asciiTheme="minorHAnsi" w:hAnsiTheme="minorHAnsi" w:cstheme="minorHAnsi"/>
          <w:sz w:val="22"/>
        </w:rPr>
        <w:t xml:space="preserve"> appreciate this opportunity to provide the following comments about this SNOPR.</w:t>
      </w:r>
    </w:p>
    <w:p w:rsidR="00A71B0C" w:rsidRPr="00965BC5" w:rsidRDefault="00A71B0C" w:rsidP="00FA2887">
      <w:pPr>
        <w:pStyle w:val="NoSpacing"/>
        <w:rPr>
          <w:rFonts w:asciiTheme="minorHAnsi" w:eastAsia="Times New Roman" w:hAnsiTheme="minorHAnsi" w:cs="Times New Roman"/>
          <w:sz w:val="22"/>
        </w:rPr>
      </w:pPr>
      <w:r w:rsidRPr="00965BC5">
        <w:rPr>
          <w:rFonts w:asciiTheme="minorHAnsi" w:eastAsia="Times New Roman" w:hAnsiTheme="minorHAnsi" w:cs="Times New Roman"/>
          <w:sz w:val="22"/>
          <w:lang w:val="en"/>
        </w:rPr>
        <w:t xml:space="preserve">SoCalGas has been delivering clean, safe and reliable natural gas to its customers for more than 140 years. </w:t>
      </w:r>
      <w:r w:rsidR="00B70D3C" w:rsidRPr="00965BC5">
        <w:rPr>
          <w:rFonts w:asciiTheme="minorHAnsi" w:eastAsia="Times New Roman" w:hAnsiTheme="minorHAnsi" w:cs="Times New Roman"/>
          <w:sz w:val="22"/>
          <w:lang w:val="en"/>
        </w:rPr>
        <w:t>We are</w:t>
      </w:r>
      <w:r w:rsidRPr="00965BC5">
        <w:rPr>
          <w:rFonts w:asciiTheme="minorHAnsi" w:eastAsia="Times New Roman" w:hAnsiTheme="minorHAnsi" w:cs="Times New Roman"/>
          <w:sz w:val="22"/>
          <w:lang w:val="en"/>
        </w:rPr>
        <w:t xml:space="preserv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965BC5">
        <w:rPr>
          <w:rFonts w:asciiTheme="minorHAnsi" w:eastAsia="Times New Roman" w:hAnsiTheme="minorHAnsi" w:cs="Arial"/>
          <w:sz w:val="22"/>
          <w:lang w:val="en"/>
        </w:rPr>
        <w:t>.</w:t>
      </w:r>
    </w:p>
    <w:p w:rsidR="00A71B0C" w:rsidRPr="00965BC5" w:rsidRDefault="00A71B0C" w:rsidP="00FA2887">
      <w:pPr>
        <w:pStyle w:val="NoSpacing"/>
        <w:rPr>
          <w:rFonts w:asciiTheme="minorHAnsi" w:eastAsia="Times New Roman" w:hAnsiTheme="minorHAnsi" w:cs="Times New Roman"/>
          <w:sz w:val="22"/>
        </w:rPr>
      </w:pPr>
    </w:p>
    <w:p w:rsidR="00A71B0C" w:rsidRPr="00965BC5" w:rsidRDefault="00E75650" w:rsidP="00FA2887">
      <w:pPr>
        <w:pStyle w:val="NoSpacing"/>
        <w:rPr>
          <w:rFonts w:asciiTheme="minorHAnsi" w:eastAsia="Times New Roman" w:hAnsiTheme="minorHAnsi" w:cs="Times New Roman"/>
          <w:sz w:val="22"/>
        </w:rPr>
      </w:pPr>
      <w:r w:rsidRPr="000A5206">
        <w:rPr>
          <w:rFonts w:asciiTheme="minorHAnsi" w:eastAsia="Times New Roman" w:hAnsiTheme="minorHAnsi" w:cs="Times New Roman"/>
          <w:sz w:val="22"/>
        </w:rPr>
        <w:t xml:space="preserve">California leads the </w:t>
      </w:r>
      <w:r w:rsidR="00172A04" w:rsidRPr="000A5206">
        <w:rPr>
          <w:rFonts w:asciiTheme="minorHAnsi" w:eastAsia="Times New Roman" w:hAnsiTheme="minorHAnsi" w:cs="Times New Roman"/>
          <w:sz w:val="22"/>
        </w:rPr>
        <w:t>n</w:t>
      </w:r>
      <w:r w:rsidRPr="000A5206">
        <w:rPr>
          <w:rFonts w:asciiTheme="minorHAnsi" w:eastAsia="Times New Roman" w:hAnsiTheme="minorHAnsi" w:cs="Times New Roman"/>
          <w:sz w:val="22"/>
        </w:rPr>
        <w:t>ation in energy policy</w:t>
      </w:r>
      <w:r w:rsidR="00CC2A13" w:rsidRPr="000A5206">
        <w:rPr>
          <w:rFonts w:asciiTheme="minorHAnsi" w:eastAsia="Times New Roman" w:hAnsiTheme="minorHAnsi" w:cs="Times New Roman"/>
          <w:sz w:val="22"/>
        </w:rPr>
        <w:t>.</w:t>
      </w:r>
      <w:r w:rsidR="001664F3" w:rsidRPr="000A5206">
        <w:rPr>
          <w:rFonts w:asciiTheme="minorHAnsi" w:eastAsia="Times New Roman" w:hAnsiTheme="minorHAnsi" w:cs="Times New Roman"/>
          <w:sz w:val="22"/>
        </w:rPr>
        <w:t xml:space="preserve">  </w:t>
      </w:r>
      <w:r w:rsidR="00CC2A13" w:rsidRPr="000A5206">
        <w:rPr>
          <w:rFonts w:asciiTheme="minorHAnsi" w:eastAsia="Times New Roman" w:hAnsiTheme="minorHAnsi" w:cs="Times New Roman"/>
          <w:sz w:val="22"/>
        </w:rPr>
        <w:t>T</w:t>
      </w:r>
      <w:r w:rsidRPr="000A5206">
        <w:rPr>
          <w:rFonts w:asciiTheme="minorHAnsi" w:eastAsia="Times New Roman" w:hAnsiTheme="minorHAnsi" w:cs="Times New Roman"/>
          <w:sz w:val="22"/>
        </w:rPr>
        <w:t xml:space="preserve">he state’s Investor Owned Utilities are advancing energy efficiency not only </w:t>
      </w:r>
      <w:r w:rsidR="001B368A" w:rsidRPr="000A5206">
        <w:rPr>
          <w:rFonts w:asciiTheme="minorHAnsi" w:eastAsia="Times New Roman" w:hAnsiTheme="minorHAnsi" w:cs="Times New Roman"/>
          <w:sz w:val="22"/>
        </w:rPr>
        <w:t>to</w:t>
      </w:r>
      <w:r w:rsidRPr="000A5206">
        <w:rPr>
          <w:rFonts w:asciiTheme="minorHAnsi" w:eastAsia="Times New Roman" w:hAnsiTheme="minorHAnsi" w:cs="Times New Roman"/>
          <w:sz w:val="22"/>
        </w:rPr>
        <w:t xml:space="preserve"> protect the environment but also to serve our re</w:t>
      </w:r>
      <w:r w:rsidR="00CC2A13" w:rsidRPr="000A5206">
        <w:rPr>
          <w:rFonts w:asciiTheme="minorHAnsi" w:eastAsia="Times New Roman" w:hAnsiTheme="minorHAnsi" w:cs="Times New Roman"/>
          <w:sz w:val="22"/>
        </w:rPr>
        <w:t>sidential, commercial and industrial</w:t>
      </w:r>
      <w:r w:rsidRPr="000A5206">
        <w:rPr>
          <w:rFonts w:asciiTheme="minorHAnsi" w:eastAsia="Times New Roman" w:hAnsiTheme="minorHAnsi" w:cs="Times New Roman"/>
          <w:sz w:val="22"/>
        </w:rPr>
        <w:t xml:space="preserve"> customers.  For decades, SoCalGas has been actively pursuing</w:t>
      </w:r>
      <w:r w:rsidR="00CC2A13" w:rsidRPr="000A5206">
        <w:rPr>
          <w:rFonts w:asciiTheme="minorHAnsi" w:eastAsia="Times New Roman" w:hAnsiTheme="minorHAnsi" w:cs="Times New Roman"/>
          <w:sz w:val="22"/>
        </w:rPr>
        <w:t xml:space="preserve"> strategies to promote the</w:t>
      </w:r>
      <w:r w:rsidRPr="000A5206">
        <w:rPr>
          <w:rFonts w:asciiTheme="minorHAnsi" w:eastAsia="Times New Roman" w:hAnsiTheme="minorHAnsi" w:cs="Times New Roman"/>
          <w:sz w:val="22"/>
        </w:rPr>
        <w:t xml:space="preserve"> efficient </w:t>
      </w:r>
      <w:r w:rsidR="00CC2A13" w:rsidRPr="000A5206">
        <w:rPr>
          <w:rFonts w:asciiTheme="minorHAnsi" w:eastAsia="Times New Roman" w:hAnsiTheme="minorHAnsi" w:cs="Times New Roman"/>
          <w:sz w:val="22"/>
        </w:rPr>
        <w:t xml:space="preserve">use of </w:t>
      </w:r>
      <w:r w:rsidRPr="000A5206">
        <w:rPr>
          <w:rFonts w:asciiTheme="minorHAnsi" w:eastAsia="Times New Roman" w:hAnsiTheme="minorHAnsi" w:cs="Times New Roman"/>
          <w:sz w:val="22"/>
        </w:rPr>
        <w:t xml:space="preserve">natural gas </w:t>
      </w:r>
      <w:r w:rsidR="00CC2A13" w:rsidRPr="000A5206">
        <w:rPr>
          <w:rFonts w:asciiTheme="minorHAnsi" w:eastAsia="Times New Roman" w:hAnsiTheme="minorHAnsi" w:cs="Times New Roman"/>
          <w:sz w:val="22"/>
        </w:rPr>
        <w:t>and</w:t>
      </w:r>
      <w:r w:rsidRPr="000A5206">
        <w:rPr>
          <w:rFonts w:asciiTheme="minorHAnsi" w:eastAsia="Times New Roman" w:hAnsiTheme="minorHAnsi" w:cs="Times New Roman"/>
          <w:sz w:val="22"/>
        </w:rPr>
        <w:t xml:space="preserve"> energy efficiency</w:t>
      </w:r>
      <w:r w:rsidR="00CC2A13" w:rsidRPr="000A5206">
        <w:rPr>
          <w:rFonts w:asciiTheme="minorHAnsi" w:eastAsia="Times New Roman" w:hAnsiTheme="minorHAnsi" w:cs="Times New Roman"/>
          <w:sz w:val="22"/>
        </w:rPr>
        <w:t>.</w:t>
      </w:r>
      <w:r w:rsidR="001664F3" w:rsidRPr="000A5206">
        <w:rPr>
          <w:rFonts w:asciiTheme="minorHAnsi" w:eastAsia="Times New Roman" w:hAnsiTheme="minorHAnsi" w:cs="Times New Roman"/>
          <w:sz w:val="22"/>
        </w:rPr>
        <w:t xml:space="preserve">  </w:t>
      </w:r>
      <w:r w:rsidR="00CC2A13" w:rsidRPr="000A5206">
        <w:rPr>
          <w:rFonts w:asciiTheme="minorHAnsi" w:eastAsia="Times New Roman" w:hAnsiTheme="minorHAnsi" w:cs="Times New Roman"/>
          <w:sz w:val="22"/>
        </w:rPr>
        <w:t>We have</w:t>
      </w:r>
      <w:r w:rsidRPr="000A5206">
        <w:rPr>
          <w:rFonts w:asciiTheme="minorHAnsi" w:eastAsia="Times New Roman" w:hAnsiTheme="minorHAnsi" w:cs="Times New Roman"/>
          <w:sz w:val="22"/>
        </w:rPr>
        <w:t xml:space="preserve"> driv</w:t>
      </w:r>
      <w:r w:rsidR="00CC2A13" w:rsidRPr="000A5206">
        <w:rPr>
          <w:rFonts w:asciiTheme="minorHAnsi" w:eastAsia="Times New Roman" w:hAnsiTheme="minorHAnsi" w:cs="Times New Roman"/>
          <w:sz w:val="22"/>
        </w:rPr>
        <w:t>en</w:t>
      </w:r>
      <w:r w:rsidRPr="000A5206">
        <w:rPr>
          <w:rFonts w:asciiTheme="minorHAnsi" w:eastAsia="Times New Roman" w:hAnsiTheme="minorHAnsi" w:cs="Times New Roman"/>
          <w:sz w:val="22"/>
        </w:rPr>
        <w:t xml:space="preserve"> advancements in natural gas equipment and low emissions technologies a</w:t>
      </w:r>
      <w:r w:rsidR="00CC2A13" w:rsidRPr="000A5206">
        <w:rPr>
          <w:rFonts w:asciiTheme="minorHAnsi" w:eastAsia="Times New Roman" w:hAnsiTheme="minorHAnsi" w:cs="Times New Roman"/>
          <w:sz w:val="22"/>
        </w:rPr>
        <w:t>nd</w:t>
      </w:r>
      <w:r w:rsidRPr="000A5206">
        <w:rPr>
          <w:rFonts w:asciiTheme="minorHAnsi" w:eastAsia="Times New Roman" w:hAnsiTheme="minorHAnsi" w:cs="Times New Roman"/>
          <w:sz w:val="22"/>
        </w:rPr>
        <w:t xml:space="preserve"> inves</w:t>
      </w:r>
      <w:r w:rsidR="00CC2A13" w:rsidRPr="000A5206">
        <w:rPr>
          <w:rFonts w:asciiTheme="minorHAnsi" w:eastAsia="Times New Roman" w:hAnsiTheme="minorHAnsi" w:cs="Times New Roman"/>
          <w:sz w:val="22"/>
        </w:rPr>
        <w:t xml:space="preserve">ted significantly </w:t>
      </w:r>
      <w:r w:rsidR="000A5206">
        <w:rPr>
          <w:rFonts w:asciiTheme="minorHAnsi" w:eastAsia="Times New Roman" w:hAnsiTheme="minorHAnsi" w:cs="Times New Roman"/>
          <w:sz w:val="22"/>
        </w:rPr>
        <w:t xml:space="preserve">in the advancement towards </w:t>
      </w:r>
      <w:r w:rsidRPr="000A5206">
        <w:rPr>
          <w:rFonts w:asciiTheme="minorHAnsi" w:eastAsia="Times New Roman" w:hAnsiTheme="minorHAnsi" w:cs="Times New Roman"/>
          <w:sz w:val="22"/>
        </w:rPr>
        <w:t>renewable natural gas and distributed generation.</w:t>
      </w:r>
    </w:p>
    <w:p w:rsidR="004954D6" w:rsidRPr="00965BC5" w:rsidRDefault="004954D6">
      <w:pPr>
        <w:pStyle w:val="NoSpacing"/>
        <w:rPr>
          <w:rFonts w:asciiTheme="minorHAnsi" w:eastAsia="Times New Roman" w:hAnsiTheme="minorHAnsi" w:cs="Times New Roman"/>
          <w:sz w:val="22"/>
        </w:rPr>
      </w:pPr>
    </w:p>
    <w:p w:rsidR="00A90D19" w:rsidRDefault="005341E7">
      <w:pPr>
        <w:pStyle w:val="NoSpacing"/>
        <w:rPr>
          <w:rFonts w:asciiTheme="minorHAnsi" w:eastAsia="Times New Roman" w:hAnsiTheme="minorHAnsi" w:cs="Times New Roman"/>
          <w:sz w:val="22"/>
        </w:rPr>
      </w:pPr>
      <w:r>
        <w:rPr>
          <w:rFonts w:asciiTheme="minorHAnsi" w:eastAsia="Times New Roman" w:hAnsiTheme="minorHAnsi" w:cs="Times New Roman"/>
          <w:sz w:val="22"/>
        </w:rPr>
        <w:t xml:space="preserve">We appreciate the DOE’s efforts to find a resolution by recommending a split standard. However, the analysis shows that even with the split standard, it continues to be an economic hardship </w:t>
      </w:r>
      <w:r w:rsidRPr="00965BC5">
        <w:rPr>
          <w:rFonts w:asciiTheme="minorHAnsi" w:eastAsia="Times New Roman" w:hAnsiTheme="minorHAnsi" w:cs="Times New Roman"/>
          <w:sz w:val="22"/>
        </w:rPr>
        <w:t>o</w:t>
      </w:r>
      <w:r>
        <w:rPr>
          <w:rFonts w:asciiTheme="minorHAnsi" w:eastAsia="Times New Roman" w:hAnsiTheme="minorHAnsi" w:cs="Times New Roman"/>
          <w:sz w:val="22"/>
        </w:rPr>
        <w:t>n Southern California customers.</w:t>
      </w:r>
      <w:r w:rsidRPr="00965BC5">
        <w:rPr>
          <w:rFonts w:asciiTheme="minorHAnsi" w:eastAsia="Times New Roman" w:hAnsiTheme="minorHAnsi" w:cs="Times New Roman"/>
          <w:sz w:val="22"/>
        </w:rPr>
        <w:t xml:space="preserve">  </w:t>
      </w:r>
      <w:r w:rsidR="008A4080" w:rsidRPr="00965BC5">
        <w:rPr>
          <w:rFonts w:asciiTheme="minorHAnsi" w:eastAsia="Times New Roman" w:hAnsiTheme="minorHAnsi" w:cs="Times New Roman"/>
          <w:sz w:val="22"/>
        </w:rPr>
        <w:t>SoCalGas</w:t>
      </w:r>
      <w:r w:rsidR="000F14D6" w:rsidRPr="00965BC5">
        <w:rPr>
          <w:rFonts w:asciiTheme="minorHAnsi" w:eastAsia="Times New Roman" w:hAnsiTheme="minorHAnsi" w:cs="Times New Roman"/>
          <w:sz w:val="22"/>
        </w:rPr>
        <w:t xml:space="preserve"> </w:t>
      </w:r>
      <w:r w:rsidR="004D69FF">
        <w:rPr>
          <w:rFonts w:asciiTheme="minorHAnsi" w:eastAsia="Times New Roman" w:hAnsiTheme="minorHAnsi" w:cs="Times New Roman"/>
          <w:sz w:val="22"/>
        </w:rPr>
        <w:t>submitted</w:t>
      </w:r>
      <w:r w:rsidR="004D69FF" w:rsidRPr="00965BC5">
        <w:rPr>
          <w:rFonts w:asciiTheme="minorHAnsi" w:eastAsia="Times New Roman" w:hAnsiTheme="minorHAnsi" w:cs="Times New Roman"/>
          <w:sz w:val="22"/>
        </w:rPr>
        <w:t xml:space="preserve"> </w:t>
      </w:r>
      <w:r w:rsidR="000F14D6" w:rsidRPr="00965BC5">
        <w:rPr>
          <w:rFonts w:asciiTheme="minorHAnsi" w:eastAsia="Times New Roman" w:hAnsiTheme="minorHAnsi" w:cs="Times New Roman"/>
          <w:sz w:val="22"/>
        </w:rPr>
        <w:t>two sets of analyses to the original NOPR that provided</w:t>
      </w:r>
      <w:r w:rsidR="00172A04" w:rsidRPr="00965BC5">
        <w:rPr>
          <w:rFonts w:asciiTheme="minorHAnsi" w:eastAsia="Times New Roman" w:hAnsiTheme="minorHAnsi" w:cs="Times New Roman"/>
          <w:sz w:val="22"/>
        </w:rPr>
        <w:t xml:space="preserve"> </w:t>
      </w:r>
      <w:r w:rsidR="000F14D6" w:rsidRPr="00965BC5">
        <w:rPr>
          <w:rFonts w:asciiTheme="minorHAnsi" w:eastAsia="Times New Roman" w:hAnsiTheme="minorHAnsi" w:cs="Times New Roman"/>
          <w:sz w:val="22"/>
        </w:rPr>
        <w:t>a comprehensive</w:t>
      </w:r>
      <w:r w:rsidR="008A4080" w:rsidRPr="00965BC5">
        <w:rPr>
          <w:rFonts w:asciiTheme="minorHAnsi" w:eastAsia="Times New Roman" w:hAnsiTheme="minorHAnsi" w:cs="Times New Roman"/>
          <w:sz w:val="22"/>
        </w:rPr>
        <w:t xml:space="preserve"> evaluat</w:t>
      </w:r>
      <w:r w:rsidR="000F14D6" w:rsidRPr="00965BC5">
        <w:rPr>
          <w:rFonts w:asciiTheme="minorHAnsi" w:eastAsia="Times New Roman" w:hAnsiTheme="minorHAnsi" w:cs="Times New Roman"/>
          <w:sz w:val="22"/>
        </w:rPr>
        <w:t>ion of</w:t>
      </w:r>
      <w:r w:rsidR="008A4080" w:rsidRPr="00965BC5">
        <w:rPr>
          <w:rFonts w:asciiTheme="minorHAnsi" w:eastAsia="Times New Roman" w:hAnsiTheme="minorHAnsi" w:cs="Times New Roman"/>
          <w:sz w:val="22"/>
        </w:rPr>
        <w:t xml:space="preserve"> the underlying inputs, assumptions and methods of DOE’s life cycle cost (LCC) analysis </w:t>
      </w:r>
      <w:r w:rsidR="001B368A" w:rsidRPr="00965BC5">
        <w:rPr>
          <w:rFonts w:asciiTheme="minorHAnsi" w:eastAsia="Times New Roman" w:hAnsiTheme="minorHAnsi" w:cs="Times New Roman"/>
          <w:sz w:val="22"/>
        </w:rPr>
        <w:t>and</w:t>
      </w:r>
      <w:r w:rsidR="004B516D">
        <w:rPr>
          <w:rFonts w:asciiTheme="minorHAnsi" w:eastAsia="Times New Roman" w:hAnsiTheme="minorHAnsi" w:cs="Times New Roman"/>
          <w:sz w:val="22"/>
        </w:rPr>
        <w:t xml:space="preserve"> </w:t>
      </w:r>
      <w:r w:rsidR="008A4080" w:rsidRPr="00965BC5">
        <w:rPr>
          <w:rFonts w:asciiTheme="minorHAnsi" w:eastAsia="Times New Roman" w:hAnsiTheme="minorHAnsi" w:cs="Times New Roman"/>
          <w:sz w:val="22"/>
        </w:rPr>
        <w:t>data</w:t>
      </w:r>
      <w:r w:rsidR="004D69FF">
        <w:rPr>
          <w:rFonts w:asciiTheme="minorHAnsi" w:eastAsia="Times New Roman" w:hAnsiTheme="minorHAnsi" w:cs="Times New Roman"/>
          <w:sz w:val="22"/>
        </w:rPr>
        <w:t xml:space="preserve"> filtered</w:t>
      </w:r>
      <w:r w:rsidR="008A4080" w:rsidRPr="00965BC5">
        <w:rPr>
          <w:rFonts w:asciiTheme="minorHAnsi" w:eastAsia="Times New Roman" w:hAnsiTheme="minorHAnsi" w:cs="Times New Roman"/>
          <w:sz w:val="22"/>
        </w:rPr>
        <w:t xml:space="preserve"> by region (California and Southern California).  </w:t>
      </w:r>
      <w:r w:rsidR="000F14D6" w:rsidRPr="00965BC5">
        <w:rPr>
          <w:rFonts w:asciiTheme="minorHAnsi" w:eastAsia="Times New Roman" w:hAnsiTheme="minorHAnsi" w:cs="Times New Roman"/>
          <w:sz w:val="22"/>
        </w:rPr>
        <w:t xml:space="preserve">We have now conducted a </w:t>
      </w:r>
      <w:r w:rsidR="000F14D6" w:rsidRPr="00965BC5">
        <w:rPr>
          <w:rFonts w:asciiTheme="minorHAnsi" w:eastAsia="Times New Roman" w:hAnsiTheme="minorHAnsi" w:cs="Times New Roman"/>
          <w:sz w:val="22"/>
        </w:rPr>
        <w:lastRenderedPageBreak/>
        <w:t>second analysis based on the</w:t>
      </w:r>
      <w:r w:rsidR="008D7F37">
        <w:rPr>
          <w:rFonts w:asciiTheme="minorHAnsi" w:eastAsia="Times New Roman" w:hAnsiTheme="minorHAnsi" w:cs="Times New Roman"/>
          <w:sz w:val="22"/>
        </w:rPr>
        <w:t xml:space="preserve"> updated LCC</w:t>
      </w:r>
      <w:r w:rsidR="001B368A">
        <w:rPr>
          <w:rFonts w:asciiTheme="minorHAnsi" w:eastAsia="Times New Roman" w:hAnsiTheme="minorHAnsi" w:cs="Times New Roman"/>
          <w:sz w:val="22"/>
        </w:rPr>
        <w:t xml:space="preserve"> calculations</w:t>
      </w:r>
      <w:r w:rsidR="008D7F37">
        <w:rPr>
          <w:rFonts w:asciiTheme="minorHAnsi" w:eastAsia="Times New Roman" w:hAnsiTheme="minorHAnsi" w:cs="Times New Roman"/>
          <w:sz w:val="22"/>
        </w:rPr>
        <w:t xml:space="preserve"> and</w:t>
      </w:r>
      <w:r w:rsidR="000F14D6" w:rsidRPr="00965BC5">
        <w:rPr>
          <w:rFonts w:asciiTheme="minorHAnsi" w:eastAsia="Times New Roman" w:hAnsiTheme="minorHAnsi" w:cs="Times New Roman"/>
          <w:sz w:val="22"/>
        </w:rPr>
        <w:t xml:space="preserve"> </w:t>
      </w:r>
      <w:r w:rsidR="001B368A">
        <w:rPr>
          <w:rFonts w:asciiTheme="minorHAnsi" w:eastAsia="Times New Roman" w:hAnsiTheme="minorHAnsi" w:cs="Times New Roman"/>
          <w:sz w:val="22"/>
        </w:rPr>
        <w:t xml:space="preserve">associated </w:t>
      </w:r>
      <w:r w:rsidR="000F14D6" w:rsidRPr="00965BC5">
        <w:rPr>
          <w:rFonts w:asciiTheme="minorHAnsi" w:eastAsia="Times New Roman" w:hAnsiTheme="minorHAnsi" w:cs="Times New Roman"/>
          <w:sz w:val="22"/>
        </w:rPr>
        <w:t xml:space="preserve">technical </w:t>
      </w:r>
      <w:r w:rsidR="00172A04" w:rsidRPr="00965BC5">
        <w:rPr>
          <w:rFonts w:asciiTheme="minorHAnsi" w:eastAsia="Times New Roman" w:hAnsiTheme="minorHAnsi" w:cs="Times New Roman"/>
          <w:sz w:val="22"/>
        </w:rPr>
        <w:t xml:space="preserve">support </w:t>
      </w:r>
      <w:r w:rsidR="000F14D6" w:rsidRPr="00965BC5">
        <w:rPr>
          <w:rFonts w:asciiTheme="minorHAnsi" w:eastAsia="Times New Roman" w:hAnsiTheme="minorHAnsi" w:cs="Times New Roman"/>
          <w:sz w:val="22"/>
        </w:rPr>
        <w:t xml:space="preserve">document </w:t>
      </w:r>
      <w:r w:rsidR="00172A04" w:rsidRPr="00965BC5">
        <w:rPr>
          <w:rFonts w:asciiTheme="minorHAnsi" w:eastAsia="Times New Roman" w:hAnsiTheme="minorHAnsi" w:cs="Times New Roman"/>
          <w:sz w:val="22"/>
        </w:rPr>
        <w:t xml:space="preserve">(TSD) </w:t>
      </w:r>
      <w:r w:rsidR="000F14D6" w:rsidRPr="00965BC5">
        <w:rPr>
          <w:rFonts w:asciiTheme="minorHAnsi" w:eastAsia="Times New Roman" w:hAnsiTheme="minorHAnsi" w:cs="Times New Roman"/>
          <w:sz w:val="22"/>
        </w:rPr>
        <w:t>released with th</w:t>
      </w:r>
      <w:r w:rsidR="000A5206">
        <w:rPr>
          <w:rFonts w:asciiTheme="minorHAnsi" w:eastAsia="Times New Roman" w:hAnsiTheme="minorHAnsi" w:cs="Times New Roman"/>
          <w:sz w:val="22"/>
        </w:rPr>
        <w:t xml:space="preserve">e SNOPR. </w:t>
      </w:r>
    </w:p>
    <w:p w:rsidR="003144F9" w:rsidRPr="00965BC5" w:rsidRDefault="003144F9">
      <w:pPr>
        <w:pStyle w:val="NoSpacing"/>
        <w:rPr>
          <w:rFonts w:asciiTheme="minorHAnsi" w:eastAsia="Times New Roman" w:hAnsiTheme="minorHAnsi" w:cs="Times New Roman"/>
          <w:sz w:val="22"/>
        </w:rPr>
      </w:pPr>
    </w:p>
    <w:p w:rsidR="003144F9" w:rsidRPr="00965BC5" w:rsidRDefault="003144F9">
      <w:pPr>
        <w:pStyle w:val="NoSpacing"/>
        <w:rPr>
          <w:rFonts w:asciiTheme="minorHAnsi" w:eastAsia="Times New Roman" w:hAnsiTheme="minorHAnsi" w:cs="Times New Roman"/>
          <w:sz w:val="22"/>
        </w:rPr>
      </w:pPr>
      <w:r w:rsidRPr="00965BC5">
        <w:rPr>
          <w:rFonts w:asciiTheme="minorHAnsi" w:eastAsia="Times New Roman" w:hAnsiTheme="minorHAnsi" w:cs="Times New Roman"/>
          <w:sz w:val="22"/>
        </w:rPr>
        <w:t>Notwithstanding our proven commitment to advancing energy efficiency and our long-standing support of DOE’s efficiency actions</w:t>
      </w:r>
      <w:r w:rsidRPr="00271215">
        <w:rPr>
          <w:rFonts w:asciiTheme="minorHAnsi" w:eastAsia="Times New Roman" w:hAnsiTheme="minorHAnsi" w:cs="Times New Roman"/>
          <w:sz w:val="22"/>
        </w:rPr>
        <w:t>, SoCalGas respectfully requests the DOE review the summary of findings below and address all concerns with the TSD and LCC prior to issuing a final rulemaking.</w:t>
      </w:r>
      <w:r w:rsidRPr="00965BC5">
        <w:rPr>
          <w:rFonts w:asciiTheme="minorHAnsi" w:eastAsia="Times New Roman" w:hAnsiTheme="minorHAnsi" w:cs="Times New Roman"/>
          <w:sz w:val="22"/>
        </w:rPr>
        <w:t xml:space="preserve">  We have provided the supporting documents again for your review as well as a recalculation of the impacts to our customers conducted based on the SNOPR.</w:t>
      </w:r>
    </w:p>
    <w:p w:rsidR="00AC1164" w:rsidRDefault="00AC1164" w:rsidP="00A71B0C">
      <w:pPr>
        <w:spacing w:after="0" w:line="240" w:lineRule="auto"/>
        <w:rPr>
          <w:rFonts w:ascii="Calibri" w:eastAsia="Times New Roman" w:hAnsi="Calibri" w:cs="Times New Roman"/>
          <w:b/>
          <w:sz w:val="22"/>
          <w:szCs w:val="24"/>
        </w:rPr>
      </w:pPr>
    </w:p>
    <w:p w:rsidR="009C74C2" w:rsidRDefault="00A11F05" w:rsidP="00A71B0C">
      <w:pPr>
        <w:spacing w:after="0" w:line="240" w:lineRule="auto"/>
        <w:rPr>
          <w:rFonts w:ascii="Calibri" w:eastAsia="Times New Roman" w:hAnsi="Calibri" w:cs="Times New Roman"/>
          <w:b/>
          <w:sz w:val="22"/>
          <w:szCs w:val="24"/>
        </w:rPr>
      </w:pPr>
      <w:r w:rsidRPr="00965BC5">
        <w:rPr>
          <w:rFonts w:ascii="Calibri" w:eastAsia="Times New Roman" w:hAnsi="Calibri" w:cs="Times New Roman"/>
          <w:b/>
          <w:sz w:val="22"/>
          <w:szCs w:val="24"/>
        </w:rPr>
        <w:t>SUMMARY OF FINDINGS</w:t>
      </w:r>
      <w:r w:rsidR="002F4F41" w:rsidRPr="00965BC5">
        <w:rPr>
          <w:rFonts w:ascii="Calibri" w:eastAsia="Times New Roman" w:hAnsi="Calibri" w:cs="Times New Roman"/>
          <w:b/>
          <w:sz w:val="22"/>
          <w:szCs w:val="24"/>
        </w:rPr>
        <w:t>:</w:t>
      </w:r>
    </w:p>
    <w:p w:rsidR="00FA2887" w:rsidRDefault="00FA2887" w:rsidP="00FA2887">
      <w:pPr>
        <w:spacing w:after="0" w:line="240" w:lineRule="auto"/>
        <w:rPr>
          <w:rFonts w:ascii="Calibri" w:eastAsia="Times New Roman" w:hAnsi="Calibri" w:cs="Times New Roman"/>
          <w:b/>
          <w:sz w:val="22"/>
          <w:szCs w:val="24"/>
        </w:rPr>
      </w:pPr>
    </w:p>
    <w:p w:rsidR="00A90D19" w:rsidRPr="00965BC5" w:rsidRDefault="008D0B88" w:rsidP="00DC6AB4">
      <w:pPr>
        <w:pStyle w:val="NoSpacing"/>
        <w:numPr>
          <w:ilvl w:val="0"/>
          <w:numId w:val="18"/>
        </w:numPr>
        <w:spacing w:after="240"/>
        <w:rPr>
          <w:rFonts w:asciiTheme="minorHAnsi" w:hAnsiTheme="minorHAnsi"/>
          <w:sz w:val="22"/>
        </w:rPr>
      </w:pPr>
      <w:r>
        <w:rPr>
          <w:rFonts w:asciiTheme="minorHAnsi" w:hAnsiTheme="minorHAnsi"/>
          <w:sz w:val="22"/>
          <w:u w:val="single"/>
        </w:rPr>
        <w:t>Economic</w:t>
      </w:r>
      <w:r w:rsidRPr="008D0B88">
        <w:rPr>
          <w:rFonts w:asciiTheme="minorHAnsi" w:hAnsiTheme="minorHAnsi"/>
          <w:sz w:val="22"/>
          <w:u w:val="single"/>
        </w:rPr>
        <w:t xml:space="preserve"> infeasibility for Southern California customers</w:t>
      </w:r>
      <w:r>
        <w:rPr>
          <w:rFonts w:asciiTheme="minorHAnsi" w:hAnsiTheme="minorHAnsi"/>
          <w:sz w:val="22"/>
        </w:rPr>
        <w:t>.</w:t>
      </w:r>
      <w:r w:rsidR="00A90D19" w:rsidRPr="00965BC5">
        <w:rPr>
          <w:rFonts w:asciiTheme="minorHAnsi" w:hAnsiTheme="minorHAnsi"/>
          <w:sz w:val="22"/>
        </w:rPr>
        <w:t xml:space="preserve"> The California climate and market is drastically different than the states repres</w:t>
      </w:r>
      <w:r>
        <w:rPr>
          <w:rFonts w:asciiTheme="minorHAnsi" w:hAnsiTheme="minorHAnsi"/>
          <w:sz w:val="22"/>
        </w:rPr>
        <w:t>enting the “Rest of the Country,</w:t>
      </w:r>
      <w:r w:rsidR="00A90D19" w:rsidRPr="00965BC5">
        <w:rPr>
          <w:rFonts w:asciiTheme="minorHAnsi" w:hAnsiTheme="minorHAnsi"/>
          <w:sz w:val="22"/>
        </w:rPr>
        <w:t>”</w:t>
      </w:r>
      <w:r>
        <w:rPr>
          <w:rFonts w:asciiTheme="minorHAnsi" w:hAnsiTheme="minorHAnsi"/>
          <w:sz w:val="22"/>
        </w:rPr>
        <w:t xml:space="preserve"> however, the DOE has regionally categorized California with this group. </w:t>
      </w:r>
      <w:r w:rsidR="00A90D19" w:rsidRPr="00965BC5">
        <w:rPr>
          <w:rFonts w:asciiTheme="minorHAnsi" w:hAnsiTheme="minorHAnsi"/>
          <w:sz w:val="22"/>
        </w:rPr>
        <w:t xml:space="preserve"> For this reason, we have conducted a</w:t>
      </w:r>
      <w:r w:rsidR="001B58CB">
        <w:rPr>
          <w:rFonts w:asciiTheme="minorHAnsi" w:hAnsiTheme="minorHAnsi"/>
          <w:sz w:val="22"/>
        </w:rPr>
        <w:t xml:space="preserve"> </w:t>
      </w:r>
      <w:r w:rsidR="00DC6AB4">
        <w:rPr>
          <w:rFonts w:asciiTheme="minorHAnsi" w:hAnsiTheme="minorHAnsi"/>
          <w:sz w:val="22"/>
        </w:rPr>
        <w:t>non-weatherized gas furnace (</w:t>
      </w:r>
      <w:r w:rsidR="001B58CB">
        <w:rPr>
          <w:rFonts w:asciiTheme="minorHAnsi" w:hAnsiTheme="minorHAnsi"/>
          <w:sz w:val="22"/>
        </w:rPr>
        <w:t>NWGF</w:t>
      </w:r>
      <w:r w:rsidR="00DC6AB4">
        <w:rPr>
          <w:rFonts w:asciiTheme="minorHAnsi" w:hAnsiTheme="minorHAnsi"/>
          <w:sz w:val="22"/>
        </w:rPr>
        <w:t>)</w:t>
      </w:r>
      <w:r w:rsidR="001B58CB">
        <w:rPr>
          <w:rFonts w:asciiTheme="minorHAnsi" w:hAnsiTheme="minorHAnsi"/>
          <w:sz w:val="22"/>
        </w:rPr>
        <w:t xml:space="preserve"> LCC</w:t>
      </w:r>
      <w:r w:rsidR="00A90D19" w:rsidRPr="00965BC5">
        <w:rPr>
          <w:rFonts w:asciiTheme="minorHAnsi" w:hAnsiTheme="minorHAnsi"/>
          <w:sz w:val="22"/>
        </w:rPr>
        <w:t xml:space="preserve"> analysis using the DOE’s applied model with updated </w:t>
      </w:r>
      <w:r w:rsidR="00DF29AE" w:rsidRPr="00965BC5">
        <w:rPr>
          <w:rFonts w:asciiTheme="minorHAnsi" w:hAnsiTheme="minorHAnsi"/>
          <w:sz w:val="22"/>
        </w:rPr>
        <w:t>Annual Energy Outlook (</w:t>
      </w:r>
      <w:r w:rsidR="00A90D19" w:rsidRPr="00965BC5">
        <w:rPr>
          <w:rFonts w:asciiTheme="minorHAnsi" w:hAnsiTheme="minorHAnsi"/>
          <w:sz w:val="22"/>
        </w:rPr>
        <w:t>AEO</w:t>
      </w:r>
      <w:r w:rsidR="00DF29AE" w:rsidRPr="00965BC5">
        <w:rPr>
          <w:rFonts w:asciiTheme="minorHAnsi" w:hAnsiTheme="minorHAnsi"/>
          <w:sz w:val="22"/>
        </w:rPr>
        <w:t>)</w:t>
      </w:r>
      <w:r w:rsidR="00A90D19" w:rsidRPr="00965BC5">
        <w:rPr>
          <w:rFonts w:asciiTheme="minorHAnsi" w:hAnsiTheme="minorHAnsi"/>
          <w:sz w:val="22"/>
        </w:rPr>
        <w:t xml:space="preserve"> 2016 forecast pricing in the table below</w:t>
      </w:r>
      <w:r w:rsidR="003E5B77">
        <w:rPr>
          <w:rFonts w:asciiTheme="minorHAnsi" w:hAnsiTheme="minorHAnsi"/>
          <w:sz w:val="22"/>
        </w:rPr>
        <w:t>.</w:t>
      </w:r>
      <w:r w:rsidR="00A009C7" w:rsidRPr="00965BC5">
        <w:rPr>
          <w:rFonts w:asciiTheme="minorHAnsi" w:hAnsiTheme="minorHAnsi"/>
          <w:sz w:val="22"/>
        </w:rPr>
        <w:t xml:space="preserve"> </w:t>
      </w:r>
      <w:r w:rsidR="002F4F41" w:rsidRPr="00965BC5">
        <w:rPr>
          <w:rFonts w:asciiTheme="minorHAnsi" w:hAnsiTheme="minorHAnsi"/>
          <w:sz w:val="22"/>
        </w:rPr>
        <w:t>To summarize:</w:t>
      </w:r>
    </w:p>
    <w:p w:rsidR="00F02B57" w:rsidRPr="00965BC5" w:rsidRDefault="00F02B57" w:rsidP="004C2F26">
      <w:pPr>
        <w:pStyle w:val="ListParagraph"/>
        <w:numPr>
          <w:ilvl w:val="0"/>
          <w:numId w:val="9"/>
        </w:numPr>
        <w:spacing w:after="0" w:line="240" w:lineRule="auto"/>
        <w:rPr>
          <w:rFonts w:asciiTheme="minorHAnsi" w:hAnsiTheme="minorHAnsi" w:cstheme="minorHAnsi"/>
          <w:sz w:val="22"/>
        </w:rPr>
      </w:pPr>
      <w:r w:rsidRPr="00965BC5">
        <w:rPr>
          <w:rFonts w:asciiTheme="minorHAnsi" w:hAnsiTheme="minorHAnsi" w:cstheme="minorHAnsi"/>
          <w:sz w:val="22"/>
        </w:rPr>
        <w:t xml:space="preserve">The average savings for Southern California is </w:t>
      </w:r>
      <w:r w:rsidR="004B516D">
        <w:rPr>
          <w:rFonts w:asciiTheme="minorHAnsi" w:hAnsiTheme="minorHAnsi" w:cstheme="minorHAnsi"/>
          <w:sz w:val="22"/>
        </w:rPr>
        <w:t>over 99</w:t>
      </w:r>
      <w:r w:rsidR="00B91C77">
        <w:rPr>
          <w:rFonts w:asciiTheme="minorHAnsi" w:hAnsiTheme="minorHAnsi" w:cstheme="minorHAnsi"/>
          <w:sz w:val="22"/>
        </w:rPr>
        <w:t xml:space="preserve"> percent</w:t>
      </w:r>
      <w:r w:rsidR="00027A84">
        <w:rPr>
          <w:rFonts w:asciiTheme="minorHAnsi" w:hAnsiTheme="minorHAnsi" w:cstheme="minorHAnsi"/>
          <w:sz w:val="22"/>
        </w:rPr>
        <w:t xml:space="preserve"> less</w:t>
      </w:r>
      <w:r w:rsidR="00B91C77">
        <w:rPr>
          <w:rFonts w:asciiTheme="minorHAnsi" w:hAnsiTheme="minorHAnsi" w:cstheme="minorHAnsi"/>
          <w:sz w:val="22"/>
        </w:rPr>
        <w:t xml:space="preserve"> than the </w:t>
      </w:r>
      <w:r w:rsidR="00B91C77" w:rsidRPr="00965BC5">
        <w:rPr>
          <w:rFonts w:asciiTheme="minorHAnsi" w:hAnsiTheme="minorHAnsi" w:cstheme="minorHAnsi"/>
          <w:sz w:val="22"/>
        </w:rPr>
        <w:t>“Rest of the Country” regio</w:t>
      </w:r>
      <w:r w:rsidR="004B516D">
        <w:rPr>
          <w:rFonts w:asciiTheme="minorHAnsi" w:hAnsiTheme="minorHAnsi" w:cstheme="minorHAnsi"/>
          <w:sz w:val="22"/>
        </w:rPr>
        <w:t>n</w:t>
      </w:r>
      <w:r w:rsidR="00B652A0" w:rsidRPr="00B652A0">
        <w:rPr>
          <w:rFonts w:asciiTheme="minorHAnsi" w:hAnsiTheme="minorHAnsi" w:cstheme="minorHAnsi"/>
          <w:sz w:val="22"/>
        </w:rPr>
        <w:t xml:space="preserve"> </w:t>
      </w:r>
      <w:r w:rsidR="00B652A0" w:rsidRPr="00965BC5">
        <w:rPr>
          <w:rFonts w:asciiTheme="minorHAnsi" w:hAnsiTheme="minorHAnsi" w:cstheme="minorHAnsi"/>
          <w:sz w:val="22"/>
        </w:rPr>
        <w:t>California is identified under</w:t>
      </w:r>
      <w:r w:rsidR="00B91C77">
        <w:rPr>
          <w:rFonts w:asciiTheme="minorHAnsi" w:hAnsiTheme="minorHAnsi" w:cstheme="minorHAnsi"/>
          <w:sz w:val="22"/>
        </w:rPr>
        <w:t xml:space="preserve"> </w:t>
      </w:r>
      <w:r w:rsidR="003E5B77">
        <w:rPr>
          <w:rFonts w:asciiTheme="minorHAnsi" w:hAnsiTheme="minorHAnsi" w:cstheme="minorHAnsi"/>
          <w:sz w:val="22"/>
        </w:rPr>
        <w:t>for the proposed split standard</w:t>
      </w:r>
      <w:r w:rsidRPr="00965BC5">
        <w:rPr>
          <w:rFonts w:asciiTheme="minorHAnsi" w:hAnsiTheme="minorHAnsi" w:cstheme="minorHAnsi"/>
          <w:sz w:val="22"/>
        </w:rPr>
        <w:t xml:space="preserve">, putting our customers </w:t>
      </w:r>
      <w:r w:rsidR="00FC1617" w:rsidRPr="00965BC5">
        <w:rPr>
          <w:rFonts w:asciiTheme="minorHAnsi" w:hAnsiTheme="minorHAnsi" w:cstheme="minorHAnsi"/>
          <w:sz w:val="22"/>
        </w:rPr>
        <w:t xml:space="preserve">at </w:t>
      </w:r>
      <w:r w:rsidRPr="00965BC5">
        <w:rPr>
          <w:rFonts w:asciiTheme="minorHAnsi" w:hAnsiTheme="minorHAnsi" w:cstheme="minorHAnsi"/>
          <w:sz w:val="22"/>
        </w:rPr>
        <w:t>a severe disadvantage and ma</w:t>
      </w:r>
      <w:r w:rsidR="002F4F41" w:rsidRPr="00965BC5">
        <w:rPr>
          <w:rFonts w:asciiTheme="minorHAnsi" w:hAnsiTheme="minorHAnsi" w:cstheme="minorHAnsi"/>
          <w:sz w:val="22"/>
        </w:rPr>
        <w:t>king this</w:t>
      </w:r>
      <w:r w:rsidRPr="00965BC5">
        <w:rPr>
          <w:rFonts w:asciiTheme="minorHAnsi" w:hAnsiTheme="minorHAnsi" w:cstheme="minorHAnsi"/>
          <w:sz w:val="22"/>
        </w:rPr>
        <w:t xml:space="preserve"> economically infeasible;</w:t>
      </w:r>
    </w:p>
    <w:p w:rsidR="00B91C77" w:rsidRPr="00B91C77" w:rsidRDefault="00F02B57" w:rsidP="00B91C77">
      <w:pPr>
        <w:pStyle w:val="ListParagraph"/>
        <w:numPr>
          <w:ilvl w:val="0"/>
          <w:numId w:val="9"/>
        </w:numPr>
        <w:spacing w:after="0" w:line="240" w:lineRule="auto"/>
        <w:rPr>
          <w:rFonts w:asciiTheme="minorHAnsi" w:hAnsiTheme="minorHAnsi" w:cstheme="minorHAnsi"/>
          <w:sz w:val="22"/>
        </w:rPr>
      </w:pPr>
      <w:r w:rsidRPr="00965BC5">
        <w:rPr>
          <w:rFonts w:asciiTheme="minorHAnsi" w:hAnsiTheme="minorHAnsi" w:cstheme="minorHAnsi"/>
          <w:sz w:val="22"/>
        </w:rPr>
        <w:t xml:space="preserve">The simple payback for Southern California is more than </w:t>
      </w:r>
      <w:r w:rsidR="00B91C77">
        <w:rPr>
          <w:rFonts w:asciiTheme="minorHAnsi" w:hAnsiTheme="minorHAnsi" w:cstheme="minorHAnsi"/>
          <w:sz w:val="22"/>
        </w:rPr>
        <w:t xml:space="preserve">three </w:t>
      </w:r>
      <w:r w:rsidRPr="00965BC5">
        <w:rPr>
          <w:rFonts w:asciiTheme="minorHAnsi" w:hAnsiTheme="minorHAnsi" w:cstheme="minorHAnsi"/>
          <w:sz w:val="22"/>
        </w:rPr>
        <w:t>times the “Rest of the Country” region California is identified under</w:t>
      </w:r>
      <w:r w:rsidR="00B652A0" w:rsidRPr="00B652A0">
        <w:rPr>
          <w:rFonts w:asciiTheme="minorHAnsi" w:hAnsiTheme="minorHAnsi" w:cstheme="minorHAnsi"/>
          <w:sz w:val="22"/>
        </w:rPr>
        <w:t xml:space="preserve"> </w:t>
      </w:r>
      <w:r w:rsidR="00B652A0">
        <w:rPr>
          <w:rFonts w:asciiTheme="minorHAnsi" w:hAnsiTheme="minorHAnsi" w:cstheme="minorHAnsi"/>
          <w:sz w:val="22"/>
        </w:rPr>
        <w:t>for the proposed split standard</w:t>
      </w:r>
      <w:r w:rsidRPr="00965BC5">
        <w:rPr>
          <w:rFonts w:asciiTheme="minorHAnsi" w:hAnsiTheme="minorHAnsi" w:cstheme="minorHAnsi"/>
          <w:sz w:val="22"/>
        </w:rPr>
        <w:t>, making this no</w:t>
      </w:r>
      <w:r w:rsidR="00DF5DE5" w:rsidRPr="00965BC5">
        <w:rPr>
          <w:rFonts w:asciiTheme="minorHAnsi" w:hAnsiTheme="minorHAnsi" w:cstheme="minorHAnsi"/>
          <w:sz w:val="22"/>
        </w:rPr>
        <w:t>t</w:t>
      </w:r>
      <w:r w:rsidRPr="00965BC5">
        <w:rPr>
          <w:rFonts w:asciiTheme="minorHAnsi" w:hAnsiTheme="minorHAnsi" w:cstheme="minorHAnsi"/>
          <w:sz w:val="22"/>
        </w:rPr>
        <w:t xml:space="preserve"> cost-effective;</w:t>
      </w:r>
    </w:p>
    <w:p w:rsidR="00F02B57" w:rsidRPr="00965BC5" w:rsidRDefault="00F02B57" w:rsidP="004C2F26">
      <w:pPr>
        <w:pStyle w:val="ListParagraph"/>
        <w:numPr>
          <w:ilvl w:val="0"/>
          <w:numId w:val="9"/>
        </w:numPr>
        <w:spacing w:after="0" w:line="240" w:lineRule="auto"/>
        <w:rPr>
          <w:rFonts w:asciiTheme="minorHAnsi" w:hAnsiTheme="minorHAnsi" w:cstheme="minorHAnsi"/>
          <w:sz w:val="22"/>
        </w:rPr>
      </w:pPr>
      <w:r w:rsidRPr="00965BC5">
        <w:rPr>
          <w:rFonts w:asciiTheme="minorHAnsi" w:hAnsiTheme="minorHAnsi" w:cstheme="minorHAnsi"/>
          <w:sz w:val="22"/>
        </w:rPr>
        <w:t>The average payback for impacted customers in Southern California is more than double the “Rest of the Country” region, again, making this no</w:t>
      </w:r>
      <w:r w:rsidR="00DF5DE5" w:rsidRPr="00965BC5">
        <w:rPr>
          <w:rFonts w:asciiTheme="minorHAnsi" w:hAnsiTheme="minorHAnsi" w:cstheme="minorHAnsi"/>
          <w:sz w:val="22"/>
        </w:rPr>
        <w:t>t</w:t>
      </w:r>
      <w:r w:rsidRPr="00965BC5">
        <w:rPr>
          <w:rFonts w:asciiTheme="minorHAnsi" w:hAnsiTheme="minorHAnsi" w:cstheme="minorHAnsi"/>
          <w:sz w:val="22"/>
        </w:rPr>
        <w:t xml:space="preserve"> cost-effective.</w:t>
      </w:r>
    </w:p>
    <w:p w:rsidR="00332F7C" w:rsidRDefault="00332F7C" w:rsidP="003F4F0C">
      <w:pPr>
        <w:pStyle w:val="ListParagraph"/>
        <w:spacing w:after="0" w:line="240" w:lineRule="auto"/>
        <w:ind w:left="1800"/>
        <w:rPr>
          <w:rFonts w:asciiTheme="minorHAnsi" w:hAnsiTheme="minorHAnsi" w:cstheme="minorHAnsi"/>
        </w:rPr>
      </w:pPr>
    </w:p>
    <w:p w:rsidR="00332F7C" w:rsidRPr="00965BC5" w:rsidRDefault="00332F7C" w:rsidP="003F4F0C">
      <w:pPr>
        <w:pStyle w:val="ListParagraph"/>
        <w:spacing w:after="0" w:line="240" w:lineRule="auto"/>
        <w:rPr>
          <w:rFonts w:asciiTheme="minorHAnsi" w:hAnsiTheme="minorHAnsi" w:cstheme="minorHAnsi"/>
          <w:b/>
          <w:i/>
          <w:sz w:val="22"/>
        </w:rPr>
      </w:pPr>
      <w:r w:rsidRPr="00965BC5">
        <w:rPr>
          <w:rFonts w:asciiTheme="minorHAnsi" w:hAnsiTheme="minorHAnsi" w:cstheme="minorHAnsi"/>
          <w:b/>
          <w:i/>
          <w:sz w:val="22"/>
        </w:rPr>
        <w:t>Table 1.1 – Lifecycle Cost Analysis</w:t>
      </w:r>
      <w:r w:rsidR="00203955">
        <w:rPr>
          <w:rFonts w:asciiTheme="minorHAnsi" w:hAnsiTheme="minorHAnsi" w:cstheme="minorHAnsi"/>
          <w:b/>
          <w:i/>
          <w:sz w:val="22"/>
        </w:rPr>
        <w:t xml:space="preserve"> for NWGFs</w:t>
      </w:r>
      <w:r w:rsidR="006F104C">
        <w:rPr>
          <w:rStyle w:val="FootnoteReference"/>
          <w:rFonts w:asciiTheme="minorHAnsi" w:hAnsiTheme="minorHAnsi" w:cstheme="minorHAnsi"/>
          <w:b/>
          <w:i/>
          <w:sz w:val="22"/>
        </w:rPr>
        <w:footnoteReference w:id="1"/>
      </w:r>
    </w:p>
    <w:tbl>
      <w:tblPr>
        <w:tblW w:w="8402" w:type="dxa"/>
        <w:jc w:val="center"/>
        <w:tblLayout w:type="fixed"/>
        <w:tblCellMar>
          <w:left w:w="0" w:type="dxa"/>
          <w:right w:w="0" w:type="dxa"/>
        </w:tblCellMar>
        <w:tblLook w:val="01E0" w:firstRow="1" w:lastRow="1" w:firstColumn="1" w:lastColumn="1" w:noHBand="0" w:noVBand="0"/>
      </w:tblPr>
      <w:tblGrid>
        <w:gridCol w:w="1980"/>
        <w:gridCol w:w="1929"/>
        <w:gridCol w:w="905"/>
        <w:gridCol w:w="897"/>
        <w:gridCol w:w="897"/>
        <w:gridCol w:w="897"/>
        <w:gridCol w:w="897"/>
      </w:tblGrid>
      <w:tr w:rsidR="00027A84" w:rsidTr="00FA2887">
        <w:trPr>
          <w:trHeight w:hRule="exact" w:val="299"/>
          <w:jc w:val="center"/>
        </w:trPr>
        <w:tc>
          <w:tcPr>
            <w:tcW w:w="1980" w:type="dxa"/>
            <w:vMerge w:val="restart"/>
            <w:tcBorders>
              <w:top w:val="single" w:sz="7" w:space="0" w:color="000000"/>
              <w:left w:val="single" w:sz="7" w:space="0" w:color="000000"/>
              <w:right w:val="single" w:sz="7" w:space="0" w:color="D3D3D3"/>
            </w:tcBorders>
          </w:tcPr>
          <w:p w:rsidR="00027A84" w:rsidRPr="00DC6AB4" w:rsidRDefault="00027A84" w:rsidP="006F614B">
            <w:pPr>
              <w:pStyle w:val="TableParagraph"/>
              <w:spacing w:before="148"/>
              <w:ind w:left="3"/>
              <w:jc w:val="center"/>
              <w:rPr>
                <w:rFonts w:ascii="Calibri" w:eastAsia="Calibri" w:hAnsi="Calibri" w:cs="Calibri"/>
                <w:sz w:val="20"/>
              </w:rPr>
            </w:pPr>
            <w:r w:rsidRPr="00DC6AB4">
              <w:rPr>
                <w:rFonts w:ascii="Calibri"/>
                <w:b/>
                <w:spacing w:val="-1"/>
                <w:sz w:val="20"/>
              </w:rPr>
              <w:t>Metric</w:t>
            </w:r>
          </w:p>
        </w:tc>
        <w:tc>
          <w:tcPr>
            <w:tcW w:w="1929" w:type="dxa"/>
            <w:vMerge w:val="restart"/>
            <w:tcBorders>
              <w:top w:val="single" w:sz="7" w:space="0" w:color="000000"/>
              <w:left w:val="single" w:sz="7" w:space="0" w:color="D3D3D3"/>
              <w:right w:val="single" w:sz="7" w:space="0" w:color="D3D3D3"/>
            </w:tcBorders>
          </w:tcPr>
          <w:p w:rsidR="00027A84" w:rsidRPr="00DC6AB4" w:rsidRDefault="00027A84" w:rsidP="006F614B">
            <w:pPr>
              <w:pStyle w:val="TableParagraph"/>
              <w:spacing w:before="148"/>
              <w:ind w:left="567"/>
              <w:rPr>
                <w:rFonts w:ascii="Calibri" w:eastAsia="Calibri" w:hAnsi="Calibri" w:cs="Calibri"/>
                <w:sz w:val="20"/>
              </w:rPr>
            </w:pPr>
            <w:r w:rsidRPr="00DC6AB4">
              <w:rPr>
                <w:rFonts w:ascii="Calibri"/>
                <w:b/>
                <w:spacing w:val="-3"/>
                <w:sz w:val="20"/>
              </w:rPr>
              <w:t>Location</w:t>
            </w:r>
          </w:p>
        </w:tc>
        <w:tc>
          <w:tcPr>
            <w:tcW w:w="4493" w:type="dxa"/>
            <w:gridSpan w:val="5"/>
            <w:tcBorders>
              <w:top w:val="single" w:sz="7" w:space="0" w:color="000000"/>
              <w:left w:val="single" w:sz="7" w:space="0" w:color="D3D3D3"/>
              <w:bottom w:val="single" w:sz="7" w:space="0" w:color="D3D3D3"/>
              <w:right w:val="single" w:sz="7" w:space="0" w:color="000000"/>
            </w:tcBorders>
          </w:tcPr>
          <w:p w:rsidR="00027A84" w:rsidRPr="00DC6AB4" w:rsidRDefault="00027A84" w:rsidP="006F614B">
            <w:pPr>
              <w:pStyle w:val="TableParagraph"/>
              <w:spacing w:before="13" w:line="268" w:lineRule="exact"/>
              <w:ind w:left="656"/>
              <w:rPr>
                <w:rFonts w:ascii="Calibri" w:eastAsia="Calibri" w:hAnsi="Calibri" w:cs="Calibri"/>
                <w:sz w:val="20"/>
              </w:rPr>
            </w:pPr>
            <w:r w:rsidRPr="00DC6AB4">
              <w:rPr>
                <w:rFonts w:ascii="Calibri"/>
                <w:b/>
                <w:sz w:val="20"/>
              </w:rPr>
              <w:t>Split</w:t>
            </w:r>
            <w:r w:rsidRPr="00DC6AB4">
              <w:rPr>
                <w:rFonts w:ascii="Calibri"/>
                <w:b/>
                <w:spacing w:val="3"/>
                <w:sz w:val="20"/>
              </w:rPr>
              <w:t xml:space="preserve"> </w:t>
            </w:r>
            <w:r w:rsidRPr="00DC6AB4">
              <w:rPr>
                <w:rFonts w:ascii="Calibri"/>
                <w:b/>
                <w:spacing w:val="-4"/>
                <w:sz w:val="20"/>
              </w:rPr>
              <w:t>Standard</w:t>
            </w:r>
            <w:r w:rsidRPr="00DC6AB4">
              <w:rPr>
                <w:rFonts w:ascii="Calibri"/>
                <w:b/>
                <w:spacing w:val="6"/>
                <w:sz w:val="20"/>
              </w:rPr>
              <w:t xml:space="preserve"> </w:t>
            </w:r>
            <w:r w:rsidRPr="00DC6AB4">
              <w:rPr>
                <w:rFonts w:ascii="Calibri"/>
                <w:b/>
                <w:spacing w:val="-1"/>
                <w:sz w:val="20"/>
              </w:rPr>
              <w:t>Threshold</w:t>
            </w:r>
            <w:r w:rsidRPr="00DC6AB4">
              <w:rPr>
                <w:rFonts w:ascii="Calibri"/>
                <w:b/>
                <w:spacing w:val="6"/>
                <w:sz w:val="20"/>
              </w:rPr>
              <w:t xml:space="preserve"> </w:t>
            </w:r>
            <w:r w:rsidRPr="00DC6AB4">
              <w:rPr>
                <w:rFonts w:ascii="Calibri"/>
                <w:b/>
                <w:spacing w:val="-4"/>
                <w:sz w:val="20"/>
              </w:rPr>
              <w:t>[kBtu/hr]</w:t>
            </w:r>
          </w:p>
        </w:tc>
      </w:tr>
      <w:tr w:rsidR="00027A84" w:rsidTr="00FA2887">
        <w:trPr>
          <w:trHeight w:hRule="exact" w:val="299"/>
          <w:jc w:val="center"/>
        </w:trPr>
        <w:tc>
          <w:tcPr>
            <w:tcW w:w="1980" w:type="dxa"/>
            <w:vMerge/>
            <w:tcBorders>
              <w:left w:val="single" w:sz="7" w:space="0" w:color="000000"/>
              <w:bottom w:val="single" w:sz="7" w:space="0" w:color="000000"/>
              <w:right w:val="single" w:sz="7" w:space="0" w:color="D3D3D3"/>
            </w:tcBorders>
          </w:tcPr>
          <w:p w:rsidR="00027A84" w:rsidRPr="00DC6AB4" w:rsidRDefault="00027A84" w:rsidP="006F614B">
            <w:pPr>
              <w:rPr>
                <w:sz w:val="20"/>
              </w:rPr>
            </w:pPr>
          </w:p>
        </w:tc>
        <w:tc>
          <w:tcPr>
            <w:tcW w:w="1929" w:type="dxa"/>
            <w:vMerge/>
            <w:tcBorders>
              <w:left w:val="single" w:sz="7" w:space="0" w:color="D3D3D3"/>
              <w:bottom w:val="single" w:sz="7" w:space="0" w:color="000000"/>
              <w:right w:val="single" w:sz="7" w:space="0" w:color="D3D3D3"/>
            </w:tcBorders>
          </w:tcPr>
          <w:p w:rsidR="00027A84" w:rsidRPr="00DC6AB4" w:rsidRDefault="00027A84" w:rsidP="006F614B">
            <w:pPr>
              <w:rPr>
                <w:sz w:val="20"/>
              </w:rPr>
            </w:pPr>
          </w:p>
        </w:tc>
        <w:tc>
          <w:tcPr>
            <w:tcW w:w="905" w:type="dxa"/>
            <w:tcBorders>
              <w:top w:val="single" w:sz="7" w:space="0" w:color="D3D3D3"/>
              <w:left w:val="single" w:sz="7" w:space="0" w:color="D3D3D3"/>
              <w:bottom w:val="single" w:sz="7" w:space="0" w:color="000000"/>
              <w:right w:val="single" w:sz="7" w:space="0" w:color="D3D3D3"/>
            </w:tcBorders>
          </w:tcPr>
          <w:p w:rsidR="00027A84" w:rsidRPr="00DC6AB4" w:rsidRDefault="00027A84" w:rsidP="006F614B">
            <w:pPr>
              <w:pStyle w:val="TableParagraph"/>
              <w:spacing w:before="13" w:line="268" w:lineRule="exact"/>
              <w:ind w:right="34"/>
              <w:jc w:val="right"/>
              <w:rPr>
                <w:rFonts w:ascii="Calibri" w:eastAsia="Calibri" w:hAnsi="Calibri" w:cs="Calibri"/>
                <w:sz w:val="20"/>
              </w:rPr>
            </w:pPr>
            <w:r w:rsidRPr="00DC6AB4">
              <w:rPr>
                <w:rFonts w:ascii="Calibri"/>
                <w:b/>
                <w:spacing w:val="-10"/>
                <w:sz w:val="20"/>
              </w:rPr>
              <w:t>55</w:t>
            </w:r>
          </w:p>
        </w:tc>
        <w:tc>
          <w:tcPr>
            <w:tcW w:w="897" w:type="dxa"/>
            <w:tcBorders>
              <w:top w:val="single" w:sz="7" w:space="0" w:color="D3D3D3"/>
              <w:left w:val="single" w:sz="7" w:space="0" w:color="D3D3D3"/>
              <w:bottom w:val="single" w:sz="7" w:space="0" w:color="000000"/>
              <w:right w:val="single" w:sz="7" w:space="0" w:color="D3D3D3"/>
            </w:tcBorders>
          </w:tcPr>
          <w:p w:rsidR="00027A84" w:rsidRPr="00DC6AB4" w:rsidRDefault="00027A84" w:rsidP="006F614B">
            <w:pPr>
              <w:pStyle w:val="TableParagraph"/>
              <w:spacing w:before="13" w:line="268" w:lineRule="exact"/>
              <w:ind w:right="27"/>
              <w:jc w:val="right"/>
              <w:rPr>
                <w:rFonts w:ascii="Calibri" w:eastAsia="Calibri" w:hAnsi="Calibri" w:cs="Calibri"/>
                <w:sz w:val="20"/>
              </w:rPr>
            </w:pPr>
            <w:r w:rsidRPr="00DC6AB4">
              <w:rPr>
                <w:rFonts w:ascii="Calibri"/>
                <w:b/>
                <w:spacing w:val="-10"/>
                <w:sz w:val="20"/>
              </w:rPr>
              <w:t>60</w:t>
            </w:r>
          </w:p>
        </w:tc>
        <w:tc>
          <w:tcPr>
            <w:tcW w:w="897" w:type="dxa"/>
            <w:tcBorders>
              <w:top w:val="single" w:sz="7" w:space="0" w:color="D3D3D3"/>
              <w:left w:val="single" w:sz="7" w:space="0" w:color="D3D3D3"/>
              <w:bottom w:val="single" w:sz="7" w:space="0" w:color="000000"/>
              <w:right w:val="single" w:sz="7" w:space="0" w:color="D3D3D3"/>
            </w:tcBorders>
          </w:tcPr>
          <w:p w:rsidR="00027A84" w:rsidRPr="00DC6AB4" w:rsidRDefault="00027A84" w:rsidP="006F614B">
            <w:pPr>
              <w:pStyle w:val="TableParagraph"/>
              <w:spacing w:before="13" w:line="268" w:lineRule="exact"/>
              <w:ind w:right="27"/>
              <w:jc w:val="right"/>
              <w:rPr>
                <w:rFonts w:ascii="Calibri" w:eastAsia="Calibri" w:hAnsi="Calibri" w:cs="Calibri"/>
                <w:sz w:val="20"/>
              </w:rPr>
            </w:pPr>
            <w:r w:rsidRPr="00DC6AB4">
              <w:rPr>
                <w:rFonts w:ascii="Calibri"/>
                <w:b/>
                <w:spacing w:val="-10"/>
                <w:sz w:val="20"/>
              </w:rPr>
              <w:t>65</w:t>
            </w:r>
          </w:p>
        </w:tc>
        <w:tc>
          <w:tcPr>
            <w:tcW w:w="897" w:type="dxa"/>
            <w:tcBorders>
              <w:top w:val="single" w:sz="7" w:space="0" w:color="D3D3D3"/>
              <w:left w:val="single" w:sz="7" w:space="0" w:color="D3D3D3"/>
              <w:bottom w:val="single" w:sz="7" w:space="0" w:color="000000"/>
              <w:right w:val="single" w:sz="7" w:space="0" w:color="D3D3D3"/>
            </w:tcBorders>
          </w:tcPr>
          <w:p w:rsidR="00027A84" w:rsidRPr="00DC6AB4" w:rsidRDefault="00027A84" w:rsidP="006F614B">
            <w:pPr>
              <w:pStyle w:val="TableParagraph"/>
              <w:spacing w:before="13" w:line="268" w:lineRule="exact"/>
              <w:ind w:right="27"/>
              <w:jc w:val="right"/>
              <w:rPr>
                <w:rFonts w:ascii="Calibri" w:eastAsia="Calibri" w:hAnsi="Calibri" w:cs="Calibri"/>
                <w:sz w:val="20"/>
              </w:rPr>
            </w:pPr>
            <w:r w:rsidRPr="00DC6AB4">
              <w:rPr>
                <w:rFonts w:ascii="Calibri"/>
                <w:b/>
                <w:spacing w:val="-10"/>
                <w:sz w:val="20"/>
              </w:rPr>
              <w:t>70</w:t>
            </w:r>
          </w:p>
        </w:tc>
        <w:tc>
          <w:tcPr>
            <w:tcW w:w="897" w:type="dxa"/>
            <w:tcBorders>
              <w:top w:val="single" w:sz="7" w:space="0" w:color="D3D3D3"/>
              <w:left w:val="single" w:sz="7" w:space="0" w:color="D3D3D3"/>
              <w:bottom w:val="single" w:sz="7" w:space="0" w:color="000000"/>
              <w:right w:val="single" w:sz="7" w:space="0" w:color="000000"/>
            </w:tcBorders>
          </w:tcPr>
          <w:p w:rsidR="00027A84" w:rsidRPr="00DC6AB4" w:rsidRDefault="00027A84" w:rsidP="006F614B">
            <w:pPr>
              <w:pStyle w:val="TableParagraph"/>
              <w:spacing w:before="13" w:line="268" w:lineRule="exact"/>
              <w:ind w:right="27"/>
              <w:jc w:val="right"/>
              <w:rPr>
                <w:rFonts w:ascii="Calibri" w:eastAsia="Calibri" w:hAnsi="Calibri" w:cs="Calibri"/>
                <w:sz w:val="20"/>
              </w:rPr>
            </w:pPr>
            <w:r w:rsidRPr="00DC6AB4">
              <w:rPr>
                <w:rFonts w:ascii="Calibri"/>
                <w:b/>
                <w:spacing w:val="-10"/>
                <w:sz w:val="20"/>
              </w:rPr>
              <w:t>75</w:t>
            </w:r>
          </w:p>
        </w:tc>
      </w:tr>
      <w:tr w:rsidR="00027A84" w:rsidTr="00FA2887">
        <w:trPr>
          <w:trHeight w:hRule="exact" w:val="299"/>
          <w:jc w:val="center"/>
        </w:trPr>
        <w:tc>
          <w:tcPr>
            <w:tcW w:w="1980" w:type="dxa"/>
            <w:vMerge w:val="restart"/>
            <w:tcBorders>
              <w:top w:val="single" w:sz="7" w:space="0" w:color="000000"/>
              <w:left w:val="single" w:sz="7" w:space="0" w:color="000000"/>
              <w:right w:val="single" w:sz="7" w:space="0" w:color="D3D3D3"/>
            </w:tcBorders>
          </w:tcPr>
          <w:p w:rsidR="00027A84" w:rsidRPr="00DC6AB4" w:rsidRDefault="00027A84" w:rsidP="006F614B">
            <w:pPr>
              <w:pStyle w:val="TableParagraph"/>
              <w:rPr>
                <w:rFonts w:ascii="Times New Roman" w:eastAsia="Times New Roman" w:hAnsi="Times New Roman" w:cs="Times New Roman"/>
                <w:sz w:val="20"/>
              </w:rPr>
            </w:pPr>
          </w:p>
          <w:p w:rsidR="00027A84" w:rsidRPr="00DC6AB4" w:rsidRDefault="00027A84" w:rsidP="006F614B">
            <w:pPr>
              <w:pStyle w:val="TableParagraph"/>
              <w:spacing w:before="10"/>
              <w:rPr>
                <w:rFonts w:ascii="Times New Roman" w:eastAsia="Times New Roman" w:hAnsi="Times New Roman" w:cs="Times New Roman"/>
                <w:sz w:val="20"/>
                <w:szCs w:val="29"/>
              </w:rPr>
            </w:pPr>
          </w:p>
          <w:p w:rsidR="00027A84" w:rsidRPr="00DC6AB4" w:rsidRDefault="00027A84" w:rsidP="00027A84">
            <w:pPr>
              <w:pStyle w:val="TableParagraph"/>
              <w:ind w:left="180"/>
              <w:rPr>
                <w:rFonts w:ascii="Calibri" w:eastAsia="Calibri" w:hAnsi="Calibri" w:cs="Calibri"/>
                <w:sz w:val="20"/>
              </w:rPr>
            </w:pPr>
            <w:r w:rsidRPr="00DC6AB4">
              <w:rPr>
                <w:rFonts w:ascii="Calibri"/>
                <w:b/>
                <w:spacing w:val="-2"/>
                <w:sz w:val="20"/>
              </w:rPr>
              <w:t>Average</w:t>
            </w:r>
            <w:r w:rsidRPr="00DC6AB4">
              <w:rPr>
                <w:rFonts w:ascii="Calibri"/>
                <w:b/>
                <w:spacing w:val="14"/>
                <w:sz w:val="20"/>
              </w:rPr>
              <w:t xml:space="preserve"> </w:t>
            </w:r>
            <w:r w:rsidRPr="00DC6AB4">
              <w:rPr>
                <w:rFonts w:ascii="Calibri"/>
                <w:b/>
                <w:spacing w:val="-2"/>
                <w:sz w:val="20"/>
              </w:rPr>
              <w:t>Savings</w:t>
            </w:r>
            <w:r w:rsidRPr="00DC6AB4">
              <w:rPr>
                <w:rFonts w:ascii="Calibri"/>
                <w:b/>
                <w:spacing w:val="7"/>
                <w:sz w:val="20"/>
              </w:rPr>
              <w:t xml:space="preserve"> </w:t>
            </w:r>
            <w:r w:rsidRPr="00DC6AB4">
              <w:rPr>
                <w:rFonts w:ascii="Calibri"/>
                <w:b/>
                <w:spacing w:val="-3"/>
                <w:sz w:val="20"/>
              </w:rPr>
              <w:t>[$]</w:t>
            </w:r>
          </w:p>
        </w:tc>
        <w:tc>
          <w:tcPr>
            <w:tcW w:w="1929" w:type="dxa"/>
            <w:tcBorders>
              <w:top w:val="single" w:sz="7" w:space="0" w:color="000000"/>
              <w:left w:val="single" w:sz="7" w:space="0" w:color="D3D3D3"/>
              <w:bottom w:val="single" w:sz="7" w:space="0" w:color="D3D3D3"/>
              <w:right w:val="nil"/>
            </w:tcBorders>
          </w:tcPr>
          <w:p w:rsidR="00027A84" w:rsidRPr="00DC6AB4" w:rsidRDefault="00027A84" w:rsidP="006F614B">
            <w:pPr>
              <w:pStyle w:val="TableParagraph"/>
              <w:spacing w:before="13" w:line="268" w:lineRule="exact"/>
              <w:ind w:left="28"/>
              <w:rPr>
                <w:rFonts w:ascii="Calibri" w:eastAsia="Calibri" w:hAnsi="Calibri" w:cs="Calibri"/>
                <w:sz w:val="20"/>
              </w:rPr>
            </w:pPr>
            <w:r w:rsidRPr="00DC6AB4">
              <w:rPr>
                <w:rFonts w:ascii="Calibri"/>
                <w:b/>
                <w:spacing w:val="-3"/>
                <w:sz w:val="20"/>
              </w:rPr>
              <w:t>National</w:t>
            </w:r>
          </w:p>
        </w:tc>
        <w:tc>
          <w:tcPr>
            <w:tcW w:w="905" w:type="dxa"/>
            <w:tcBorders>
              <w:top w:val="single" w:sz="7" w:space="0" w:color="000000"/>
              <w:left w:val="nil"/>
              <w:bottom w:val="nil"/>
              <w:right w:val="nil"/>
            </w:tcBorders>
            <w:shd w:val="clear" w:color="auto" w:fill="F1E884"/>
          </w:tcPr>
          <w:p w:rsidR="00027A84" w:rsidRPr="00DC6AB4" w:rsidRDefault="00027A84" w:rsidP="00B91C77">
            <w:pPr>
              <w:pStyle w:val="TableParagraph"/>
              <w:spacing w:before="13"/>
              <w:ind w:left="441"/>
              <w:jc w:val="center"/>
              <w:rPr>
                <w:rFonts w:ascii="Calibri" w:eastAsia="Calibri" w:hAnsi="Calibri" w:cs="Calibri"/>
                <w:sz w:val="20"/>
              </w:rPr>
            </w:pPr>
            <w:r w:rsidRPr="00DC6AB4">
              <w:rPr>
                <w:rFonts w:ascii="Calibri"/>
                <w:spacing w:val="-10"/>
                <w:sz w:val="20"/>
              </w:rPr>
              <w:t>$629</w:t>
            </w:r>
          </w:p>
        </w:tc>
        <w:tc>
          <w:tcPr>
            <w:tcW w:w="897" w:type="dxa"/>
            <w:tcBorders>
              <w:top w:val="single" w:sz="7" w:space="0" w:color="000000"/>
              <w:left w:val="nil"/>
              <w:bottom w:val="nil"/>
              <w:right w:val="nil"/>
            </w:tcBorders>
            <w:shd w:val="clear" w:color="auto" w:fill="BBD781"/>
          </w:tcPr>
          <w:p w:rsidR="00027A84" w:rsidRPr="00DC6AB4" w:rsidRDefault="00027A84" w:rsidP="00B91C77">
            <w:pPr>
              <w:pStyle w:val="TableParagraph"/>
              <w:spacing w:before="13"/>
              <w:ind w:left="441"/>
              <w:jc w:val="center"/>
              <w:rPr>
                <w:rFonts w:ascii="Calibri" w:eastAsia="Calibri" w:hAnsi="Calibri" w:cs="Calibri"/>
                <w:sz w:val="20"/>
              </w:rPr>
            </w:pPr>
            <w:r w:rsidRPr="00DC6AB4">
              <w:rPr>
                <w:rFonts w:ascii="Calibri"/>
                <w:spacing w:val="-10"/>
                <w:sz w:val="20"/>
              </w:rPr>
              <w:t>$662</w:t>
            </w:r>
          </w:p>
        </w:tc>
        <w:tc>
          <w:tcPr>
            <w:tcW w:w="897" w:type="dxa"/>
            <w:tcBorders>
              <w:top w:val="single" w:sz="7" w:space="0" w:color="000000"/>
              <w:left w:val="nil"/>
              <w:bottom w:val="nil"/>
              <w:right w:val="nil"/>
            </w:tcBorders>
            <w:shd w:val="clear" w:color="auto" w:fill="FDEB84"/>
          </w:tcPr>
          <w:p w:rsidR="00027A84" w:rsidRPr="00DC6AB4" w:rsidRDefault="00027A84" w:rsidP="00B91C77">
            <w:pPr>
              <w:pStyle w:val="TableParagraph"/>
              <w:spacing w:before="13"/>
              <w:ind w:left="441"/>
              <w:jc w:val="center"/>
              <w:rPr>
                <w:rFonts w:ascii="Calibri" w:eastAsia="Calibri" w:hAnsi="Calibri" w:cs="Calibri"/>
                <w:sz w:val="20"/>
              </w:rPr>
            </w:pPr>
            <w:r w:rsidRPr="00DC6AB4">
              <w:rPr>
                <w:rFonts w:ascii="Calibri"/>
                <w:spacing w:val="-10"/>
                <w:sz w:val="20"/>
              </w:rPr>
              <w:t>$621</w:t>
            </w:r>
          </w:p>
        </w:tc>
        <w:tc>
          <w:tcPr>
            <w:tcW w:w="1794" w:type="dxa"/>
            <w:gridSpan w:val="2"/>
            <w:tcBorders>
              <w:top w:val="single" w:sz="7" w:space="0" w:color="000000"/>
              <w:left w:val="nil"/>
              <w:bottom w:val="nil"/>
              <w:right w:val="single" w:sz="7" w:space="0" w:color="000000"/>
            </w:tcBorders>
            <w:shd w:val="clear" w:color="auto" w:fill="E4E383"/>
          </w:tcPr>
          <w:p w:rsidR="00027A84" w:rsidRPr="00DC6AB4" w:rsidRDefault="00027A84" w:rsidP="00B91C77">
            <w:pPr>
              <w:pStyle w:val="TableParagraph"/>
              <w:tabs>
                <w:tab w:val="left" w:pos="1337"/>
              </w:tabs>
              <w:spacing w:before="13"/>
              <w:ind w:left="440"/>
              <w:jc w:val="center"/>
              <w:rPr>
                <w:rFonts w:ascii="Calibri" w:eastAsia="Calibri" w:hAnsi="Calibri" w:cs="Calibri"/>
                <w:sz w:val="20"/>
              </w:rPr>
            </w:pPr>
            <w:r w:rsidRPr="00DC6AB4">
              <w:rPr>
                <w:rFonts w:ascii="Calibri"/>
                <w:spacing w:val="-8"/>
                <w:sz w:val="20"/>
              </w:rPr>
              <w:t>$637</w:t>
            </w:r>
            <w:r w:rsidRPr="00DC6AB4">
              <w:rPr>
                <w:rFonts w:ascii="Calibri"/>
                <w:spacing w:val="-8"/>
                <w:sz w:val="20"/>
              </w:rPr>
              <w:tab/>
            </w:r>
            <w:r w:rsidRPr="00DC6AB4">
              <w:rPr>
                <w:rFonts w:ascii="Calibri"/>
                <w:spacing w:val="-10"/>
                <w:sz w:val="20"/>
              </w:rPr>
              <w:t>$637</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4" w:line="268" w:lineRule="exact"/>
              <w:ind w:left="28"/>
              <w:rPr>
                <w:rFonts w:ascii="Calibri" w:eastAsia="Calibri" w:hAnsi="Calibri" w:cs="Calibri"/>
                <w:sz w:val="20"/>
              </w:rPr>
            </w:pPr>
            <w:r w:rsidRPr="00DC6AB4">
              <w:rPr>
                <w:rFonts w:ascii="Calibri"/>
                <w:b/>
                <w:spacing w:val="-3"/>
                <w:sz w:val="20"/>
              </w:rPr>
              <w:t>North</w:t>
            </w:r>
          </w:p>
        </w:tc>
        <w:tc>
          <w:tcPr>
            <w:tcW w:w="905" w:type="dxa"/>
            <w:tcBorders>
              <w:top w:val="nil"/>
              <w:left w:val="nil"/>
              <w:bottom w:val="nil"/>
              <w:right w:val="nil"/>
            </w:tcBorders>
            <w:shd w:val="clear" w:color="auto" w:fill="FDE883"/>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$607</w:t>
            </w:r>
          </w:p>
        </w:tc>
        <w:tc>
          <w:tcPr>
            <w:tcW w:w="897" w:type="dxa"/>
            <w:tcBorders>
              <w:top w:val="nil"/>
              <w:left w:val="nil"/>
              <w:bottom w:val="nil"/>
              <w:right w:val="nil"/>
            </w:tcBorders>
            <w:shd w:val="clear" w:color="auto" w:fill="AED380"/>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$669</w:t>
            </w:r>
          </w:p>
        </w:tc>
        <w:tc>
          <w:tcPr>
            <w:tcW w:w="897" w:type="dxa"/>
            <w:tcBorders>
              <w:top w:val="nil"/>
              <w:left w:val="nil"/>
              <w:bottom w:val="nil"/>
              <w:right w:val="nil"/>
            </w:tcBorders>
            <w:shd w:val="clear" w:color="auto" w:fill="FDE883"/>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$607</w:t>
            </w:r>
          </w:p>
        </w:tc>
        <w:tc>
          <w:tcPr>
            <w:tcW w:w="897" w:type="dxa"/>
            <w:tcBorders>
              <w:top w:val="nil"/>
              <w:left w:val="nil"/>
              <w:bottom w:val="nil"/>
              <w:right w:val="nil"/>
            </w:tcBorders>
            <w:shd w:val="clear" w:color="auto" w:fill="FFEB84"/>
          </w:tcPr>
          <w:p w:rsidR="00027A84" w:rsidRPr="00DC6AB4" w:rsidRDefault="00027A84" w:rsidP="00B91C77">
            <w:pPr>
              <w:pStyle w:val="TableParagraph"/>
              <w:spacing w:before="22"/>
              <w:ind w:left="440"/>
              <w:jc w:val="center"/>
              <w:rPr>
                <w:rFonts w:ascii="Calibri" w:eastAsia="Calibri" w:hAnsi="Calibri" w:cs="Calibri"/>
                <w:sz w:val="20"/>
              </w:rPr>
            </w:pPr>
            <w:r w:rsidRPr="00DC6AB4">
              <w:rPr>
                <w:rFonts w:ascii="Calibri"/>
                <w:spacing w:val="-10"/>
                <w:sz w:val="20"/>
              </w:rPr>
              <w:t>$621</w:t>
            </w:r>
          </w:p>
        </w:tc>
        <w:tc>
          <w:tcPr>
            <w:tcW w:w="897" w:type="dxa"/>
            <w:tcBorders>
              <w:top w:val="nil"/>
              <w:left w:val="nil"/>
              <w:bottom w:val="nil"/>
              <w:right w:val="single" w:sz="7" w:space="0" w:color="000000"/>
            </w:tcBorders>
            <w:shd w:val="clear" w:color="auto" w:fill="FDE883"/>
          </w:tcPr>
          <w:p w:rsidR="00027A84" w:rsidRPr="00DC6AB4" w:rsidRDefault="00027A84" w:rsidP="00B91C77">
            <w:pPr>
              <w:pStyle w:val="TableParagraph"/>
              <w:spacing w:before="22"/>
              <w:ind w:left="440"/>
              <w:jc w:val="center"/>
              <w:rPr>
                <w:rFonts w:ascii="Calibri" w:eastAsia="Calibri" w:hAnsi="Calibri" w:cs="Calibri"/>
                <w:sz w:val="20"/>
              </w:rPr>
            </w:pPr>
            <w:r w:rsidRPr="00DC6AB4">
              <w:rPr>
                <w:rFonts w:ascii="Calibri"/>
                <w:spacing w:val="-10"/>
                <w:sz w:val="20"/>
              </w:rPr>
              <w:t>$610</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line="268" w:lineRule="exact"/>
              <w:ind w:left="28"/>
              <w:rPr>
                <w:rFonts w:ascii="Calibri" w:eastAsia="Calibri" w:hAnsi="Calibri" w:cs="Calibri"/>
                <w:sz w:val="20"/>
              </w:rPr>
            </w:pPr>
            <w:r w:rsidRPr="00DC6AB4">
              <w:rPr>
                <w:rFonts w:ascii="Calibri"/>
                <w:b/>
                <w:sz w:val="20"/>
              </w:rPr>
              <w:t>Rest</w:t>
            </w:r>
            <w:r w:rsidRPr="00DC6AB4">
              <w:rPr>
                <w:rFonts w:ascii="Calibri"/>
                <w:b/>
                <w:spacing w:val="1"/>
                <w:sz w:val="20"/>
              </w:rPr>
              <w:t xml:space="preserve"> </w:t>
            </w:r>
            <w:r w:rsidRPr="00DC6AB4">
              <w:rPr>
                <w:rFonts w:ascii="Calibri"/>
                <w:b/>
                <w:sz w:val="20"/>
              </w:rPr>
              <w:t>of</w:t>
            </w:r>
            <w:r w:rsidRPr="00DC6AB4">
              <w:rPr>
                <w:rFonts w:ascii="Calibri"/>
                <w:b/>
                <w:spacing w:val="8"/>
                <w:sz w:val="20"/>
              </w:rPr>
              <w:t xml:space="preserve"> </w:t>
            </w:r>
            <w:r w:rsidRPr="00DC6AB4">
              <w:rPr>
                <w:rFonts w:ascii="Calibri"/>
                <w:b/>
                <w:spacing w:val="-1"/>
                <w:sz w:val="20"/>
              </w:rPr>
              <w:t>Country</w:t>
            </w:r>
          </w:p>
        </w:tc>
        <w:tc>
          <w:tcPr>
            <w:tcW w:w="905" w:type="dxa"/>
            <w:tcBorders>
              <w:top w:val="nil"/>
              <w:left w:val="nil"/>
              <w:bottom w:val="nil"/>
              <w:right w:val="nil"/>
            </w:tcBorders>
            <w:shd w:val="clear" w:color="auto" w:fill="DAE082"/>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$644</w:t>
            </w:r>
          </w:p>
        </w:tc>
        <w:tc>
          <w:tcPr>
            <w:tcW w:w="897" w:type="dxa"/>
            <w:tcBorders>
              <w:top w:val="nil"/>
              <w:left w:val="nil"/>
              <w:bottom w:val="nil"/>
              <w:right w:val="nil"/>
            </w:tcBorders>
            <w:shd w:val="clear" w:color="auto" w:fill="C7DB81"/>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$654</w:t>
            </w:r>
          </w:p>
        </w:tc>
        <w:tc>
          <w:tcPr>
            <w:tcW w:w="897" w:type="dxa"/>
            <w:tcBorders>
              <w:top w:val="nil"/>
              <w:left w:val="nil"/>
              <w:bottom w:val="nil"/>
              <w:right w:val="nil"/>
            </w:tcBorders>
            <w:shd w:val="clear" w:color="auto" w:fill="E2E283"/>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$638</w:t>
            </w:r>
          </w:p>
        </w:tc>
        <w:tc>
          <w:tcPr>
            <w:tcW w:w="897" w:type="dxa"/>
            <w:tcBorders>
              <w:top w:val="nil"/>
              <w:left w:val="nil"/>
              <w:bottom w:val="nil"/>
              <w:right w:val="nil"/>
            </w:tcBorders>
            <w:shd w:val="clear" w:color="auto" w:fill="C5DB81"/>
          </w:tcPr>
          <w:p w:rsidR="00027A84" w:rsidRPr="00DC6AB4" w:rsidRDefault="00027A84" w:rsidP="00B91C77">
            <w:pPr>
              <w:pStyle w:val="TableParagraph"/>
              <w:spacing w:before="22"/>
              <w:ind w:left="440"/>
              <w:jc w:val="center"/>
              <w:rPr>
                <w:rFonts w:ascii="Calibri" w:eastAsia="Calibri" w:hAnsi="Calibri" w:cs="Calibri"/>
                <w:sz w:val="20"/>
              </w:rPr>
            </w:pPr>
            <w:r w:rsidRPr="00DC6AB4">
              <w:rPr>
                <w:rFonts w:ascii="Calibri"/>
                <w:spacing w:val="-10"/>
                <w:sz w:val="20"/>
              </w:rPr>
              <w:t>$656</w:t>
            </w:r>
          </w:p>
        </w:tc>
        <w:tc>
          <w:tcPr>
            <w:tcW w:w="897" w:type="dxa"/>
            <w:tcBorders>
              <w:top w:val="nil"/>
              <w:left w:val="nil"/>
              <w:bottom w:val="nil"/>
              <w:right w:val="single" w:sz="7" w:space="0" w:color="000000"/>
            </w:tcBorders>
            <w:shd w:val="clear" w:color="auto" w:fill="A2D17E"/>
          </w:tcPr>
          <w:p w:rsidR="00027A84" w:rsidRPr="00DC6AB4" w:rsidRDefault="00027A84" w:rsidP="00B91C77">
            <w:pPr>
              <w:pStyle w:val="TableParagraph"/>
              <w:spacing w:before="22"/>
              <w:ind w:left="440"/>
              <w:jc w:val="center"/>
              <w:rPr>
                <w:rFonts w:ascii="Calibri" w:eastAsia="Calibri" w:hAnsi="Calibri" w:cs="Calibri"/>
                <w:sz w:val="20"/>
              </w:rPr>
            </w:pPr>
            <w:r w:rsidRPr="00DC6AB4">
              <w:rPr>
                <w:rFonts w:ascii="Calibri"/>
                <w:spacing w:val="-10"/>
                <w:sz w:val="20"/>
              </w:rPr>
              <w:t>$677</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ind w:left="28"/>
              <w:rPr>
                <w:rFonts w:ascii="Calibri" w:eastAsia="Calibri" w:hAnsi="Calibri" w:cs="Calibri"/>
                <w:sz w:val="20"/>
              </w:rPr>
            </w:pPr>
            <w:r w:rsidRPr="00DC6AB4">
              <w:rPr>
                <w:rFonts w:ascii="Calibri"/>
                <w:b/>
                <w:spacing w:val="-1"/>
                <w:sz w:val="20"/>
              </w:rPr>
              <w:t>California</w:t>
            </w:r>
          </w:p>
        </w:tc>
        <w:tc>
          <w:tcPr>
            <w:tcW w:w="905" w:type="dxa"/>
            <w:tcBorders>
              <w:top w:val="nil"/>
              <w:left w:val="nil"/>
              <w:bottom w:val="nil"/>
              <w:right w:val="nil"/>
            </w:tcBorders>
            <w:shd w:val="clear" w:color="auto" w:fill="FBBB79"/>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$383</w:t>
            </w:r>
          </w:p>
        </w:tc>
        <w:tc>
          <w:tcPr>
            <w:tcW w:w="897" w:type="dxa"/>
            <w:tcBorders>
              <w:top w:val="nil"/>
              <w:left w:val="nil"/>
              <w:bottom w:val="nil"/>
              <w:right w:val="nil"/>
            </w:tcBorders>
            <w:shd w:val="clear" w:color="auto" w:fill="62BD7A"/>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$715</w:t>
            </w:r>
          </w:p>
        </w:tc>
        <w:tc>
          <w:tcPr>
            <w:tcW w:w="897" w:type="dxa"/>
            <w:tcBorders>
              <w:top w:val="nil"/>
              <w:left w:val="nil"/>
              <w:bottom w:val="nil"/>
              <w:right w:val="nil"/>
            </w:tcBorders>
            <w:shd w:val="clear" w:color="auto" w:fill="FAA276"/>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$260</w:t>
            </w:r>
          </w:p>
        </w:tc>
        <w:tc>
          <w:tcPr>
            <w:tcW w:w="897" w:type="dxa"/>
            <w:tcBorders>
              <w:top w:val="nil"/>
              <w:left w:val="nil"/>
              <w:bottom w:val="nil"/>
              <w:right w:val="nil"/>
            </w:tcBorders>
            <w:shd w:val="clear" w:color="auto" w:fill="FAA777"/>
          </w:tcPr>
          <w:p w:rsidR="00027A84" w:rsidRPr="00DC6AB4" w:rsidRDefault="00027A84" w:rsidP="00B91C77">
            <w:pPr>
              <w:pStyle w:val="TableParagraph"/>
              <w:spacing w:before="22"/>
              <w:ind w:left="440"/>
              <w:jc w:val="center"/>
              <w:rPr>
                <w:rFonts w:ascii="Calibri" w:eastAsia="Calibri" w:hAnsi="Calibri" w:cs="Calibri"/>
                <w:sz w:val="20"/>
              </w:rPr>
            </w:pPr>
            <w:r w:rsidRPr="00DC6AB4">
              <w:rPr>
                <w:rFonts w:ascii="Calibri"/>
                <w:spacing w:val="-10"/>
                <w:sz w:val="20"/>
              </w:rPr>
              <w:t>$281</w:t>
            </w:r>
          </w:p>
        </w:tc>
        <w:tc>
          <w:tcPr>
            <w:tcW w:w="897" w:type="dxa"/>
            <w:tcBorders>
              <w:top w:val="nil"/>
              <w:left w:val="nil"/>
              <w:bottom w:val="nil"/>
              <w:right w:val="single" w:sz="7" w:space="0" w:color="000000"/>
            </w:tcBorders>
            <w:shd w:val="clear" w:color="auto" w:fill="F8696B"/>
          </w:tcPr>
          <w:p w:rsidR="00027A84" w:rsidRPr="00DC6AB4" w:rsidRDefault="00027A84" w:rsidP="00B91C77">
            <w:pPr>
              <w:pStyle w:val="TableParagraph"/>
              <w:spacing w:before="22"/>
              <w:ind w:left="470"/>
              <w:jc w:val="center"/>
              <w:rPr>
                <w:rFonts w:ascii="Calibri" w:eastAsia="Calibri" w:hAnsi="Calibri" w:cs="Calibri"/>
                <w:sz w:val="20"/>
              </w:rPr>
            </w:pPr>
            <w:r w:rsidRPr="00DC6AB4">
              <w:rPr>
                <w:rFonts w:ascii="Calibri"/>
                <w:spacing w:val="-4"/>
                <w:sz w:val="20"/>
              </w:rPr>
              <w:t>-$37</w:t>
            </w:r>
          </w:p>
        </w:tc>
      </w:tr>
      <w:tr w:rsidR="00027A84" w:rsidTr="00FA2887">
        <w:trPr>
          <w:trHeight w:hRule="exact" w:val="291"/>
          <w:jc w:val="center"/>
        </w:trPr>
        <w:tc>
          <w:tcPr>
            <w:tcW w:w="1980" w:type="dxa"/>
            <w:vMerge/>
            <w:tcBorders>
              <w:left w:val="single" w:sz="7" w:space="0" w:color="000000"/>
              <w:bottom w:val="nil"/>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nil"/>
              <w:right w:val="nil"/>
            </w:tcBorders>
          </w:tcPr>
          <w:p w:rsidR="00027A84" w:rsidRPr="00DC6AB4" w:rsidRDefault="00027A84" w:rsidP="006F614B">
            <w:pPr>
              <w:pStyle w:val="TableParagraph"/>
              <w:spacing w:before="13"/>
              <w:ind w:left="28"/>
              <w:rPr>
                <w:rFonts w:ascii="Calibri" w:eastAsia="Calibri" w:hAnsi="Calibri" w:cs="Calibri"/>
                <w:sz w:val="20"/>
              </w:rPr>
            </w:pPr>
            <w:r w:rsidRPr="00DC6AB4">
              <w:rPr>
                <w:rFonts w:ascii="Calibri"/>
                <w:b/>
                <w:spacing w:val="-2"/>
                <w:sz w:val="20"/>
              </w:rPr>
              <w:t>Southern</w:t>
            </w:r>
            <w:r w:rsidRPr="00DC6AB4">
              <w:rPr>
                <w:rFonts w:ascii="Calibri"/>
                <w:b/>
                <w:spacing w:val="15"/>
                <w:sz w:val="20"/>
              </w:rPr>
              <w:t xml:space="preserve"> </w:t>
            </w:r>
            <w:r w:rsidRPr="00DC6AB4">
              <w:rPr>
                <w:rFonts w:ascii="Calibri"/>
                <w:b/>
                <w:spacing w:val="-1"/>
                <w:sz w:val="20"/>
              </w:rPr>
              <w:t>California</w:t>
            </w:r>
          </w:p>
        </w:tc>
        <w:tc>
          <w:tcPr>
            <w:tcW w:w="905" w:type="dxa"/>
            <w:tcBorders>
              <w:top w:val="nil"/>
              <w:left w:val="nil"/>
              <w:bottom w:val="nil"/>
              <w:right w:val="nil"/>
            </w:tcBorders>
            <w:shd w:val="clear" w:color="auto" w:fill="F86F6C"/>
          </w:tcPr>
          <w:p w:rsidR="00027A84" w:rsidRPr="00DC6AB4" w:rsidRDefault="00027A84" w:rsidP="00B91C77">
            <w:pPr>
              <w:pStyle w:val="TableParagraph"/>
              <w:spacing w:before="22"/>
              <w:ind w:right="44"/>
              <w:jc w:val="right"/>
              <w:rPr>
                <w:rFonts w:ascii="Calibri" w:eastAsia="Calibri" w:hAnsi="Calibri" w:cs="Calibri"/>
                <w:sz w:val="20"/>
              </w:rPr>
            </w:pPr>
            <w:r w:rsidRPr="00DC6AB4">
              <w:rPr>
                <w:rFonts w:ascii="Calibri"/>
                <w:spacing w:val="-10"/>
                <w:sz w:val="20"/>
              </w:rPr>
              <w:t>$3</w:t>
            </w:r>
          </w:p>
        </w:tc>
        <w:tc>
          <w:tcPr>
            <w:tcW w:w="897" w:type="dxa"/>
            <w:tcBorders>
              <w:top w:val="nil"/>
              <w:left w:val="nil"/>
              <w:bottom w:val="nil"/>
              <w:right w:val="nil"/>
            </w:tcBorders>
            <w:shd w:val="clear" w:color="auto" w:fill="F99D75"/>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$229</w:t>
            </w:r>
          </w:p>
        </w:tc>
        <w:tc>
          <w:tcPr>
            <w:tcW w:w="897" w:type="dxa"/>
            <w:tcBorders>
              <w:top w:val="nil"/>
              <w:left w:val="nil"/>
              <w:bottom w:val="nil"/>
              <w:right w:val="nil"/>
            </w:tcBorders>
            <w:shd w:val="clear" w:color="auto" w:fill="F99171"/>
          </w:tcPr>
          <w:p w:rsidR="00027A84" w:rsidRPr="00DC6AB4" w:rsidRDefault="00027A84" w:rsidP="00B91C77">
            <w:pPr>
              <w:pStyle w:val="TableParagraph"/>
              <w:spacing w:before="22"/>
              <w:ind w:left="441"/>
              <w:jc w:val="center"/>
              <w:rPr>
                <w:rFonts w:ascii="Calibri" w:eastAsia="Calibri" w:hAnsi="Calibri" w:cs="Calibri"/>
                <w:sz w:val="20"/>
              </w:rPr>
            </w:pPr>
            <w:r w:rsidRPr="00DC6AB4">
              <w:rPr>
                <w:rFonts w:ascii="Calibri"/>
                <w:spacing w:val="-10"/>
                <w:sz w:val="20"/>
              </w:rPr>
              <w:t>$169</w:t>
            </w:r>
          </w:p>
        </w:tc>
        <w:tc>
          <w:tcPr>
            <w:tcW w:w="897" w:type="dxa"/>
            <w:tcBorders>
              <w:top w:val="nil"/>
              <w:left w:val="nil"/>
              <w:bottom w:val="nil"/>
              <w:right w:val="nil"/>
            </w:tcBorders>
            <w:shd w:val="clear" w:color="auto" w:fill="F99473"/>
          </w:tcPr>
          <w:p w:rsidR="00027A84" w:rsidRPr="00DC6AB4" w:rsidRDefault="00027A84" w:rsidP="00B91C77">
            <w:pPr>
              <w:pStyle w:val="TableParagraph"/>
              <w:spacing w:before="22"/>
              <w:ind w:left="440"/>
              <w:jc w:val="center"/>
              <w:rPr>
                <w:rFonts w:ascii="Calibri" w:eastAsia="Calibri" w:hAnsi="Calibri" w:cs="Calibri"/>
                <w:sz w:val="20"/>
              </w:rPr>
            </w:pPr>
            <w:r w:rsidRPr="00DC6AB4">
              <w:rPr>
                <w:rFonts w:ascii="Calibri"/>
                <w:spacing w:val="-10"/>
                <w:sz w:val="20"/>
              </w:rPr>
              <w:t>$187</w:t>
            </w:r>
          </w:p>
        </w:tc>
        <w:tc>
          <w:tcPr>
            <w:tcW w:w="897" w:type="dxa"/>
            <w:tcBorders>
              <w:top w:val="nil"/>
              <w:left w:val="nil"/>
              <w:bottom w:val="nil"/>
              <w:right w:val="single" w:sz="7" w:space="0" w:color="000000"/>
            </w:tcBorders>
            <w:shd w:val="clear" w:color="auto" w:fill="F86E6C"/>
          </w:tcPr>
          <w:p w:rsidR="00027A84" w:rsidRPr="00DC6AB4" w:rsidRDefault="00027A84" w:rsidP="00B91C77">
            <w:pPr>
              <w:pStyle w:val="TableParagraph"/>
              <w:spacing w:before="22"/>
              <w:ind w:left="575"/>
              <w:jc w:val="center"/>
              <w:rPr>
                <w:rFonts w:ascii="Calibri" w:eastAsia="Calibri" w:hAnsi="Calibri" w:cs="Calibri"/>
                <w:sz w:val="20"/>
              </w:rPr>
            </w:pPr>
            <w:r w:rsidRPr="00DC6AB4">
              <w:rPr>
                <w:rFonts w:ascii="Calibri"/>
                <w:spacing w:val="-2"/>
                <w:sz w:val="20"/>
              </w:rPr>
              <w:t>-$5</w:t>
            </w:r>
          </w:p>
        </w:tc>
      </w:tr>
      <w:tr w:rsidR="00027A84" w:rsidTr="00FA2887">
        <w:trPr>
          <w:trHeight w:hRule="exact" w:val="209"/>
          <w:jc w:val="center"/>
        </w:trPr>
        <w:tc>
          <w:tcPr>
            <w:tcW w:w="8402" w:type="dxa"/>
            <w:gridSpan w:val="7"/>
            <w:tcBorders>
              <w:top w:val="nil"/>
              <w:left w:val="single" w:sz="7" w:space="0" w:color="000000"/>
              <w:bottom w:val="nil"/>
              <w:right w:val="single" w:sz="7" w:space="0" w:color="000000"/>
            </w:tcBorders>
            <w:shd w:val="clear" w:color="auto" w:fill="D9D9D9"/>
          </w:tcPr>
          <w:p w:rsidR="00027A84" w:rsidRPr="00DC6AB4" w:rsidRDefault="00027A84" w:rsidP="006F614B">
            <w:pPr>
              <w:rPr>
                <w:sz w:val="20"/>
              </w:rPr>
            </w:pPr>
          </w:p>
        </w:tc>
      </w:tr>
      <w:tr w:rsidR="00027A84" w:rsidTr="00FA2887">
        <w:trPr>
          <w:trHeight w:hRule="exact" w:val="292"/>
          <w:jc w:val="center"/>
        </w:trPr>
        <w:tc>
          <w:tcPr>
            <w:tcW w:w="1980" w:type="dxa"/>
            <w:vMerge w:val="restart"/>
            <w:tcBorders>
              <w:top w:val="nil"/>
              <w:left w:val="single" w:sz="7" w:space="0" w:color="000000"/>
              <w:right w:val="single" w:sz="7" w:space="0" w:color="D3D3D3"/>
            </w:tcBorders>
          </w:tcPr>
          <w:p w:rsidR="00027A84" w:rsidRPr="00DC6AB4" w:rsidRDefault="00027A84" w:rsidP="006F614B">
            <w:pPr>
              <w:pStyle w:val="TableParagraph"/>
              <w:rPr>
                <w:rFonts w:ascii="Times New Roman" w:eastAsia="Times New Roman" w:hAnsi="Times New Roman" w:cs="Times New Roman"/>
                <w:sz w:val="20"/>
              </w:rPr>
            </w:pPr>
          </w:p>
          <w:p w:rsidR="00027A84" w:rsidRPr="00DC6AB4" w:rsidRDefault="00027A84" w:rsidP="006F614B">
            <w:pPr>
              <w:pStyle w:val="TableParagraph"/>
              <w:spacing w:before="11"/>
              <w:rPr>
                <w:rFonts w:ascii="Times New Roman" w:eastAsia="Times New Roman" w:hAnsi="Times New Roman" w:cs="Times New Roman"/>
                <w:sz w:val="20"/>
                <w:szCs w:val="29"/>
              </w:rPr>
            </w:pPr>
          </w:p>
          <w:p w:rsidR="00027A84" w:rsidRPr="00DC6AB4" w:rsidRDefault="00027A84" w:rsidP="006F614B">
            <w:pPr>
              <w:pStyle w:val="TableParagraph"/>
              <w:ind w:left="178"/>
              <w:rPr>
                <w:rFonts w:ascii="Calibri" w:eastAsia="Calibri" w:hAnsi="Calibri" w:cs="Calibri"/>
                <w:sz w:val="20"/>
              </w:rPr>
            </w:pPr>
            <w:r w:rsidRPr="00DC6AB4">
              <w:rPr>
                <w:rFonts w:ascii="Calibri"/>
                <w:b/>
                <w:sz w:val="20"/>
              </w:rPr>
              <w:t>Simple</w:t>
            </w:r>
            <w:r w:rsidRPr="00DC6AB4">
              <w:rPr>
                <w:rFonts w:ascii="Calibri"/>
                <w:b/>
                <w:spacing w:val="13"/>
                <w:sz w:val="20"/>
              </w:rPr>
              <w:t xml:space="preserve"> </w:t>
            </w:r>
            <w:r w:rsidRPr="00DC6AB4">
              <w:rPr>
                <w:rFonts w:ascii="Calibri"/>
                <w:b/>
                <w:spacing w:val="-4"/>
                <w:sz w:val="20"/>
              </w:rPr>
              <w:t>Payback</w:t>
            </w:r>
            <w:r w:rsidRPr="00DC6AB4">
              <w:rPr>
                <w:rFonts w:ascii="Calibri"/>
                <w:b/>
                <w:spacing w:val="2"/>
                <w:sz w:val="20"/>
              </w:rPr>
              <w:t xml:space="preserve"> </w:t>
            </w:r>
            <w:r w:rsidRPr="00DC6AB4">
              <w:rPr>
                <w:rFonts w:ascii="Calibri"/>
                <w:b/>
                <w:sz w:val="20"/>
              </w:rPr>
              <w:t>Period</w:t>
            </w:r>
            <w:r w:rsidRPr="00DC6AB4">
              <w:rPr>
                <w:rFonts w:ascii="Calibri"/>
                <w:b/>
                <w:spacing w:val="4"/>
                <w:sz w:val="20"/>
              </w:rPr>
              <w:t xml:space="preserve"> </w:t>
            </w:r>
            <w:r w:rsidRPr="00DC6AB4">
              <w:rPr>
                <w:rFonts w:ascii="Calibri"/>
                <w:b/>
                <w:spacing w:val="-2"/>
                <w:sz w:val="20"/>
              </w:rPr>
              <w:t>[</w:t>
            </w:r>
            <w:proofErr w:type="spellStart"/>
            <w:r w:rsidRPr="00DC6AB4">
              <w:rPr>
                <w:rFonts w:ascii="Calibri"/>
                <w:b/>
                <w:spacing w:val="-2"/>
                <w:sz w:val="20"/>
              </w:rPr>
              <w:t>yrs</w:t>
            </w:r>
            <w:proofErr w:type="spellEnd"/>
            <w:r w:rsidRPr="00DC6AB4">
              <w:rPr>
                <w:rFonts w:ascii="Calibri"/>
                <w:b/>
                <w:spacing w:val="-2"/>
                <w:sz w:val="20"/>
              </w:rPr>
              <w:t>]</w:t>
            </w:r>
          </w:p>
        </w:tc>
        <w:tc>
          <w:tcPr>
            <w:tcW w:w="1929" w:type="dxa"/>
            <w:tcBorders>
              <w:top w:val="nil"/>
              <w:left w:val="single" w:sz="7" w:space="0" w:color="D3D3D3"/>
              <w:bottom w:val="single" w:sz="7" w:space="0" w:color="D3D3D3"/>
              <w:right w:val="nil"/>
            </w:tcBorders>
          </w:tcPr>
          <w:p w:rsidR="00027A84" w:rsidRPr="00DC6AB4" w:rsidRDefault="00027A84" w:rsidP="006F614B">
            <w:pPr>
              <w:pStyle w:val="TableParagraph"/>
              <w:spacing w:before="14"/>
              <w:ind w:left="28"/>
              <w:rPr>
                <w:rFonts w:ascii="Calibri" w:eastAsia="Calibri" w:hAnsi="Calibri" w:cs="Calibri"/>
                <w:sz w:val="20"/>
              </w:rPr>
            </w:pPr>
            <w:r w:rsidRPr="00DC6AB4">
              <w:rPr>
                <w:rFonts w:ascii="Calibri"/>
                <w:b/>
                <w:spacing w:val="-3"/>
                <w:sz w:val="20"/>
              </w:rPr>
              <w:t>National</w:t>
            </w:r>
          </w:p>
        </w:tc>
        <w:tc>
          <w:tcPr>
            <w:tcW w:w="905" w:type="dxa"/>
            <w:tcBorders>
              <w:top w:val="nil"/>
              <w:left w:val="nil"/>
              <w:bottom w:val="nil"/>
              <w:right w:val="nil"/>
            </w:tcBorders>
            <w:shd w:val="clear" w:color="auto" w:fill="94CC7C"/>
          </w:tcPr>
          <w:p w:rsidR="00027A84" w:rsidRPr="00DC6AB4" w:rsidRDefault="00027A84" w:rsidP="006F614B">
            <w:pPr>
              <w:pStyle w:val="TableParagraph"/>
              <w:spacing w:before="14"/>
              <w:ind w:left="597"/>
              <w:rPr>
                <w:rFonts w:ascii="Calibri" w:eastAsia="Calibri" w:hAnsi="Calibri" w:cs="Calibri"/>
                <w:sz w:val="20"/>
              </w:rPr>
            </w:pPr>
            <w:r w:rsidRPr="00DC6AB4">
              <w:rPr>
                <w:rFonts w:ascii="Calibri"/>
                <w:spacing w:val="-3"/>
                <w:sz w:val="20"/>
              </w:rPr>
              <w:t>6.7</w:t>
            </w:r>
          </w:p>
        </w:tc>
        <w:tc>
          <w:tcPr>
            <w:tcW w:w="897" w:type="dxa"/>
            <w:tcBorders>
              <w:top w:val="nil"/>
              <w:left w:val="nil"/>
              <w:bottom w:val="nil"/>
              <w:right w:val="nil"/>
            </w:tcBorders>
            <w:shd w:val="clear" w:color="auto" w:fill="92CA7C"/>
          </w:tcPr>
          <w:p w:rsidR="00027A84" w:rsidRPr="00DC6AB4" w:rsidRDefault="00027A84" w:rsidP="006F614B">
            <w:pPr>
              <w:pStyle w:val="TableParagraph"/>
              <w:spacing w:before="14"/>
              <w:ind w:left="590"/>
              <w:rPr>
                <w:rFonts w:ascii="Calibri" w:eastAsia="Calibri" w:hAnsi="Calibri" w:cs="Calibri"/>
                <w:sz w:val="20"/>
              </w:rPr>
            </w:pPr>
            <w:r w:rsidRPr="00DC6AB4">
              <w:rPr>
                <w:rFonts w:ascii="Calibri"/>
                <w:spacing w:val="-3"/>
                <w:sz w:val="20"/>
              </w:rPr>
              <w:t>6.6</w:t>
            </w:r>
          </w:p>
        </w:tc>
        <w:tc>
          <w:tcPr>
            <w:tcW w:w="897" w:type="dxa"/>
            <w:tcBorders>
              <w:top w:val="nil"/>
              <w:left w:val="nil"/>
              <w:bottom w:val="nil"/>
              <w:right w:val="nil"/>
            </w:tcBorders>
            <w:shd w:val="clear" w:color="auto" w:fill="97CD7D"/>
          </w:tcPr>
          <w:p w:rsidR="00027A84" w:rsidRPr="00DC6AB4" w:rsidRDefault="00027A84" w:rsidP="006F614B">
            <w:pPr>
              <w:pStyle w:val="TableParagraph"/>
              <w:spacing w:before="14"/>
              <w:ind w:left="590"/>
              <w:rPr>
                <w:rFonts w:ascii="Calibri" w:eastAsia="Calibri" w:hAnsi="Calibri" w:cs="Calibri"/>
                <w:sz w:val="20"/>
              </w:rPr>
            </w:pPr>
            <w:r w:rsidRPr="00DC6AB4">
              <w:rPr>
                <w:rFonts w:ascii="Calibri"/>
                <w:spacing w:val="-3"/>
                <w:sz w:val="20"/>
              </w:rPr>
              <w:t>6.8</w:t>
            </w:r>
          </w:p>
        </w:tc>
        <w:tc>
          <w:tcPr>
            <w:tcW w:w="897" w:type="dxa"/>
            <w:tcBorders>
              <w:top w:val="nil"/>
              <w:left w:val="nil"/>
              <w:bottom w:val="nil"/>
              <w:right w:val="nil"/>
            </w:tcBorders>
            <w:shd w:val="clear" w:color="auto" w:fill="94CC7C"/>
          </w:tcPr>
          <w:p w:rsidR="00027A84" w:rsidRPr="00DC6AB4" w:rsidRDefault="00027A84" w:rsidP="006F614B">
            <w:pPr>
              <w:pStyle w:val="TableParagraph"/>
              <w:spacing w:before="14"/>
              <w:ind w:left="590"/>
              <w:rPr>
                <w:rFonts w:ascii="Calibri" w:eastAsia="Calibri" w:hAnsi="Calibri" w:cs="Calibri"/>
                <w:sz w:val="20"/>
              </w:rPr>
            </w:pPr>
            <w:r w:rsidRPr="00DC6AB4">
              <w:rPr>
                <w:rFonts w:ascii="Calibri"/>
                <w:spacing w:val="-3"/>
                <w:sz w:val="20"/>
              </w:rPr>
              <w:t>6.7</w:t>
            </w:r>
          </w:p>
        </w:tc>
        <w:tc>
          <w:tcPr>
            <w:tcW w:w="897" w:type="dxa"/>
            <w:tcBorders>
              <w:top w:val="nil"/>
              <w:left w:val="nil"/>
              <w:bottom w:val="nil"/>
              <w:right w:val="single" w:sz="7" w:space="0" w:color="000000"/>
            </w:tcBorders>
            <w:shd w:val="clear" w:color="auto" w:fill="93CC7C"/>
          </w:tcPr>
          <w:p w:rsidR="00027A84" w:rsidRPr="00DC6AB4" w:rsidRDefault="00027A84" w:rsidP="006F614B">
            <w:pPr>
              <w:pStyle w:val="TableParagraph"/>
              <w:spacing w:before="14"/>
              <w:ind w:left="590"/>
              <w:rPr>
                <w:rFonts w:ascii="Calibri" w:eastAsia="Calibri" w:hAnsi="Calibri" w:cs="Calibri"/>
                <w:sz w:val="20"/>
              </w:rPr>
            </w:pPr>
            <w:r w:rsidRPr="00DC6AB4">
              <w:rPr>
                <w:rFonts w:ascii="Calibri"/>
                <w:spacing w:val="-3"/>
                <w:sz w:val="20"/>
              </w:rPr>
              <w:t>6.6</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line="268" w:lineRule="exact"/>
              <w:ind w:left="28"/>
              <w:rPr>
                <w:rFonts w:ascii="Calibri" w:eastAsia="Calibri" w:hAnsi="Calibri" w:cs="Calibri"/>
                <w:sz w:val="20"/>
              </w:rPr>
            </w:pPr>
            <w:r w:rsidRPr="00DC6AB4">
              <w:rPr>
                <w:rFonts w:ascii="Calibri"/>
                <w:b/>
                <w:spacing w:val="-3"/>
                <w:sz w:val="20"/>
              </w:rPr>
              <w:t>North</w:t>
            </w:r>
          </w:p>
        </w:tc>
        <w:tc>
          <w:tcPr>
            <w:tcW w:w="905" w:type="dxa"/>
            <w:tcBorders>
              <w:top w:val="nil"/>
              <w:left w:val="nil"/>
              <w:bottom w:val="nil"/>
              <w:right w:val="nil"/>
            </w:tcBorders>
            <w:shd w:val="clear" w:color="auto" w:fill="A8D27E"/>
          </w:tcPr>
          <w:p w:rsidR="00027A84" w:rsidRPr="00DC6AB4" w:rsidRDefault="00027A84" w:rsidP="006F614B">
            <w:pPr>
              <w:pStyle w:val="TableParagraph"/>
              <w:spacing w:before="22"/>
              <w:ind w:left="597"/>
              <w:rPr>
                <w:rFonts w:ascii="Calibri" w:eastAsia="Calibri" w:hAnsi="Calibri" w:cs="Calibri"/>
                <w:sz w:val="20"/>
              </w:rPr>
            </w:pPr>
            <w:r w:rsidRPr="00DC6AB4">
              <w:rPr>
                <w:rFonts w:ascii="Calibri"/>
                <w:spacing w:val="-3"/>
                <w:sz w:val="20"/>
              </w:rPr>
              <w:t>7.3</w:t>
            </w:r>
          </w:p>
        </w:tc>
        <w:tc>
          <w:tcPr>
            <w:tcW w:w="897" w:type="dxa"/>
            <w:tcBorders>
              <w:top w:val="nil"/>
              <w:left w:val="nil"/>
              <w:bottom w:val="nil"/>
              <w:right w:val="nil"/>
            </w:tcBorders>
            <w:shd w:val="clear" w:color="auto" w:fill="A2D07D"/>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7.2</w:t>
            </w:r>
          </w:p>
        </w:tc>
        <w:tc>
          <w:tcPr>
            <w:tcW w:w="897" w:type="dxa"/>
            <w:tcBorders>
              <w:top w:val="nil"/>
              <w:left w:val="nil"/>
              <w:bottom w:val="nil"/>
              <w:right w:val="nil"/>
            </w:tcBorders>
            <w:shd w:val="clear" w:color="auto" w:fill="A6D17D"/>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7.3</w:t>
            </w:r>
          </w:p>
        </w:tc>
        <w:tc>
          <w:tcPr>
            <w:tcW w:w="897" w:type="dxa"/>
            <w:tcBorders>
              <w:top w:val="nil"/>
              <w:left w:val="nil"/>
              <w:bottom w:val="nil"/>
              <w:right w:val="nil"/>
            </w:tcBorders>
            <w:shd w:val="clear" w:color="auto" w:fill="A3D07D"/>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7.2</w:t>
            </w:r>
          </w:p>
        </w:tc>
        <w:tc>
          <w:tcPr>
            <w:tcW w:w="897" w:type="dxa"/>
            <w:tcBorders>
              <w:top w:val="nil"/>
              <w:left w:val="nil"/>
              <w:bottom w:val="nil"/>
              <w:right w:val="single" w:sz="7" w:space="0" w:color="000000"/>
            </w:tcBorders>
            <w:shd w:val="clear" w:color="auto" w:fill="9FCF7D"/>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7.0</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line="268" w:lineRule="exact"/>
              <w:ind w:left="28"/>
              <w:rPr>
                <w:rFonts w:ascii="Calibri" w:eastAsia="Calibri" w:hAnsi="Calibri" w:cs="Calibri"/>
                <w:sz w:val="20"/>
              </w:rPr>
            </w:pPr>
            <w:r w:rsidRPr="00DC6AB4">
              <w:rPr>
                <w:rFonts w:ascii="Calibri"/>
                <w:b/>
                <w:sz w:val="20"/>
              </w:rPr>
              <w:t>Rest</w:t>
            </w:r>
            <w:r w:rsidRPr="00DC6AB4">
              <w:rPr>
                <w:rFonts w:ascii="Calibri"/>
                <w:b/>
                <w:spacing w:val="1"/>
                <w:sz w:val="20"/>
              </w:rPr>
              <w:t xml:space="preserve"> </w:t>
            </w:r>
            <w:r w:rsidRPr="00DC6AB4">
              <w:rPr>
                <w:rFonts w:ascii="Calibri"/>
                <w:b/>
                <w:sz w:val="20"/>
              </w:rPr>
              <w:t>of</w:t>
            </w:r>
            <w:r w:rsidRPr="00DC6AB4">
              <w:rPr>
                <w:rFonts w:ascii="Calibri"/>
                <w:b/>
                <w:spacing w:val="8"/>
                <w:sz w:val="20"/>
              </w:rPr>
              <w:t xml:space="preserve"> </w:t>
            </w:r>
            <w:r w:rsidRPr="00DC6AB4">
              <w:rPr>
                <w:rFonts w:ascii="Calibri"/>
                <w:b/>
                <w:spacing w:val="-1"/>
                <w:sz w:val="20"/>
              </w:rPr>
              <w:t>Country</w:t>
            </w:r>
          </w:p>
        </w:tc>
        <w:tc>
          <w:tcPr>
            <w:tcW w:w="905" w:type="dxa"/>
            <w:tcBorders>
              <w:top w:val="nil"/>
              <w:left w:val="nil"/>
              <w:bottom w:val="nil"/>
              <w:right w:val="nil"/>
            </w:tcBorders>
            <w:shd w:val="clear" w:color="auto" w:fill="6DC17A"/>
          </w:tcPr>
          <w:p w:rsidR="00027A84" w:rsidRPr="00DC6AB4" w:rsidRDefault="00027A84" w:rsidP="006F614B">
            <w:pPr>
              <w:pStyle w:val="TableParagraph"/>
              <w:spacing w:before="22"/>
              <w:ind w:left="597"/>
              <w:rPr>
                <w:rFonts w:ascii="Calibri" w:eastAsia="Calibri" w:hAnsi="Calibri" w:cs="Calibri"/>
                <w:sz w:val="20"/>
              </w:rPr>
            </w:pPr>
            <w:r w:rsidRPr="00DC6AB4">
              <w:rPr>
                <w:rFonts w:ascii="Calibri"/>
                <w:spacing w:val="-3"/>
                <w:sz w:val="20"/>
              </w:rPr>
              <w:t>5.3</w:t>
            </w:r>
          </w:p>
        </w:tc>
        <w:tc>
          <w:tcPr>
            <w:tcW w:w="897" w:type="dxa"/>
            <w:tcBorders>
              <w:top w:val="nil"/>
              <w:left w:val="nil"/>
              <w:bottom w:val="nil"/>
              <w:right w:val="nil"/>
            </w:tcBorders>
            <w:shd w:val="clear" w:color="auto" w:fill="63BD7A"/>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4.9</w:t>
            </w:r>
          </w:p>
        </w:tc>
        <w:tc>
          <w:tcPr>
            <w:tcW w:w="897" w:type="dxa"/>
            <w:tcBorders>
              <w:top w:val="nil"/>
              <w:left w:val="nil"/>
              <w:bottom w:val="nil"/>
              <w:right w:val="nil"/>
            </w:tcBorders>
            <w:shd w:val="clear" w:color="auto" w:fill="68BE7A"/>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5.0</w:t>
            </w:r>
          </w:p>
        </w:tc>
        <w:tc>
          <w:tcPr>
            <w:tcW w:w="897" w:type="dxa"/>
            <w:tcBorders>
              <w:top w:val="nil"/>
              <w:left w:val="nil"/>
              <w:bottom w:val="nil"/>
              <w:right w:val="nil"/>
            </w:tcBorders>
            <w:shd w:val="clear" w:color="auto" w:fill="62BD7A"/>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4.8</w:t>
            </w:r>
          </w:p>
        </w:tc>
        <w:tc>
          <w:tcPr>
            <w:tcW w:w="897" w:type="dxa"/>
            <w:tcBorders>
              <w:top w:val="nil"/>
              <w:left w:val="nil"/>
              <w:bottom w:val="nil"/>
              <w:right w:val="single" w:sz="7" w:space="0" w:color="000000"/>
            </w:tcBorders>
            <w:shd w:val="clear" w:color="auto" w:fill="67BE7A"/>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5.0</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line="268" w:lineRule="exact"/>
              <w:ind w:left="28"/>
              <w:rPr>
                <w:rFonts w:ascii="Calibri" w:eastAsia="Calibri" w:hAnsi="Calibri" w:cs="Calibri"/>
                <w:sz w:val="20"/>
              </w:rPr>
            </w:pPr>
            <w:r w:rsidRPr="00DC6AB4">
              <w:rPr>
                <w:rFonts w:ascii="Calibri"/>
                <w:b/>
                <w:spacing w:val="-1"/>
                <w:sz w:val="20"/>
              </w:rPr>
              <w:t>California</w:t>
            </w:r>
          </w:p>
        </w:tc>
        <w:tc>
          <w:tcPr>
            <w:tcW w:w="905" w:type="dxa"/>
            <w:tcBorders>
              <w:top w:val="nil"/>
              <w:left w:val="nil"/>
              <w:bottom w:val="nil"/>
              <w:right w:val="nil"/>
            </w:tcBorders>
            <w:shd w:val="clear" w:color="auto" w:fill="FCEA83"/>
          </w:tcPr>
          <w:p w:rsidR="00027A84" w:rsidRPr="00DC6AB4" w:rsidRDefault="00027A84" w:rsidP="006F614B">
            <w:pPr>
              <w:pStyle w:val="TableParagraph"/>
              <w:spacing w:before="22"/>
              <w:ind w:left="493"/>
              <w:rPr>
                <w:rFonts w:ascii="Calibri" w:eastAsia="Calibri" w:hAnsi="Calibri" w:cs="Calibri"/>
                <w:sz w:val="20"/>
              </w:rPr>
            </w:pPr>
            <w:r w:rsidRPr="00DC6AB4">
              <w:rPr>
                <w:rFonts w:ascii="Calibri"/>
                <w:spacing w:val="-5"/>
                <w:sz w:val="20"/>
              </w:rPr>
              <w:t>10.4</w:t>
            </w:r>
          </w:p>
        </w:tc>
        <w:tc>
          <w:tcPr>
            <w:tcW w:w="897" w:type="dxa"/>
            <w:tcBorders>
              <w:top w:val="nil"/>
              <w:left w:val="nil"/>
              <w:bottom w:val="nil"/>
              <w:right w:val="nil"/>
            </w:tcBorders>
            <w:shd w:val="clear" w:color="auto" w:fill="B3D47E"/>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7.7</w:t>
            </w:r>
          </w:p>
        </w:tc>
        <w:tc>
          <w:tcPr>
            <w:tcW w:w="897" w:type="dxa"/>
            <w:tcBorders>
              <w:top w:val="nil"/>
              <w:left w:val="nil"/>
              <w:bottom w:val="nil"/>
              <w:right w:val="nil"/>
            </w:tcBorders>
            <w:shd w:val="clear" w:color="auto" w:fill="FFE183"/>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11.6</w:t>
            </w:r>
          </w:p>
        </w:tc>
        <w:tc>
          <w:tcPr>
            <w:tcW w:w="897" w:type="dxa"/>
            <w:tcBorders>
              <w:top w:val="nil"/>
              <w:left w:val="nil"/>
              <w:bottom w:val="nil"/>
              <w:right w:val="nil"/>
            </w:tcBorders>
            <w:shd w:val="clear" w:color="auto" w:fill="FFE784"/>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11.0</w:t>
            </w:r>
          </w:p>
        </w:tc>
        <w:tc>
          <w:tcPr>
            <w:tcW w:w="897" w:type="dxa"/>
            <w:tcBorders>
              <w:top w:val="nil"/>
              <w:left w:val="nil"/>
              <w:bottom w:val="nil"/>
              <w:right w:val="single" w:sz="7" w:space="0" w:color="000000"/>
            </w:tcBorders>
            <w:shd w:val="clear" w:color="auto" w:fill="FFDF82"/>
          </w:tcPr>
          <w:p w:rsidR="00027A84" w:rsidRPr="00DC6AB4" w:rsidRDefault="00027A84" w:rsidP="006F614B">
            <w:pPr>
              <w:pStyle w:val="TableParagraph"/>
              <w:spacing w:before="22"/>
              <w:ind w:left="485"/>
              <w:rPr>
                <w:rFonts w:ascii="Calibri" w:eastAsia="Calibri" w:hAnsi="Calibri" w:cs="Calibri"/>
                <w:sz w:val="20"/>
              </w:rPr>
            </w:pPr>
            <w:r w:rsidRPr="00DC6AB4">
              <w:rPr>
                <w:rFonts w:ascii="Calibri"/>
                <w:spacing w:val="-5"/>
                <w:sz w:val="20"/>
              </w:rPr>
              <w:t>11.8</w:t>
            </w:r>
          </w:p>
        </w:tc>
      </w:tr>
      <w:tr w:rsidR="00027A84" w:rsidTr="00FA2887">
        <w:trPr>
          <w:trHeight w:hRule="exact" w:val="291"/>
          <w:jc w:val="center"/>
        </w:trPr>
        <w:tc>
          <w:tcPr>
            <w:tcW w:w="1980" w:type="dxa"/>
            <w:vMerge/>
            <w:tcBorders>
              <w:left w:val="single" w:sz="7" w:space="0" w:color="000000"/>
              <w:bottom w:val="nil"/>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nil"/>
              <w:right w:val="nil"/>
            </w:tcBorders>
          </w:tcPr>
          <w:p w:rsidR="00027A84" w:rsidRPr="00DC6AB4" w:rsidRDefault="00027A84" w:rsidP="006F614B">
            <w:pPr>
              <w:pStyle w:val="TableParagraph"/>
              <w:spacing w:before="13"/>
              <w:ind w:left="28"/>
              <w:rPr>
                <w:rFonts w:ascii="Calibri" w:eastAsia="Calibri" w:hAnsi="Calibri" w:cs="Calibri"/>
                <w:sz w:val="20"/>
              </w:rPr>
            </w:pPr>
            <w:r w:rsidRPr="00DC6AB4">
              <w:rPr>
                <w:rFonts w:ascii="Calibri"/>
                <w:b/>
                <w:spacing w:val="-2"/>
                <w:sz w:val="20"/>
              </w:rPr>
              <w:t>Southern</w:t>
            </w:r>
            <w:r w:rsidRPr="00DC6AB4">
              <w:rPr>
                <w:rFonts w:ascii="Calibri"/>
                <w:b/>
                <w:spacing w:val="15"/>
                <w:sz w:val="20"/>
              </w:rPr>
              <w:t xml:space="preserve"> </w:t>
            </w:r>
            <w:r w:rsidRPr="00DC6AB4">
              <w:rPr>
                <w:rFonts w:ascii="Calibri"/>
                <w:b/>
                <w:spacing w:val="-1"/>
                <w:sz w:val="20"/>
              </w:rPr>
              <w:t>California</w:t>
            </w:r>
          </w:p>
        </w:tc>
        <w:tc>
          <w:tcPr>
            <w:tcW w:w="905" w:type="dxa"/>
            <w:tcBorders>
              <w:top w:val="nil"/>
              <w:left w:val="nil"/>
              <w:bottom w:val="nil"/>
              <w:right w:val="nil"/>
            </w:tcBorders>
            <w:shd w:val="clear" w:color="auto" w:fill="FBA377"/>
          </w:tcPr>
          <w:p w:rsidR="00027A84" w:rsidRPr="00DC6AB4" w:rsidRDefault="00027A84" w:rsidP="006F614B">
            <w:pPr>
              <w:pStyle w:val="TableParagraph"/>
              <w:spacing w:before="22"/>
              <w:ind w:left="493"/>
              <w:rPr>
                <w:rFonts w:ascii="Calibri" w:eastAsia="Calibri" w:hAnsi="Calibri" w:cs="Calibri"/>
                <w:sz w:val="20"/>
              </w:rPr>
            </w:pPr>
            <w:r w:rsidRPr="00DC6AB4">
              <w:rPr>
                <w:rFonts w:ascii="Calibri"/>
                <w:spacing w:val="-5"/>
                <w:sz w:val="20"/>
              </w:rPr>
              <w:t>19.0</w:t>
            </w:r>
          </w:p>
        </w:tc>
        <w:tc>
          <w:tcPr>
            <w:tcW w:w="897" w:type="dxa"/>
            <w:tcBorders>
              <w:top w:val="nil"/>
              <w:left w:val="nil"/>
              <w:bottom w:val="nil"/>
              <w:right w:val="nil"/>
            </w:tcBorders>
            <w:shd w:val="clear" w:color="auto" w:fill="FFE784"/>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11.0</w:t>
            </w:r>
          </w:p>
        </w:tc>
        <w:tc>
          <w:tcPr>
            <w:tcW w:w="897" w:type="dxa"/>
            <w:tcBorders>
              <w:top w:val="nil"/>
              <w:left w:val="nil"/>
              <w:bottom w:val="nil"/>
              <w:right w:val="nil"/>
            </w:tcBorders>
            <w:shd w:val="clear" w:color="auto" w:fill="FDD07E"/>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13.8</w:t>
            </w:r>
          </w:p>
        </w:tc>
        <w:tc>
          <w:tcPr>
            <w:tcW w:w="897" w:type="dxa"/>
            <w:tcBorders>
              <w:top w:val="nil"/>
              <w:left w:val="nil"/>
              <w:bottom w:val="nil"/>
              <w:right w:val="nil"/>
            </w:tcBorders>
            <w:shd w:val="clear" w:color="auto" w:fill="FFE283"/>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11.4</w:t>
            </w:r>
          </w:p>
        </w:tc>
        <w:tc>
          <w:tcPr>
            <w:tcW w:w="897" w:type="dxa"/>
            <w:tcBorders>
              <w:top w:val="nil"/>
              <w:left w:val="nil"/>
              <w:bottom w:val="nil"/>
              <w:right w:val="single" w:sz="7" w:space="0" w:color="000000"/>
            </w:tcBorders>
            <w:shd w:val="clear" w:color="auto" w:fill="FFDB81"/>
          </w:tcPr>
          <w:p w:rsidR="00027A84" w:rsidRPr="00DC6AB4" w:rsidRDefault="00027A84" w:rsidP="006F614B">
            <w:pPr>
              <w:pStyle w:val="TableParagraph"/>
              <w:spacing w:before="22"/>
              <w:ind w:left="485"/>
              <w:rPr>
                <w:rFonts w:ascii="Calibri" w:eastAsia="Calibri" w:hAnsi="Calibri" w:cs="Calibri"/>
                <w:sz w:val="20"/>
              </w:rPr>
            </w:pPr>
            <w:r w:rsidRPr="00DC6AB4">
              <w:rPr>
                <w:rFonts w:ascii="Calibri"/>
                <w:spacing w:val="-5"/>
                <w:sz w:val="20"/>
              </w:rPr>
              <w:t>12.5</w:t>
            </w:r>
          </w:p>
        </w:tc>
      </w:tr>
      <w:tr w:rsidR="00027A84" w:rsidTr="00FA2887">
        <w:trPr>
          <w:trHeight w:hRule="exact" w:val="209"/>
          <w:jc w:val="center"/>
        </w:trPr>
        <w:tc>
          <w:tcPr>
            <w:tcW w:w="8402" w:type="dxa"/>
            <w:gridSpan w:val="7"/>
            <w:tcBorders>
              <w:top w:val="nil"/>
              <w:left w:val="single" w:sz="7" w:space="0" w:color="000000"/>
              <w:bottom w:val="nil"/>
              <w:right w:val="single" w:sz="7" w:space="0" w:color="000000"/>
            </w:tcBorders>
            <w:shd w:val="clear" w:color="auto" w:fill="D9D9D9"/>
          </w:tcPr>
          <w:p w:rsidR="00027A84" w:rsidRPr="00DC6AB4" w:rsidRDefault="00027A84" w:rsidP="006F614B">
            <w:pPr>
              <w:rPr>
                <w:sz w:val="20"/>
              </w:rPr>
            </w:pPr>
          </w:p>
        </w:tc>
      </w:tr>
      <w:tr w:rsidR="00027A84" w:rsidTr="00FA2887">
        <w:trPr>
          <w:trHeight w:hRule="exact" w:val="292"/>
          <w:jc w:val="center"/>
        </w:trPr>
        <w:tc>
          <w:tcPr>
            <w:tcW w:w="1980" w:type="dxa"/>
            <w:vMerge w:val="restart"/>
            <w:tcBorders>
              <w:top w:val="nil"/>
              <w:left w:val="single" w:sz="7" w:space="0" w:color="000000"/>
              <w:right w:val="single" w:sz="7" w:space="0" w:color="D3D3D3"/>
            </w:tcBorders>
          </w:tcPr>
          <w:p w:rsidR="00027A84" w:rsidRPr="00DC6AB4" w:rsidRDefault="00027A84" w:rsidP="006F614B">
            <w:pPr>
              <w:pStyle w:val="TableParagraph"/>
              <w:rPr>
                <w:rFonts w:ascii="Times New Roman" w:eastAsia="Times New Roman" w:hAnsi="Times New Roman" w:cs="Times New Roman"/>
                <w:sz w:val="20"/>
              </w:rPr>
            </w:pPr>
          </w:p>
          <w:p w:rsidR="00027A84" w:rsidRPr="00DC6AB4" w:rsidRDefault="00027A84" w:rsidP="006F614B">
            <w:pPr>
              <w:pStyle w:val="TableParagraph"/>
              <w:spacing w:before="11"/>
              <w:rPr>
                <w:rFonts w:ascii="Times New Roman" w:eastAsia="Times New Roman" w:hAnsi="Times New Roman" w:cs="Times New Roman"/>
                <w:sz w:val="20"/>
                <w:szCs w:val="29"/>
              </w:rPr>
            </w:pPr>
          </w:p>
          <w:p w:rsidR="00027A84" w:rsidRPr="00DC6AB4" w:rsidRDefault="00027A84" w:rsidP="006F614B">
            <w:pPr>
              <w:pStyle w:val="TableParagraph"/>
              <w:ind w:left="118"/>
              <w:rPr>
                <w:rFonts w:ascii="Calibri" w:eastAsia="Calibri" w:hAnsi="Calibri" w:cs="Calibri"/>
                <w:sz w:val="20"/>
              </w:rPr>
            </w:pPr>
            <w:r w:rsidRPr="00DC6AB4">
              <w:rPr>
                <w:rFonts w:ascii="Calibri"/>
                <w:b/>
                <w:spacing w:val="-2"/>
                <w:sz w:val="20"/>
              </w:rPr>
              <w:t>Average</w:t>
            </w:r>
            <w:r w:rsidRPr="00DC6AB4">
              <w:rPr>
                <w:rFonts w:ascii="Calibri"/>
                <w:b/>
                <w:spacing w:val="14"/>
                <w:sz w:val="20"/>
              </w:rPr>
              <w:t xml:space="preserve"> </w:t>
            </w:r>
            <w:r w:rsidRPr="00DC6AB4">
              <w:rPr>
                <w:rFonts w:ascii="Calibri"/>
                <w:b/>
                <w:spacing w:val="-4"/>
                <w:sz w:val="20"/>
              </w:rPr>
              <w:t>Payback</w:t>
            </w:r>
            <w:r w:rsidRPr="00DC6AB4">
              <w:rPr>
                <w:rFonts w:ascii="Calibri"/>
                <w:b/>
                <w:spacing w:val="4"/>
                <w:sz w:val="20"/>
              </w:rPr>
              <w:t xml:space="preserve"> </w:t>
            </w:r>
            <w:r w:rsidRPr="00DC6AB4">
              <w:rPr>
                <w:rFonts w:ascii="Calibri"/>
                <w:b/>
                <w:sz w:val="20"/>
              </w:rPr>
              <w:t>Period</w:t>
            </w:r>
            <w:r w:rsidRPr="00DC6AB4">
              <w:rPr>
                <w:rFonts w:ascii="Calibri"/>
                <w:b/>
                <w:spacing w:val="6"/>
                <w:sz w:val="20"/>
              </w:rPr>
              <w:t xml:space="preserve"> </w:t>
            </w:r>
            <w:r w:rsidRPr="00DC6AB4">
              <w:rPr>
                <w:rFonts w:ascii="Calibri"/>
                <w:b/>
                <w:spacing w:val="-2"/>
                <w:sz w:val="20"/>
              </w:rPr>
              <w:t>[</w:t>
            </w:r>
            <w:proofErr w:type="spellStart"/>
            <w:r w:rsidRPr="00DC6AB4">
              <w:rPr>
                <w:rFonts w:ascii="Calibri"/>
                <w:b/>
                <w:spacing w:val="-2"/>
                <w:sz w:val="20"/>
              </w:rPr>
              <w:t>yrs</w:t>
            </w:r>
            <w:proofErr w:type="spellEnd"/>
            <w:r w:rsidRPr="00DC6AB4">
              <w:rPr>
                <w:rFonts w:ascii="Calibri"/>
                <w:b/>
                <w:spacing w:val="-2"/>
                <w:sz w:val="20"/>
              </w:rPr>
              <w:t>]</w:t>
            </w:r>
          </w:p>
        </w:tc>
        <w:tc>
          <w:tcPr>
            <w:tcW w:w="1929" w:type="dxa"/>
            <w:tcBorders>
              <w:top w:val="nil"/>
              <w:left w:val="single" w:sz="7" w:space="0" w:color="D3D3D3"/>
              <w:bottom w:val="single" w:sz="7" w:space="0" w:color="D3D3D3"/>
              <w:right w:val="nil"/>
            </w:tcBorders>
          </w:tcPr>
          <w:p w:rsidR="00027A84" w:rsidRPr="00DC6AB4" w:rsidRDefault="00027A84" w:rsidP="006F614B">
            <w:pPr>
              <w:pStyle w:val="TableParagraph"/>
              <w:spacing w:before="14"/>
              <w:ind w:left="28"/>
              <w:rPr>
                <w:rFonts w:ascii="Calibri" w:eastAsia="Calibri" w:hAnsi="Calibri" w:cs="Calibri"/>
                <w:sz w:val="20"/>
              </w:rPr>
            </w:pPr>
            <w:r w:rsidRPr="00DC6AB4">
              <w:rPr>
                <w:rFonts w:ascii="Calibri"/>
                <w:b/>
                <w:spacing w:val="-3"/>
                <w:sz w:val="20"/>
              </w:rPr>
              <w:t>National</w:t>
            </w:r>
          </w:p>
        </w:tc>
        <w:tc>
          <w:tcPr>
            <w:tcW w:w="905" w:type="dxa"/>
            <w:tcBorders>
              <w:top w:val="nil"/>
              <w:left w:val="nil"/>
              <w:bottom w:val="nil"/>
              <w:right w:val="nil"/>
            </w:tcBorders>
            <w:shd w:val="clear" w:color="auto" w:fill="FFE082"/>
          </w:tcPr>
          <w:p w:rsidR="00027A84" w:rsidRPr="00DC6AB4" w:rsidRDefault="00027A84" w:rsidP="006F614B">
            <w:pPr>
              <w:pStyle w:val="TableParagraph"/>
              <w:spacing w:before="14"/>
              <w:ind w:left="493"/>
              <w:rPr>
                <w:rFonts w:ascii="Calibri" w:eastAsia="Calibri" w:hAnsi="Calibri" w:cs="Calibri"/>
                <w:sz w:val="20"/>
              </w:rPr>
            </w:pPr>
            <w:r w:rsidRPr="00DC6AB4">
              <w:rPr>
                <w:rFonts w:ascii="Calibri"/>
                <w:spacing w:val="-5"/>
                <w:sz w:val="20"/>
              </w:rPr>
              <w:t>11.7</w:t>
            </w:r>
          </w:p>
        </w:tc>
        <w:tc>
          <w:tcPr>
            <w:tcW w:w="897" w:type="dxa"/>
            <w:tcBorders>
              <w:top w:val="nil"/>
              <w:left w:val="nil"/>
              <w:bottom w:val="nil"/>
              <w:right w:val="nil"/>
            </w:tcBorders>
            <w:shd w:val="clear" w:color="auto" w:fill="FFE984"/>
          </w:tcPr>
          <w:p w:rsidR="00027A84" w:rsidRPr="00DC6AB4" w:rsidRDefault="00027A84" w:rsidP="006F614B">
            <w:pPr>
              <w:pStyle w:val="TableParagraph"/>
              <w:spacing w:before="14"/>
              <w:ind w:left="486"/>
              <w:rPr>
                <w:rFonts w:ascii="Calibri" w:eastAsia="Calibri" w:hAnsi="Calibri" w:cs="Calibri"/>
                <w:sz w:val="20"/>
              </w:rPr>
            </w:pPr>
            <w:r w:rsidRPr="00DC6AB4">
              <w:rPr>
                <w:rFonts w:ascii="Calibri"/>
                <w:spacing w:val="-5"/>
                <w:sz w:val="20"/>
              </w:rPr>
              <w:t>10.7</w:t>
            </w:r>
          </w:p>
        </w:tc>
        <w:tc>
          <w:tcPr>
            <w:tcW w:w="897" w:type="dxa"/>
            <w:tcBorders>
              <w:top w:val="nil"/>
              <w:left w:val="nil"/>
              <w:bottom w:val="nil"/>
              <w:right w:val="nil"/>
            </w:tcBorders>
            <w:shd w:val="clear" w:color="auto" w:fill="F0E783"/>
          </w:tcPr>
          <w:p w:rsidR="00027A84" w:rsidRPr="00DC6AB4" w:rsidRDefault="00027A84" w:rsidP="006F614B">
            <w:pPr>
              <w:pStyle w:val="TableParagraph"/>
              <w:spacing w:before="14"/>
              <w:ind w:left="486"/>
              <w:rPr>
                <w:rFonts w:ascii="Calibri" w:eastAsia="Calibri" w:hAnsi="Calibri" w:cs="Calibri"/>
                <w:sz w:val="20"/>
              </w:rPr>
            </w:pPr>
            <w:r w:rsidRPr="00DC6AB4">
              <w:rPr>
                <w:rFonts w:ascii="Calibri"/>
                <w:spacing w:val="-5"/>
                <w:sz w:val="20"/>
              </w:rPr>
              <w:t>10.0</w:t>
            </w:r>
          </w:p>
        </w:tc>
        <w:tc>
          <w:tcPr>
            <w:tcW w:w="897" w:type="dxa"/>
            <w:tcBorders>
              <w:top w:val="nil"/>
              <w:left w:val="nil"/>
              <w:bottom w:val="nil"/>
              <w:right w:val="nil"/>
            </w:tcBorders>
            <w:shd w:val="clear" w:color="auto" w:fill="F5E883"/>
          </w:tcPr>
          <w:p w:rsidR="00027A84" w:rsidRPr="00DC6AB4" w:rsidRDefault="00027A84" w:rsidP="006F614B">
            <w:pPr>
              <w:pStyle w:val="TableParagraph"/>
              <w:spacing w:before="14"/>
              <w:ind w:left="486"/>
              <w:rPr>
                <w:rFonts w:ascii="Calibri" w:eastAsia="Calibri" w:hAnsi="Calibri" w:cs="Calibri"/>
                <w:sz w:val="20"/>
              </w:rPr>
            </w:pPr>
            <w:r w:rsidRPr="00DC6AB4">
              <w:rPr>
                <w:rFonts w:ascii="Calibri"/>
                <w:spacing w:val="-5"/>
                <w:sz w:val="20"/>
              </w:rPr>
              <w:t>10.1</w:t>
            </w:r>
          </w:p>
        </w:tc>
        <w:tc>
          <w:tcPr>
            <w:tcW w:w="897" w:type="dxa"/>
            <w:tcBorders>
              <w:top w:val="nil"/>
              <w:left w:val="nil"/>
              <w:bottom w:val="nil"/>
              <w:right w:val="single" w:sz="7" w:space="0" w:color="000000"/>
            </w:tcBorders>
            <w:shd w:val="clear" w:color="auto" w:fill="F3E783"/>
          </w:tcPr>
          <w:p w:rsidR="00027A84" w:rsidRPr="00DC6AB4" w:rsidRDefault="00027A84" w:rsidP="006F614B">
            <w:pPr>
              <w:pStyle w:val="TableParagraph"/>
              <w:spacing w:before="14"/>
              <w:ind w:left="485"/>
              <w:rPr>
                <w:rFonts w:ascii="Calibri" w:eastAsia="Calibri" w:hAnsi="Calibri" w:cs="Calibri"/>
                <w:sz w:val="20"/>
              </w:rPr>
            </w:pPr>
            <w:r w:rsidRPr="00DC6AB4">
              <w:rPr>
                <w:rFonts w:ascii="Calibri"/>
                <w:spacing w:val="-5"/>
                <w:sz w:val="20"/>
              </w:rPr>
              <w:t>10.0</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line="268" w:lineRule="exact"/>
              <w:ind w:left="28"/>
              <w:rPr>
                <w:rFonts w:ascii="Calibri" w:eastAsia="Calibri" w:hAnsi="Calibri" w:cs="Calibri"/>
                <w:sz w:val="20"/>
              </w:rPr>
            </w:pPr>
            <w:r w:rsidRPr="00DC6AB4">
              <w:rPr>
                <w:rFonts w:ascii="Calibri"/>
                <w:b/>
                <w:spacing w:val="-3"/>
                <w:sz w:val="20"/>
              </w:rPr>
              <w:t>North</w:t>
            </w:r>
          </w:p>
        </w:tc>
        <w:tc>
          <w:tcPr>
            <w:tcW w:w="905" w:type="dxa"/>
            <w:tcBorders>
              <w:top w:val="nil"/>
              <w:left w:val="nil"/>
              <w:bottom w:val="nil"/>
              <w:right w:val="nil"/>
            </w:tcBorders>
            <w:shd w:val="clear" w:color="auto" w:fill="FFEA84"/>
          </w:tcPr>
          <w:p w:rsidR="00027A84" w:rsidRPr="00DC6AB4" w:rsidRDefault="00027A84" w:rsidP="006F614B">
            <w:pPr>
              <w:pStyle w:val="TableParagraph"/>
              <w:spacing w:before="22"/>
              <w:ind w:left="493"/>
              <w:rPr>
                <w:rFonts w:ascii="Calibri" w:eastAsia="Calibri" w:hAnsi="Calibri" w:cs="Calibri"/>
                <w:sz w:val="20"/>
              </w:rPr>
            </w:pPr>
            <w:r w:rsidRPr="00DC6AB4">
              <w:rPr>
                <w:rFonts w:ascii="Calibri"/>
                <w:spacing w:val="-5"/>
                <w:sz w:val="20"/>
              </w:rPr>
              <w:t>10.6</w:t>
            </w:r>
          </w:p>
        </w:tc>
        <w:tc>
          <w:tcPr>
            <w:tcW w:w="897" w:type="dxa"/>
            <w:tcBorders>
              <w:top w:val="nil"/>
              <w:left w:val="nil"/>
              <w:bottom w:val="nil"/>
              <w:right w:val="nil"/>
            </w:tcBorders>
            <w:shd w:val="clear" w:color="auto" w:fill="F5E883"/>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10.1</w:t>
            </w:r>
          </w:p>
        </w:tc>
        <w:tc>
          <w:tcPr>
            <w:tcW w:w="897" w:type="dxa"/>
            <w:tcBorders>
              <w:top w:val="nil"/>
              <w:left w:val="nil"/>
              <w:bottom w:val="nil"/>
              <w:right w:val="nil"/>
            </w:tcBorders>
            <w:shd w:val="clear" w:color="auto" w:fill="FBEA83"/>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10.4</w:t>
            </w:r>
          </w:p>
        </w:tc>
        <w:tc>
          <w:tcPr>
            <w:tcW w:w="1794" w:type="dxa"/>
            <w:gridSpan w:val="2"/>
            <w:tcBorders>
              <w:top w:val="nil"/>
              <w:left w:val="nil"/>
              <w:bottom w:val="nil"/>
              <w:right w:val="single" w:sz="7" w:space="0" w:color="000000"/>
            </w:tcBorders>
            <w:shd w:val="clear" w:color="auto" w:fill="FFEB84"/>
          </w:tcPr>
          <w:p w:rsidR="00027A84" w:rsidRPr="00DC6AB4" w:rsidRDefault="00027A84" w:rsidP="006F614B">
            <w:pPr>
              <w:pStyle w:val="TableParagraph"/>
              <w:tabs>
                <w:tab w:val="left" w:pos="1382"/>
              </w:tabs>
              <w:spacing w:before="22"/>
              <w:ind w:left="486"/>
              <w:rPr>
                <w:rFonts w:ascii="Calibri" w:eastAsia="Calibri" w:hAnsi="Calibri" w:cs="Calibri"/>
                <w:sz w:val="20"/>
              </w:rPr>
            </w:pPr>
            <w:r w:rsidRPr="00DC6AB4">
              <w:rPr>
                <w:rFonts w:ascii="Calibri"/>
                <w:spacing w:val="-5"/>
                <w:sz w:val="20"/>
              </w:rPr>
              <w:t>10.5</w:t>
            </w:r>
            <w:r w:rsidRPr="00DC6AB4">
              <w:rPr>
                <w:rFonts w:ascii="Calibri"/>
                <w:spacing w:val="-5"/>
                <w:sz w:val="20"/>
              </w:rPr>
              <w:tab/>
              <w:t>10.6</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ind w:left="28"/>
              <w:rPr>
                <w:rFonts w:ascii="Calibri" w:eastAsia="Calibri" w:hAnsi="Calibri" w:cs="Calibri"/>
                <w:sz w:val="20"/>
              </w:rPr>
            </w:pPr>
            <w:r w:rsidRPr="00DC6AB4">
              <w:rPr>
                <w:rFonts w:ascii="Calibri"/>
                <w:b/>
                <w:sz w:val="20"/>
              </w:rPr>
              <w:t>Rest</w:t>
            </w:r>
            <w:r w:rsidRPr="00DC6AB4">
              <w:rPr>
                <w:rFonts w:ascii="Calibri"/>
                <w:b/>
                <w:spacing w:val="1"/>
                <w:sz w:val="20"/>
              </w:rPr>
              <w:t xml:space="preserve"> </w:t>
            </w:r>
            <w:r w:rsidRPr="00DC6AB4">
              <w:rPr>
                <w:rFonts w:ascii="Calibri"/>
                <w:b/>
                <w:sz w:val="20"/>
              </w:rPr>
              <w:t>of</w:t>
            </w:r>
            <w:r w:rsidRPr="00DC6AB4">
              <w:rPr>
                <w:rFonts w:ascii="Calibri"/>
                <w:b/>
                <w:spacing w:val="8"/>
                <w:sz w:val="20"/>
              </w:rPr>
              <w:t xml:space="preserve"> </w:t>
            </w:r>
            <w:r w:rsidRPr="00DC6AB4">
              <w:rPr>
                <w:rFonts w:ascii="Calibri"/>
                <w:b/>
                <w:spacing w:val="-1"/>
                <w:sz w:val="20"/>
              </w:rPr>
              <w:t>Country</w:t>
            </w:r>
          </w:p>
        </w:tc>
        <w:tc>
          <w:tcPr>
            <w:tcW w:w="905" w:type="dxa"/>
            <w:tcBorders>
              <w:top w:val="nil"/>
              <w:left w:val="nil"/>
              <w:bottom w:val="nil"/>
              <w:right w:val="nil"/>
            </w:tcBorders>
            <w:shd w:val="clear" w:color="auto" w:fill="FFDB81"/>
          </w:tcPr>
          <w:p w:rsidR="00027A84" w:rsidRPr="00DC6AB4" w:rsidRDefault="00027A84" w:rsidP="006F614B">
            <w:pPr>
              <w:pStyle w:val="TableParagraph"/>
              <w:spacing w:before="22"/>
              <w:ind w:left="493"/>
              <w:rPr>
                <w:rFonts w:ascii="Calibri" w:eastAsia="Calibri" w:hAnsi="Calibri" w:cs="Calibri"/>
                <w:sz w:val="20"/>
              </w:rPr>
            </w:pPr>
            <w:r w:rsidRPr="00DC6AB4">
              <w:rPr>
                <w:rFonts w:ascii="Calibri"/>
                <w:spacing w:val="-5"/>
                <w:sz w:val="20"/>
              </w:rPr>
              <w:t>12.5</w:t>
            </w:r>
          </w:p>
        </w:tc>
        <w:tc>
          <w:tcPr>
            <w:tcW w:w="897" w:type="dxa"/>
            <w:tcBorders>
              <w:top w:val="nil"/>
              <w:left w:val="nil"/>
              <w:bottom w:val="nil"/>
              <w:right w:val="nil"/>
            </w:tcBorders>
            <w:shd w:val="clear" w:color="auto" w:fill="FFE383"/>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11.3</w:t>
            </w:r>
          </w:p>
        </w:tc>
        <w:tc>
          <w:tcPr>
            <w:tcW w:w="897" w:type="dxa"/>
            <w:tcBorders>
              <w:top w:val="nil"/>
              <w:left w:val="nil"/>
              <w:bottom w:val="nil"/>
              <w:right w:val="nil"/>
            </w:tcBorders>
            <w:shd w:val="clear" w:color="auto" w:fill="E4E282"/>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9.6</w:t>
            </w:r>
          </w:p>
        </w:tc>
        <w:tc>
          <w:tcPr>
            <w:tcW w:w="897" w:type="dxa"/>
            <w:tcBorders>
              <w:top w:val="nil"/>
              <w:left w:val="nil"/>
              <w:bottom w:val="nil"/>
              <w:right w:val="nil"/>
            </w:tcBorders>
            <w:shd w:val="clear" w:color="auto" w:fill="E8E382"/>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9.7</w:t>
            </w:r>
          </w:p>
        </w:tc>
        <w:tc>
          <w:tcPr>
            <w:tcW w:w="897" w:type="dxa"/>
            <w:tcBorders>
              <w:top w:val="nil"/>
              <w:left w:val="nil"/>
              <w:bottom w:val="nil"/>
              <w:right w:val="single" w:sz="7" w:space="0" w:color="000000"/>
            </w:tcBorders>
            <w:shd w:val="clear" w:color="auto" w:fill="DDE082"/>
          </w:tcPr>
          <w:p w:rsidR="00027A84" w:rsidRPr="00DC6AB4" w:rsidRDefault="00027A84" w:rsidP="006F614B">
            <w:pPr>
              <w:pStyle w:val="TableParagraph"/>
              <w:spacing w:before="22"/>
              <w:ind w:left="590"/>
              <w:rPr>
                <w:rFonts w:ascii="Calibri" w:eastAsia="Calibri" w:hAnsi="Calibri" w:cs="Calibri"/>
                <w:sz w:val="20"/>
              </w:rPr>
            </w:pPr>
            <w:r w:rsidRPr="00DC6AB4">
              <w:rPr>
                <w:rFonts w:ascii="Calibri"/>
                <w:spacing w:val="-3"/>
                <w:sz w:val="20"/>
              </w:rPr>
              <w:t>9.2</w:t>
            </w:r>
          </w:p>
        </w:tc>
      </w:tr>
      <w:tr w:rsidR="00027A84" w:rsidTr="00FA2887">
        <w:trPr>
          <w:trHeight w:hRule="exact" w:val="299"/>
          <w:jc w:val="center"/>
        </w:trPr>
        <w:tc>
          <w:tcPr>
            <w:tcW w:w="1980" w:type="dxa"/>
            <w:vMerge/>
            <w:tcBorders>
              <w:left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D3D3D3"/>
              <w:right w:val="nil"/>
            </w:tcBorders>
          </w:tcPr>
          <w:p w:rsidR="00027A84" w:rsidRPr="00DC6AB4" w:rsidRDefault="00027A84" w:rsidP="006F614B">
            <w:pPr>
              <w:pStyle w:val="TableParagraph"/>
              <w:spacing w:before="13" w:line="268" w:lineRule="exact"/>
              <w:ind w:left="28"/>
              <w:rPr>
                <w:rFonts w:ascii="Calibri" w:eastAsia="Calibri" w:hAnsi="Calibri" w:cs="Calibri"/>
                <w:sz w:val="20"/>
              </w:rPr>
            </w:pPr>
            <w:r w:rsidRPr="00DC6AB4">
              <w:rPr>
                <w:rFonts w:ascii="Calibri"/>
                <w:b/>
                <w:spacing w:val="-1"/>
                <w:sz w:val="20"/>
              </w:rPr>
              <w:t>California</w:t>
            </w:r>
          </w:p>
        </w:tc>
        <w:tc>
          <w:tcPr>
            <w:tcW w:w="905" w:type="dxa"/>
            <w:tcBorders>
              <w:top w:val="nil"/>
              <w:left w:val="nil"/>
              <w:bottom w:val="nil"/>
              <w:right w:val="nil"/>
            </w:tcBorders>
            <w:shd w:val="clear" w:color="auto" w:fill="FA9173"/>
          </w:tcPr>
          <w:p w:rsidR="00027A84" w:rsidRPr="00DC6AB4" w:rsidRDefault="00027A84" w:rsidP="006F614B">
            <w:pPr>
              <w:pStyle w:val="TableParagraph"/>
              <w:spacing w:before="22"/>
              <w:ind w:left="493"/>
              <w:rPr>
                <w:rFonts w:ascii="Calibri" w:eastAsia="Calibri" w:hAnsi="Calibri" w:cs="Calibri"/>
                <w:sz w:val="20"/>
              </w:rPr>
            </w:pPr>
            <w:r w:rsidRPr="00DC6AB4">
              <w:rPr>
                <w:rFonts w:ascii="Calibri"/>
                <w:spacing w:val="-5"/>
                <w:sz w:val="20"/>
              </w:rPr>
              <w:t>21.3</w:t>
            </w:r>
          </w:p>
        </w:tc>
        <w:tc>
          <w:tcPr>
            <w:tcW w:w="897" w:type="dxa"/>
            <w:tcBorders>
              <w:top w:val="nil"/>
              <w:left w:val="nil"/>
              <w:bottom w:val="nil"/>
              <w:right w:val="nil"/>
            </w:tcBorders>
            <w:shd w:val="clear" w:color="auto" w:fill="FBB379"/>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17.2</w:t>
            </w:r>
          </w:p>
        </w:tc>
        <w:tc>
          <w:tcPr>
            <w:tcW w:w="897" w:type="dxa"/>
            <w:tcBorders>
              <w:top w:val="nil"/>
              <w:left w:val="nil"/>
              <w:bottom w:val="nil"/>
              <w:right w:val="nil"/>
            </w:tcBorders>
            <w:shd w:val="clear" w:color="auto" w:fill="FBA076"/>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19.4</w:t>
            </w:r>
          </w:p>
        </w:tc>
        <w:tc>
          <w:tcPr>
            <w:tcW w:w="897" w:type="dxa"/>
            <w:tcBorders>
              <w:top w:val="nil"/>
              <w:left w:val="nil"/>
              <w:bottom w:val="nil"/>
              <w:right w:val="nil"/>
            </w:tcBorders>
            <w:shd w:val="clear" w:color="auto" w:fill="FA9774"/>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20.5</w:t>
            </w:r>
          </w:p>
        </w:tc>
        <w:tc>
          <w:tcPr>
            <w:tcW w:w="897" w:type="dxa"/>
            <w:tcBorders>
              <w:top w:val="nil"/>
              <w:left w:val="nil"/>
              <w:bottom w:val="nil"/>
              <w:right w:val="single" w:sz="7" w:space="0" w:color="000000"/>
            </w:tcBorders>
            <w:shd w:val="clear" w:color="auto" w:fill="F8776D"/>
          </w:tcPr>
          <w:p w:rsidR="00027A84" w:rsidRPr="00DC6AB4" w:rsidRDefault="00027A84" w:rsidP="006F614B">
            <w:pPr>
              <w:pStyle w:val="TableParagraph"/>
              <w:spacing w:before="22"/>
              <w:ind w:left="485"/>
              <w:rPr>
                <w:rFonts w:ascii="Calibri" w:eastAsia="Calibri" w:hAnsi="Calibri" w:cs="Calibri"/>
                <w:sz w:val="20"/>
              </w:rPr>
            </w:pPr>
            <w:r w:rsidRPr="00DC6AB4">
              <w:rPr>
                <w:rFonts w:ascii="Calibri"/>
                <w:spacing w:val="-5"/>
                <w:sz w:val="20"/>
              </w:rPr>
              <w:t>24.4</w:t>
            </w:r>
          </w:p>
        </w:tc>
      </w:tr>
      <w:tr w:rsidR="00027A84" w:rsidTr="00FA2887">
        <w:trPr>
          <w:trHeight w:hRule="exact" w:val="299"/>
          <w:jc w:val="center"/>
        </w:trPr>
        <w:tc>
          <w:tcPr>
            <w:tcW w:w="1980" w:type="dxa"/>
            <w:vMerge/>
            <w:tcBorders>
              <w:left w:val="single" w:sz="7" w:space="0" w:color="000000"/>
              <w:bottom w:val="single" w:sz="7" w:space="0" w:color="000000"/>
              <w:right w:val="single" w:sz="7" w:space="0" w:color="D3D3D3"/>
            </w:tcBorders>
          </w:tcPr>
          <w:p w:rsidR="00027A84" w:rsidRPr="00DC6AB4" w:rsidRDefault="00027A84" w:rsidP="006F614B">
            <w:pPr>
              <w:rPr>
                <w:sz w:val="20"/>
              </w:rPr>
            </w:pPr>
          </w:p>
        </w:tc>
        <w:tc>
          <w:tcPr>
            <w:tcW w:w="1929" w:type="dxa"/>
            <w:tcBorders>
              <w:top w:val="single" w:sz="7" w:space="0" w:color="D3D3D3"/>
              <w:left w:val="single" w:sz="7" w:space="0" w:color="D3D3D3"/>
              <w:bottom w:val="single" w:sz="7" w:space="0" w:color="000000"/>
              <w:right w:val="nil"/>
            </w:tcBorders>
          </w:tcPr>
          <w:p w:rsidR="00027A84" w:rsidRPr="00DC6AB4" w:rsidRDefault="00027A84" w:rsidP="006F614B">
            <w:pPr>
              <w:pStyle w:val="TableParagraph"/>
              <w:spacing w:before="13"/>
              <w:ind w:left="28"/>
              <w:rPr>
                <w:rFonts w:ascii="Calibri" w:eastAsia="Calibri" w:hAnsi="Calibri" w:cs="Calibri"/>
                <w:sz w:val="20"/>
              </w:rPr>
            </w:pPr>
            <w:r w:rsidRPr="00DC6AB4">
              <w:rPr>
                <w:rFonts w:ascii="Calibri"/>
                <w:b/>
                <w:spacing w:val="-2"/>
                <w:sz w:val="20"/>
              </w:rPr>
              <w:t>Southern</w:t>
            </w:r>
            <w:r w:rsidRPr="00DC6AB4">
              <w:rPr>
                <w:rFonts w:ascii="Calibri"/>
                <w:b/>
                <w:spacing w:val="15"/>
                <w:sz w:val="20"/>
              </w:rPr>
              <w:t xml:space="preserve"> </w:t>
            </w:r>
            <w:r w:rsidRPr="00DC6AB4">
              <w:rPr>
                <w:rFonts w:ascii="Calibri"/>
                <w:b/>
                <w:spacing w:val="-1"/>
                <w:sz w:val="20"/>
              </w:rPr>
              <w:t>California</w:t>
            </w:r>
          </w:p>
        </w:tc>
        <w:tc>
          <w:tcPr>
            <w:tcW w:w="905" w:type="dxa"/>
            <w:tcBorders>
              <w:top w:val="nil"/>
              <w:left w:val="nil"/>
              <w:bottom w:val="single" w:sz="7" w:space="0" w:color="000000"/>
              <w:right w:val="nil"/>
            </w:tcBorders>
            <w:shd w:val="clear" w:color="auto" w:fill="F8696B"/>
          </w:tcPr>
          <w:p w:rsidR="00027A84" w:rsidRPr="00DC6AB4" w:rsidRDefault="00027A84" w:rsidP="006F614B">
            <w:pPr>
              <w:pStyle w:val="TableParagraph"/>
              <w:spacing w:before="22"/>
              <w:ind w:left="493"/>
              <w:rPr>
                <w:rFonts w:ascii="Calibri" w:eastAsia="Calibri" w:hAnsi="Calibri" w:cs="Calibri"/>
                <w:sz w:val="20"/>
              </w:rPr>
            </w:pPr>
            <w:r w:rsidRPr="00DC6AB4">
              <w:rPr>
                <w:rFonts w:ascii="Calibri"/>
                <w:spacing w:val="-5"/>
                <w:sz w:val="20"/>
              </w:rPr>
              <w:t>26.1</w:t>
            </w:r>
          </w:p>
        </w:tc>
        <w:tc>
          <w:tcPr>
            <w:tcW w:w="897" w:type="dxa"/>
            <w:tcBorders>
              <w:top w:val="nil"/>
              <w:left w:val="nil"/>
              <w:bottom w:val="single" w:sz="7" w:space="0" w:color="000000"/>
              <w:right w:val="nil"/>
            </w:tcBorders>
            <w:shd w:val="clear" w:color="auto" w:fill="F98E71"/>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21.7</w:t>
            </w:r>
          </w:p>
        </w:tc>
        <w:tc>
          <w:tcPr>
            <w:tcW w:w="897" w:type="dxa"/>
            <w:tcBorders>
              <w:top w:val="nil"/>
              <w:left w:val="nil"/>
              <w:bottom w:val="single" w:sz="7" w:space="0" w:color="000000"/>
              <w:right w:val="nil"/>
            </w:tcBorders>
            <w:shd w:val="clear" w:color="auto" w:fill="FCBA7A"/>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16.3</w:t>
            </w:r>
          </w:p>
        </w:tc>
        <w:tc>
          <w:tcPr>
            <w:tcW w:w="897" w:type="dxa"/>
            <w:tcBorders>
              <w:top w:val="nil"/>
              <w:left w:val="nil"/>
              <w:bottom w:val="single" w:sz="7" w:space="0" w:color="000000"/>
              <w:right w:val="nil"/>
            </w:tcBorders>
            <w:shd w:val="clear" w:color="auto" w:fill="FBB379"/>
          </w:tcPr>
          <w:p w:rsidR="00027A84" w:rsidRPr="00DC6AB4" w:rsidRDefault="00027A84" w:rsidP="006F614B">
            <w:pPr>
              <w:pStyle w:val="TableParagraph"/>
              <w:spacing w:before="22"/>
              <w:ind w:left="486"/>
              <w:rPr>
                <w:rFonts w:ascii="Calibri" w:eastAsia="Calibri" w:hAnsi="Calibri" w:cs="Calibri"/>
                <w:sz w:val="20"/>
              </w:rPr>
            </w:pPr>
            <w:r w:rsidRPr="00DC6AB4">
              <w:rPr>
                <w:rFonts w:ascii="Calibri"/>
                <w:spacing w:val="-5"/>
                <w:sz w:val="20"/>
              </w:rPr>
              <w:t>17.3</w:t>
            </w:r>
          </w:p>
        </w:tc>
        <w:tc>
          <w:tcPr>
            <w:tcW w:w="897" w:type="dxa"/>
            <w:tcBorders>
              <w:top w:val="nil"/>
              <w:left w:val="nil"/>
              <w:bottom w:val="single" w:sz="7" w:space="0" w:color="000000"/>
              <w:right w:val="single" w:sz="7" w:space="0" w:color="000000"/>
            </w:tcBorders>
            <w:shd w:val="clear" w:color="auto" w:fill="FA9374"/>
          </w:tcPr>
          <w:p w:rsidR="00027A84" w:rsidRPr="00DC6AB4" w:rsidRDefault="00027A84" w:rsidP="006F614B">
            <w:pPr>
              <w:pStyle w:val="TableParagraph"/>
              <w:spacing w:before="22"/>
              <w:ind w:left="485"/>
              <w:rPr>
                <w:rFonts w:ascii="Calibri" w:eastAsia="Calibri" w:hAnsi="Calibri" w:cs="Calibri"/>
                <w:sz w:val="20"/>
              </w:rPr>
            </w:pPr>
            <w:r w:rsidRPr="00DC6AB4">
              <w:rPr>
                <w:rFonts w:ascii="Calibri"/>
                <w:spacing w:val="-5"/>
                <w:sz w:val="20"/>
              </w:rPr>
              <w:t>21.0</w:t>
            </w:r>
          </w:p>
        </w:tc>
      </w:tr>
      <w:tr w:rsidR="00027A84" w:rsidTr="00FA2887">
        <w:trPr>
          <w:trHeight w:hRule="exact" w:val="598"/>
          <w:jc w:val="center"/>
        </w:trPr>
        <w:tc>
          <w:tcPr>
            <w:tcW w:w="8402" w:type="dxa"/>
            <w:gridSpan w:val="7"/>
            <w:tcBorders>
              <w:top w:val="single" w:sz="7" w:space="0" w:color="000000"/>
              <w:left w:val="single" w:sz="7" w:space="0" w:color="D3D3D3"/>
              <w:bottom w:val="single" w:sz="7" w:space="0" w:color="D3D3D3"/>
              <w:right w:val="single" w:sz="7" w:space="0" w:color="D3D3D3"/>
            </w:tcBorders>
          </w:tcPr>
          <w:p w:rsidR="00027A84" w:rsidRDefault="00027A84" w:rsidP="006F614B">
            <w:pPr>
              <w:pStyle w:val="TableParagraph"/>
              <w:spacing w:before="87" w:line="262" w:lineRule="auto"/>
              <w:ind w:left="28" w:right="407"/>
              <w:rPr>
                <w:rFonts w:ascii="Calibri" w:eastAsia="Calibri" w:hAnsi="Calibri" w:cs="Calibri"/>
                <w:sz w:val="19"/>
                <w:szCs w:val="19"/>
              </w:rPr>
            </w:pPr>
            <w:r w:rsidRPr="006D31BA">
              <w:rPr>
                <w:rFonts w:ascii="Calibri"/>
                <w:b/>
                <w:sz w:val="18"/>
              </w:rPr>
              <w:t>Assumptions:</w:t>
            </w:r>
            <w:r w:rsidRPr="006D31BA">
              <w:rPr>
                <w:rFonts w:ascii="Calibri"/>
                <w:b/>
                <w:spacing w:val="25"/>
                <w:sz w:val="18"/>
              </w:rPr>
              <w:t xml:space="preserve"> </w:t>
            </w:r>
            <w:r w:rsidRPr="006D31BA">
              <w:rPr>
                <w:rFonts w:ascii="Calibri"/>
                <w:spacing w:val="-5"/>
                <w:sz w:val="18"/>
              </w:rPr>
              <w:t>AEO</w:t>
            </w:r>
            <w:r w:rsidRPr="006D31BA">
              <w:rPr>
                <w:rFonts w:ascii="Calibri"/>
                <w:spacing w:val="24"/>
                <w:sz w:val="18"/>
              </w:rPr>
              <w:t xml:space="preserve"> </w:t>
            </w:r>
            <w:r w:rsidRPr="006D31BA">
              <w:rPr>
                <w:rFonts w:ascii="Calibri"/>
                <w:spacing w:val="3"/>
                <w:sz w:val="18"/>
              </w:rPr>
              <w:t>2016;</w:t>
            </w:r>
            <w:r w:rsidRPr="006D31BA">
              <w:rPr>
                <w:rFonts w:ascii="Calibri"/>
                <w:spacing w:val="6"/>
                <w:sz w:val="18"/>
              </w:rPr>
              <w:t xml:space="preserve"> </w:t>
            </w:r>
            <w:r w:rsidRPr="006D31BA">
              <w:rPr>
                <w:rFonts w:ascii="Calibri"/>
                <w:spacing w:val="2"/>
                <w:sz w:val="18"/>
              </w:rPr>
              <w:t>92%</w:t>
            </w:r>
            <w:r w:rsidRPr="006D31BA">
              <w:rPr>
                <w:rFonts w:ascii="Calibri"/>
                <w:spacing w:val="8"/>
                <w:sz w:val="18"/>
              </w:rPr>
              <w:t xml:space="preserve"> </w:t>
            </w:r>
            <w:r w:rsidRPr="006D31BA">
              <w:rPr>
                <w:rFonts w:ascii="Calibri"/>
                <w:spacing w:val="-4"/>
                <w:sz w:val="18"/>
              </w:rPr>
              <w:t>AFUE</w:t>
            </w:r>
            <w:r w:rsidRPr="006D31BA">
              <w:rPr>
                <w:rFonts w:ascii="Calibri"/>
                <w:spacing w:val="9"/>
                <w:sz w:val="18"/>
              </w:rPr>
              <w:t xml:space="preserve"> </w:t>
            </w:r>
            <w:r w:rsidRPr="006D31BA">
              <w:rPr>
                <w:rFonts w:ascii="Calibri"/>
                <w:sz w:val="18"/>
              </w:rPr>
              <w:t>for</w:t>
            </w:r>
            <w:r w:rsidRPr="006D31BA">
              <w:rPr>
                <w:rFonts w:ascii="Calibri"/>
                <w:spacing w:val="24"/>
                <w:sz w:val="18"/>
              </w:rPr>
              <w:t xml:space="preserve"> </w:t>
            </w:r>
            <w:r w:rsidRPr="006D31BA">
              <w:rPr>
                <w:rFonts w:ascii="Calibri"/>
                <w:spacing w:val="4"/>
                <w:sz w:val="18"/>
              </w:rPr>
              <w:t>large</w:t>
            </w:r>
            <w:r w:rsidRPr="006D31BA">
              <w:rPr>
                <w:rFonts w:ascii="Calibri"/>
                <w:spacing w:val="6"/>
                <w:sz w:val="18"/>
              </w:rPr>
              <w:t xml:space="preserve"> </w:t>
            </w:r>
            <w:r w:rsidRPr="006D31BA">
              <w:rPr>
                <w:rFonts w:ascii="Calibri"/>
                <w:spacing w:val="2"/>
                <w:sz w:val="18"/>
              </w:rPr>
              <w:t>furnace</w:t>
            </w:r>
            <w:r w:rsidRPr="006D31BA">
              <w:rPr>
                <w:rFonts w:ascii="Calibri"/>
                <w:spacing w:val="6"/>
                <w:sz w:val="18"/>
              </w:rPr>
              <w:t xml:space="preserve"> </w:t>
            </w:r>
            <w:r w:rsidRPr="006D31BA">
              <w:rPr>
                <w:rFonts w:ascii="Calibri"/>
                <w:sz w:val="18"/>
              </w:rPr>
              <w:t>category;</w:t>
            </w:r>
            <w:r w:rsidRPr="006D31BA">
              <w:rPr>
                <w:rFonts w:ascii="Calibri"/>
                <w:spacing w:val="6"/>
                <w:sz w:val="18"/>
              </w:rPr>
              <w:t xml:space="preserve"> </w:t>
            </w:r>
            <w:r w:rsidRPr="006D31BA">
              <w:rPr>
                <w:rFonts w:ascii="Calibri"/>
                <w:spacing w:val="2"/>
                <w:sz w:val="18"/>
              </w:rPr>
              <w:t>residential</w:t>
            </w:r>
            <w:r w:rsidRPr="006D31BA">
              <w:rPr>
                <w:rFonts w:ascii="Calibri"/>
                <w:spacing w:val="35"/>
                <w:sz w:val="18"/>
              </w:rPr>
              <w:t xml:space="preserve"> </w:t>
            </w:r>
            <w:r w:rsidRPr="006D31BA">
              <w:rPr>
                <w:rFonts w:ascii="Calibri"/>
                <w:spacing w:val="4"/>
                <w:sz w:val="18"/>
              </w:rPr>
              <w:t>buildings</w:t>
            </w:r>
            <w:r w:rsidRPr="006D31BA">
              <w:rPr>
                <w:rFonts w:ascii="Calibri"/>
                <w:spacing w:val="33"/>
                <w:sz w:val="18"/>
              </w:rPr>
              <w:t xml:space="preserve"> </w:t>
            </w:r>
            <w:r w:rsidRPr="006D31BA">
              <w:rPr>
                <w:rFonts w:ascii="Calibri"/>
                <w:spacing w:val="3"/>
                <w:sz w:val="18"/>
              </w:rPr>
              <w:t>only</w:t>
            </w:r>
            <w:r w:rsidRPr="006D31BA">
              <w:rPr>
                <w:rFonts w:ascii="Calibri"/>
                <w:spacing w:val="16"/>
                <w:sz w:val="18"/>
              </w:rPr>
              <w:t xml:space="preserve"> </w:t>
            </w:r>
            <w:r w:rsidRPr="006D31BA">
              <w:rPr>
                <w:rFonts w:ascii="Calibri"/>
                <w:sz w:val="18"/>
              </w:rPr>
              <w:t>for</w:t>
            </w:r>
            <w:r w:rsidRPr="006D31BA">
              <w:rPr>
                <w:rFonts w:ascii="Calibri"/>
                <w:spacing w:val="25"/>
                <w:sz w:val="18"/>
              </w:rPr>
              <w:t xml:space="preserve"> </w:t>
            </w:r>
            <w:r w:rsidRPr="006D31BA">
              <w:rPr>
                <w:rFonts w:ascii="Calibri"/>
                <w:spacing w:val="5"/>
                <w:sz w:val="18"/>
              </w:rPr>
              <w:t>California</w:t>
            </w:r>
            <w:r w:rsidRPr="006D31BA">
              <w:rPr>
                <w:rFonts w:ascii="Calibri"/>
                <w:spacing w:val="30"/>
                <w:sz w:val="18"/>
              </w:rPr>
              <w:t xml:space="preserve"> </w:t>
            </w:r>
            <w:r w:rsidRPr="006D31BA">
              <w:rPr>
                <w:rFonts w:ascii="Calibri"/>
                <w:sz w:val="18"/>
              </w:rPr>
              <w:t>due</w:t>
            </w:r>
            <w:r w:rsidRPr="006D31BA">
              <w:rPr>
                <w:rFonts w:ascii="Calibri"/>
                <w:spacing w:val="6"/>
                <w:sz w:val="18"/>
              </w:rPr>
              <w:t xml:space="preserve"> </w:t>
            </w:r>
            <w:r w:rsidRPr="006D31BA">
              <w:rPr>
                <w:rFonts w:ascii="Calibri"/>
                <w:spacing w:val="-3"/>
                <w:sz w:val="18"/>
              </w:rPr>
              <w:t>to</w:t>
            </w:r>
            <w:r w:rsidRPr="006D31BA">
              <w:rPr>
                <w:rFonts w:ascii="Calibri"/>
                <w:spacing w:val="50"/>
                <w:w w:val="102"/>
                <w:sz w:val="18"/>
              </w:rPr>
              <w:t xml:space="preserve"> </w:t>
            </w:r>
            <w:r w:rsidRPr="006D31BA">
              <w:rPr>
                <w:rFonts w:ascii="Calibri"/>
                <w:spacing w:val="4"/>
                <w:sz w:val="18"/>
              </w:rPr>
              <w:t>sample</w:t>
            </w:r>
            <w:r w:rsidRPr="006D31BA">
              <w:rPr>
                <w:rFonts w:ascii="Calibri"/>
                <w:spacing w:val="5"/>
                <w:sz w:val="18"/>
              </w:rPr>
              <w:t xml:space="preserve"> </w:t>
            </w:r>
            <w:r w:rsidRPr="006D31BA">
              <w:rPr>
                <w:rFonts w:ascii="Calibri"/>
                <w:spacing w:val="2"/>
                <w:sz w:val="18"/>
              </w:rPr>
              <w:t>size;</w:t>
            </w:r>
            <w:r w:rsidRPr="006D31BA">
              <w:rPr>
                <w:rFonts w:ascii="Calibri"/>
                <w:spacing w:val="5"/>
                <w:sz w:val="18"/>
              </w:rPr>
              <w:t xml:space="preserve"> </w:t>
            </w:r>
            <w:r w:rsidRPr="006D31BA">
              <w:rPr>
                <w:rFonts w:ascii="Calibri"/>
                <w:spacing w:val="2"/>
                <w:sz w:val="18"/>
              </w:rPr>
              <w:t>results</w:t>
            </w:r>
            <w:r w:rsidRPr="006D31BA">
              <w:rPr>
                <w:rFonts w:ascii="Calibri"/>
                <w:spacing w:val="31"/>
                <w:sz w:val="18"/>
              </w:rPr>
              <w:t xml:space="preserve"> </w:t>
            </w:r>
            <w:r w:rsidRPr="006D31BA">
              <w:rPr>
                <w:rFonts w:ascii="Calibri"/>
                <w:spacing w:val="-2"/>
                <w:sz w:val="18"/>
              </w:rPr>
              <w:t>omitted</w:t>
            </w:r>
            <w:r w:rsidRPr="006D31BA">
              <w:rPr>
                <w:rFonts w:ascii="Calibri"/>
                <w:spacing w:val="17"/>
                <w:sz w:val="18"/>
              </w:rPr>
              <w:t xml:space="preserve"> </w:t>
            </w:r>
            <w:r w:rsidRPr="006D31BA">
              <w:rPr>
                <w:rFonts w:ascii="Calibri"/>
                <w:spacing w:val="-3"/>
                <w:sz w:val="18"/>
              </w:rPr>
              <w:t>when</w:t>
            </w:r>
            <w:r w:rsidRPr="006D31BA">
              <w:rPr>
                <w:rFonts w:ascii="Calibri"/>
                <w:spacing w:val="17"/>
                <w:sz w:val="18"/>
              </w:rPr>
              <w:t xml:space="preserve"> </w:t>
            </w:r>
            <w:r w:rsidRPr="006D31BA">
              <w:rPr>
                <w:rFonts w:ascii="Calibri"/>
                <w:spacing w:val="-2"/>
                <w:sz w:val="18"/>
              </w:rPr>
              <w:t>there</w:t>
            </w:r>
            <w:r w:rsidRPr="006D31BA">
              <w:rPr>
                <w:rFonts w:ascii="Calibri"/>
                <w:spacing w:val="5"/>
                <w:sz w:val="18"/>
              </w:rPr>
              <w:t xml:space="preserve"> </w:t>
            </w:r>
            <w:r w:rsidRPr="006D31BA">
              <w:rPr>
                <w:rFonts w:ascii="Calibri"/>
                <w:spacing w:val="4"/>
                <w:sz w:val="18"/>
              </w:rPr>
              <w:t>are</w:t>
            </w:r>
            <w:r w:rsidRPr="006D31BA">
              <w:rPr>
                <w:rFonts w:ascii="Calibri"/>
                <w:spacing w:val="5"/>
                <w:sz w:val="18"/>
              </w:rPr>
              <w:t xml:space="preserve"> </w:t>
            </w:r>
            <w:r w:rsidRPr="006D31BA">
              <w:rPr>
                <w:rFonts w:ascii="Calibri"/>
                <w:sz w:val="18"/>
              </w:rPr>
              <w:t>&lt;</w:t>
            </w:r>
            <w:r w:rsidRPr="006D31BA">
              <w:rPr>
                <w:rFonts w:ascii="Calibri"/>
                <w:spacing w:val="6"/>
                <w:sz w:val="18"/>
              </w:rPr>
              <w:t xml:space="preserve"> </w:t>
            </w:r>
            <w:r w:rsidRPr="006D31BA">
              <w:rPr>
                <w:rFonts w:ascii="Calibri"/>
                <w:spacing w:val="1"/>
                <w:sz w:val="18"/>
              </w:rPr>
              <w:t>10</w:t>
            </w:r>
            <w:r w:rsidRPr="006D31BA">
              <w:rPr>
                <w:rFonts w:ascii="Calibri"/>
                <w:spacing w:val="22"/>
                <w:sz w:val="18"/>
              </w:rPr>
              <w:t xml:space="preserve"> </w:t>
            </w:r>
            <w:r w:rsidRPr="006D31BA">
              <w:rPr>
                <w:rFonts w:ascii="Calibri"/>
                <w:spacing w:val="2"/>
                <w:sz w:val="18"/>
              </w:rPr>
              <w:t>samples</w:t>
            </w:r>
            <w:r w:rsidRPr="006D31BA">
              <w:rPr>
                <w:rFonts w:ascii="Calibri"/>
                <w:spacing w:val="31"/>
                <w:sz w:val="18"/>
              </w:rPr>
              <w:t xml:space="preserve"> </w:t>
            </w:r>
            <w:r w:rsidRPr="006D31BA">
              <w:rPr>
                <w:rFonts w:ascii="Calibri"/>
                <w:spacing w:val="2"/>
                <w:sz w:val="18"/>
              </w:rPr>
              <w:t>above</w:t>
            </w:r>
            <w:r w:rsidRPr="006D31BA">
              <w:rPr>
                <w:rFonts w:ascii="Calibri"/>
                <w:spacing w:val="5"/>
                <w:sz w:val="18"/>
              </w:rPr>
              <w:t xml:space="preserve"> </w:t>
            </w:r>
            <w:r w:rsidRPr="006D31BA">
              <w:rPr>
                <w:rFonts w:ascii="Calibri"/>
                <w:spacing w:val="-2"/>
                <w:sz w:val="18"/>
              </w:rPr>
              <w:t>the</w:t>
            </w:r>
            <w:r w:rsidRPr="006D31BA">
              <w:rPr>
                <w:rFonts w:ascii="Calibri"/>
                <w:spacing w:val="5"/>
                <w:sz w:val="18"/>
              </w:rPr>
              <w:t xml:space="preserve"> </w:t>
            </w:r>
            <w:r w:rsidRPr="006D31BA">
              <w:rPr>
                <w:rFonts w:ascii="Calibri"/>
                <w:spacing w:val="1"/>
                <w:sz w:val="18"/>
                <w:szCs w:val="18"/>
              </w:rPr>
              <w:t>threshold</w:t>
            </w:r>
            <w:r w:rsidRPr="006D31BA">
              <w:rPr>
                <w:rFonts w:ascii="Calibri"/>
                <w:spacing w:val="17"/>
                <w:sz w:val="18"/>
                <w:szCs w:val="18"/>
              </w:rPr>
              <w:t xml:space="preserve"> </w:t>
            </w:r>
            <w:r w:rsidRPr="006D31BA">
              <w:rPr>
                <w:rFonts w:ascii="Calibri"/>
                <w:spacing w:val="-2"/>
                <w:sz w:val="18"/>
                <w:szCs w:val="18"/>
              </w:rPr>
              <w:t>per</w:t>
            </w:r>
            <w:r w:rsidRPr="006D31BA">
              <w:rPr>
                <w:rFonts w:ascii="Calibri"/>
                <w:spacing w:val="24"/>
                <w:sz w:val="18"/>
                <w:szCs w:val="18"/>
              </w:rPr>
              <w:t xml:space="preserve"> </w:t>
            </w:r>
            <w:r w:rsidRPr="006D31BA">
              <w:rPr>
                <w:rFonts w:ascii="Calibri"/>
                <w:sz w:val="18"/>
                <w:szCs w:val="18"/>
              </w:rPr>
              <w:t>DOE</w:t>
            </w:r>
            <w:r w:rsidR="006D31BA">
              <w:rPr>
                <w:rFonts w:ascii="Calibri"/>
                <w:sz w:val="18"/>
                <w:szCs w:val="18"/>
              </w:rPr>
              <w:t>.</w:t>
            </w:r>
            <w:r>
              <w:rPr>
                <w:rFonts w:ascii="Calibri"/>
                <w:spacing w:val="7"/>
                <w:sz w:val="19"/>
              </w:rPr>
              <w:t xml:space="preserve"> </w:t>
            </w:r>
            <w:r>
              <w:rPr>
                <w:rFonts w:ascii="Calibri"/>
                <w:sz w:val="19"/>
              </w:rPr>
              <w:t>recommendation.</w:t>
            </w:r>
          </w:p>
        </w:tc>
      </w:tr>
    </w:tbl>
    <w:p w:rsidR="00027A84" w:rsidRDefault="00027A84" w:rsidP="00965BC5">
      <w:pPr>
        <w:pStyle w:val="NoSpacing"/>
        <w:ind w:left="720"/>
        <w:rPr>
          <w:rFonts w:asciiTheme="minorHAnsi" w:hAnsiTheme="minorHAnsi"/>
          <w:sz w:val="22"/>
        </w:rPr>
      </w:pPr>
    </w:p>
    <w:p w:rsidR="00F02B57" w:rsidRPr="00965BC5" w:rsidRDefault="00327580" w:rsidP="00FA2887">
      <w:pPr>
        <w:pStyle w:val="NoSpacing"/>
        <w:ind w:left="360"/>
        <w:rPr>
          <w:rFonts w:asciiTheme="minorHAnsi" w:hAnsiTheme="minorHAnsi"/>
          <w:sz w:val="22"/>
        </w:rPr>
      </w:pPr>
      <w:r>
        <w:rPr>
          <w:rFonts w:asciiTheme="minorHAnsi" w:hAnsiTheme="minorHAnsi"/>
          <w:sz w:val="22"/>
        </w:rPr>
        <w:t>In keeping with</w:t>
      </w:r>
      <w:r w:rsidR="004B516D">
        <w:rPr>
          <w:rFonts w:asciiTheme="minorHAnsi" w:hAnsiTheme="minorHAnsi"/>
          <w:sz w:val="22"/>
        </w:rPr>
        <w:t xml:space="preserve"> SoCalGas’ commitment to energy </w:t>
      </w:r>
      <w:r>
        <w:rPr>
          <w:rFonts w:asciiTheme="minorHAnsi" w:hAnsiTheme="minorHAnsi"/>
          <w:sz w:val="22"/>
        </w:rPr>
        <w:t>efficiency, we would have welcomed this rulemaking had it proven to be economically feasible to our customers.</w:t>
      </w:r>
    </w:p>
    <w:p w:rsidR="00965BC5" w:rsidRPr="004C2F26" w:rsidRDefault="00965BC5" w:rsidP="004C2F26">
      <w:pPr>
        <w:pStyle w:val="ListParagraph"/>
        <w:spacing w:after="0" w:line="240" w:lineRule="auto"/>
        <w:ind w:left="1080"/>
        <w:rPr>
          <w:rFonts w:asciiTheme="minorHAnsi" w:hAnsiTheme="minorHAnsi"/>
          <w:szCs w:val="24"/>
        </w:rPr>
      </w:pPr>
    </w:p>
    <w:p w:rsidR="00DC6AB4" w:rsidRPr="00965BC5" w:rsidRDefault="00DC6AB4" w:rsidP="00DC6AB4">
      <w:pPr>
        <w:pStyle w:val="NoSpacing"/>
        <w:numPr>
          <w:ilvl w:val="0"/>
          <w:numId w:val="18"/>
        </w:numPr>
        <w:rPr>
          <w:rFonts w:asciiTheme="minorHAnsi" w:hAnsiTheme="minorHAnsi"/>
          <w:color w:val="632423" w:themeColor="accent2" w:themeShade="80"/>
          <w:sz w:val="22"/>
        </w:rPr>
      </w:pPr>
      <w:r w:rsidRPr="008D0B88">
        <w:rPr>
          <w:rFonts w:asciiTheme="minorHAnsi" w:hAnsiTheme="minorHAnsi"/>
          <w:sz w:val="22"/>
          <w:u w:val="single"/>
        </w:rPr>
        <w:t>B</w:t>
      </w:r>
      <w:r>
        <w:rPr>
          <w:rFonts w:asciiTheme="minorHAnsi" w:hAnsiTheme="minorHAnsi"/>
          <w:sz w:val="22"/>
          <w:u w:val="single"/>
        </w:rPr>
        <w:t>urden on low-income communities</w:t>
      </w:r>
      <w:r w:rsidRPr="00DC6AB4">
        <w:rPr>
          <w:rFonts w:asciiTheme="minorHAnsi" w:hAnsiTheme="minorHAnsi"/>
          <w:sz w:val="22"/>
        </w:rPr>
        <w:t xml:space="preserve">. DOE’s own analysis shows that low-income consumers in the </w:t>
      </w:r>
      <w:r>
        <w:rPr>
          <w:rFonts w:asciiTheme="minorHAnsi" w:hAnsiTheme="minorHAnsi"/>
          <w:sz w:val="22"/>
        </w:rPr>
        <w:t>“</w:t>
      </w:r>
      <w:r w:rsidRPr="00DC6AB4">
        <w:rPr>
          <w:rFonts w:asciiTheme="minorHAnsi" w:hAnsiTheme="minorHAnsi"/>
          <w:sz w:val="22"/>
        </w:rPr>
        <w:t>Rest of Country</w:t>
      </w:r>
      <w:r>
        <w:rPr>
          <w:rFonts w:asciiTheme="minorHAnsi" w:hAnsiTheme="minorHAnsi"/>
          <w:sz w:val="22"/>
        </w:rPr>
        <w:t>”</w:t>
      </w:r>
      <w:r w:rsidRPr="00DC6AB4">
        <w:rPr>
          <w:rFonts w:asciiTheme="minorHAnsi" w:hAnsiTheme="minorHAnsi"/>
          <w:sz w:val="22"/>
        </w:rPr>
        <w:t xml:space="preserve"> region may bear a larger burden than other consumers with this rulemaking, despite the split standard.</w:t>
      </w:r>
      <w:r w:rsidRPr="00DC6AB4">
        <w:rPr>
          <w:rStyle w:val="FootnoteReference"/>
          <w:rFonts w:asciiTheme="minorHAnsi" w:hAnsiTheme="minorHAnsi"/>
          <w:sz w:val="22"/>
        </w:rPr>
        <w:footnoteReference w:id="2"/>
      </w:r>
      <w:r w:rsidRPr="00DC6AB4">
        <w:rPr>
          <w:rFonts w:asciiTheme="minorHAnsi" w:hAnsiTheme="minorHAnsi"/>
          <w:sz w:val="22"/>
        </w:rPr>
        <w:t xml:space="preserve"> This burden is compounded by the fact that low- and fixed-income homeowners typically live in smaller spaces, which require</w:t>
      </w:r>
      <w:r w:rsidRPr="00965BC5">
        <w:rPr>
          <w:rFonts w:asciiTheme="minorHAnsi" w:hAnsiTheme="minorHAnsi"/>
          <w:sz w:val="22"/>
        </w:rPr>
        <w:t xml:space="preserve"> less energy to heat</w:t>
      </w:r>
      <w:r w:rsidR="004B516D">
        <w:rPr>
          <w:rFonts w:asciiTheme="minorHAnsi" w:hAnsiTheme="minorHAnsi"/>
          <w:sz w:val="22"/>
        </w:rPr>
        <w:t xml:space="preserve"> and therefore will achieve</w:t>
      </w:r>
      <w:r>
        <w:rPr>
          <w:rFonts w:asciiTheme="minorHAnsi" w:hAnsiTheme="minorHAnsi"/>
          <w:sz w:val="22"/>
        </w:rPr>
        <w:t xml:space="preserve"> less annual savings</w:t>
      </w:r>
      <w:r w:rsidRPr="00965BC5">
        <w:rPr>
          <w:rFonts w:asciiTheme="minorHAnsi" w:hAnsiTheme="minorHAnsi"/>
          <w:sz w:val="22"/>
        </w:rPr>
        <w:t>.</w:t>
      </w:r>
      <w:r>
        <w:rPr>
          <w:rFonts w:asciiTheme="minorHAnsi" w:hAnsiTheme="minorHAnsi"/>
          <w:sz w:val="22"/>
        </w:rPr>
        <w:t xml:space="preserve"> </w:t>
      </w:r>
      <w:r w:rsidRPr="00965BC5">
        <w:rPr>
          <w:rFonts w:asciiTheme="minorHAnsi" w:hAnsiTheme="minorHAnsi"/>
          <w:sz w:val="22"/>
        </w:rPr>
        <w:t xml:space="preserve">Additionally, low- and fixed-income renters will </w:t>
      </w:r>
      <w:r>
        <w:rPr>
          <w:rFonts w:asciiTheme="minorHAnsi" w:hAnsiTheme="minorHAnsi"/>
          <w:sz w:val="22"/>
        </w:rPr>
        <w:t xml:space="preserve">likely </w:t>
      </w:r>
      <w:r w:rsidRPr="00965BC5">
        <w:rPr>
          <w:rFonts w:asciiTheme="minorHAnsi" w:hAnsiTheme="minorHAnsi"/>
          <w:sz w:val="22"/>
        </w:rPr>
        <w:t>be forced to deal with higher rents when landlords are required to install high-efficiency furnaces</w:t>
      </w:r>
      <w:r>
        <w:rPr>
          <w:rFonts w:asciiTheme="minorHAnsi" w:hAnsiTheme="minorHAnsi"/>
          <w:sz w:val="22"/>
        </w:rPr>
        <w:t>, passing the cost to the renters, contrary to DOE assertions</w:t>
      </w:r>
      <w:r w:rsidRPr="00965BC5">
        <w:rPr>
          <w:rFonts w:asciiTheme="minorHAnsi" w:hAnsiTheme="minorHAnsi"/>
          <w:sz w:val="22"/>
        </w:rPr>
        <w:t>.</w:t>
      </w:r>
    </w:p>
    <w:p w:rsidR="00DC6AB4" w:rsidRPr="00FA2887" w:rsidRDefault="00DC6AB4" w:rsidP="00DC6AB4">
      <w:pPr>
        <w:pStyle w:val="NoSpacing"/>
        <w:ind w:left="360"/>
        <w:rPr>
          <w:rFonts w:asciiTheme="minorHAnsi" w:hAnsiTheme="minorHAnsi"/>
          <w:color w:val="632423" w:themeColor="accent2" w:themeShade="80"/>
          <w:sz w:val="22"/>
        </w:rPr>
      </w:pPr>
    </w:p>
    <w:p w:rsidR="00DC6AB4" w:rsidRDefault="00DC6AB4" w:rsidP="00DC6AB4">
      <w:pPr>
        <w:pStyle w:val="NoSpacing"/>
        <w:ind w:left="360"/>
        <w:rPr>
          <w:rFonts w:asciiTheme="minorHAnsi" w:hAnsiTheme="minorHAnsi"/>
          <w:sz w:val="22"/>
        </w:rPr>
      </w:pPr>
      <w:r w:rsidRPr="00965BC5">
        <w:rPr>
          <w:rFonts w:asciiTheme="minorHAnsi" w:hAnsiTheme="minorHAnsi"/>
          <w:sz w:val="22"/>
        </w:rPr>
        <w:t>DOE maintains that these increased costs are necessary and worthwhile given the energy needs of the nation. The US Census Bureau estimates that nearly a quarter of California residents live in poverty.  With a total state population of 38.7 million people,</w:t>
      </w:r>
      <w:r w:rsidRPr="00965BC5">
        <w:rPr>
          <w:rStyle w:val="FootnoteReference"/>
          <w:rFonts w:asciiTheme="minorHAnsi" w:hAnsiTheme="minorHAnsi"/>
          <w:sz w:val="22"/>
        </w:rPr>
        <w:footnoteReference w:id="3"/>
      </w:r>
      <w:r w:rsidRPr="00965BC5">
        <w:rPr>
          <w:rFonts w:asciiTheme="minorHAnsi" w:hAnsiTheme="minorHAnsi"/>
          <w:sz w:val="22"/>
        </w:rPr>
        <w:t xml:space="preserve"> that percentage amounts to approximately 9.7 million residents statewide and over 5.2 million within SoCalGas’ service territory. This rule </w:t>
      </w:r>
      <w:r>
        <w:rPr>
          <w:rFonts w:asciiTheme="minorHAnsi" w:hAnsiTheme="minorHAnsi"/>
          <w:sz w:val="22"/>
        </w:rPr>
        <w:t xml:space="preserve">may create </w:t>
      </w:r>
      <w:r w:rsidRPr="00965BC5">
        <w:rPr>
          <w:rFonts w:asciiTheme="minorHAnsi" w:hAnsiTheme="minorHAnsi"/>
          <w:sz w:val="22"/>
        </w:rPr>
        <w:t>an undue burden on a significant number of vulnerable residents who do</w:t>
      </w:r>
      <w:r>
        <w:rPr>
          <w:rFonts w:asciiTheme="minorHAnsi" w:hAnsiTheme="minorHAnsi"/>
          <w:sz w:val="22"/>
        </w:rPr>
        <w:t xml:space="preserve"> no</w:t>
      </w:r>
      <w:r w:rsidRPr="00965BC5">
        <w:rPr>
          <w:rFonts w:asciiTheme="minorHAnsi" w:hAnsiTheme="minorHAnsi"/>
          <w:sz w:val="22"/>
        </w:rPr>
        <w:t xml:space="preserve">t have the economic flexibility to absorb what might seem </w:t>
      </w:r>
      <w:r w:rsidR="004D69FF">
        <w:rPr>
          <w:rFonts w:asciiTheme="minorHAnsi" w:hAnsiTheme="minorHAnsi"/>
          <w:sz w:val="22"/>
        </w:rPr>
        <w:t xml:space="preserve">to some </w:t>
      </w:r>
      <w:r w:rsidRPr="00965BC5">
        <w:rPr>
          <w:rFonts w:asciiTheme="minorHAnsi" w:hAnsiTheme="minorHAnsi"/>
          <w:sz w:val="22"/>
        </w:rPr>
        <w:t>to be</w:t>
      </w:r>
      <w:r>
        <w:rPr>
          <w:rFonts w:asciiTheme="minorHAnsi" w:hAnsiTheme="minorHAnsi"/>
          <w:sz w:val="22"/>
        </w:rPr>
        <w:t xml:space="preserve"> an incidental cost</w:t>
      </w:r>
      <w:r w:rsidRPr="00965BC5">
        <w:rPr>
          <w:rFonts w:asciiTheme="minorHAnsi" w:hAnsiTheme="minorHAnsi"/>
          <w:sz w:val="22"/>
        </w:rPr>
        <w:t>.</w:t>
      </w:r>
    </w:p>
    <w:p w:rsidR="00DC6AB4" w:rsidRDefault="00DC6AB4" w:rsidP="00DC6AB4">
      <w:pPr>
        <w:pStyle w:val="NoSpacing"/>
        <w:ind w:left="360"/>
        <w:rPr>
          <w:rFonts w:asciiTheme="minorHAnsi" w:hAnsiTheme="minorHAnsi"/>
          <w:sz w:val="22"/>
        </w:rPr>
      </w:pPr>
    </w:p>
    <w:p w:rsidR="00DC6AB4" w:rsidRPr="00FA2887" w:rsidRDefault="00DC6AB4" w:rsidP="00DC6AB4">
      <w:pPr>
        <w:pStyle w:val="NoSpacing"/>
        <w:numPr>
          <w:ilvl w:val="0"/>
          <w:numId w:val="18"/>
        </w:numPr>
        <w:rPr>
          <w:rFonts w:asciiTheme="minorHAnsi" w:hAnsiTheme="minorHAnsi"/>
          <w:color w:val="632423" w:themeColor="accent2" w:themeShade="80"/>
          <w:sz w:val="22"/>
        </w:rPr>
      </w:pPr>
      <w:r w:rsidRPr="00DC6AB4">
        <w:rPr>
          <w:rFonts w:asciiTheme="minorHAnsi" w:hAnsiTheme="minorHAnsi"/>
          <w:sz w:val="22"/>
          <w:u w:val="single"/>
        </w:rPr>
        <w:t>Increases energy consumption</w:t>
      </w:r>
      <w:r>
        <w:rPr>
          <w:rFonts w:asciiTheme="minorHAnsi" w:hAnsiTheme="minorHAnsi"/>
          <w:sz w:val="22"/>
        </w:rPr>
        <w:t xml:space="preserve">. </w:t>
      </w:r>
      <w:r w:rsidRPr="00965BC5">
        <w:rPr>
          <w:rFonts w:asciiTheme="minorHAnsi" w:hAnsiTheme="minorHAnsi"/>
          <w:sz w:val="22"/>
        </w:rPr>
        <w:t xml:space="preserve">The increased costs of moving to a 92% AFUE minimum efficiency gas furnace from the current industry standard of 80% AFUE, particularly in the retrofit market where the switch from non-condensing to condensing furnaces require changing the flue and providing a condensate drain, make fuel-switching (using split-system or mini-split heat pumps) an attractive alternative to consumers on a cost, rather than performance, basis. </w:t>
      </w:r>
      <w:r w:rsidRPr="00AC1164">
        <w:rPr>
          <w:rFonts w:asciiTheme="minorHAnsi" w:hAnsiTheme="minorHAnsi"/>
          <w:sz w:val="22"/>
        </w:rPr>
        <w:t xml:space="preserve">A switch from gas to electricity space heating will, however, </w:t>
      </w:r>
      <w:r w:rsidRPr="00AC1164">
        <w:rPr>
          <w:rFonts w:asciiTheme="minorHAnsi" w:hAnsiTheme="minorHAnsi"/>
          <w:i/>
          <w:sz w:val="22"/>
        </w:rPr>
        <w:t>increase</w:t>
      </w:r>
      <w:r w:rsidRPr="00AC1164">
        <w:rPr>
          <w:rFonts w:asciiTheme="minorHAnsi" w:hAnsiTheme="minorHAnsi"/>
          <w:sz w:val="22"/>
        </w:rPr>
        <w:t xml:space="preserve"> source energy consumption due to the inefficiencies of losses in generation, transmission and distribution of electricity.</w:t>
      </w:r>
      <w:r w:rsidRPr="00AC1164">
        <w:rPr>
          <w:rStyle w:val="FootnoteReference"/>
          <w:rFonts w:asciiTheme="minorHAnsi" w:hAnsiTheme="minorHAnsi"/>
          <w:sz w:val="20"/>
        </w:rPr>
        <w:footnoteReference w:id="4"/>
      </w:r>
      <w:r w:rsidRPr="00965BC5">
        <w:rPr>
          <w:rFonts w:asciiTheme="minorHAnsi" w:hAnsiTheme="minorHAnsi"/>
          <w:sz w:val="22"/>
        </w:rPr>
        <w:t xml:space="preserve"> This is particularly true if the heat pumps with lower performance are selected for cost reasons and when, on very cold weather days, heat pumps don’t function well, built-in backup resistance heaters are triggered. The resulting increased source energy use is contrary to the stated goals of the legislation that provides the basis for efficiency standards.  The introduction of a 55,000 Btu/h split standard does not change the potential for fuel switching and therefore does not reduce the potential for the increase in source energy consumption, negating the intent of the rulemaking.</w:t>
      </w:r>
    </w:p>
    <w:p w:rsidR="00DC6AB4" w:rsidRPr="00965BC5" w:rsidRDefault="00DC6AB4" w:rsidP="00DC6AB4">
      <w:pPr>
        <w:pStyle w:val="NoSpacing"/>
        <w:ind w:left="360"/>
        <w:rPr>
          <w:rFonts w:asciiTheme="minorHAnsi" w:hAnsiTheme="minorHAnsi"/>
          <w:color w:val="632423" w:themeColor="accent2" w:themeShade="80"/>
        </w:rPr>
      </w:pPr>
    </w:p>
    <w:p w:rsidR="00FB6517" w:rsidRPr="00FA2887" w:rsidRDefault="008D0B88" w:rsidP="00FA2887">
      <w:pPr>
        <w:pStyle w:val="NoSpacing"/>
        <w:numPr>
          <w:ilvl w:val="0"/>
          <w:numId w:val="18"/>
        </w:numPr>
        <w:rPr>
          <w:rFonts w:asciiTheme="minorHAnsi" w:hAnsiTheme="minorHAnsi" w:cstheme="minorHAnsi"/>
          <w:sz w:val="22"/>
        </w:rPr>
      </w:pPr>
      <w:r w:rsidRPr="008D0B88">
        <w:rPr>
          <w:rFonts w:asciiTheme="minorHAnsi" w:hAnsiTheme="minorHAnsi"/>
          <w:sz w:val="22"/>
          <w:u w:val="single"/>
        </w:rPr>
        <w:t>Data requires additional clarification and transparency</w:t>
      </w:r>
      <w:r>
        <w:rPr>
          <w:rFonts w:asciiTheme="minorHAnsi" w:hAnsiTheme="minorHAnsi"/>
          <w:sz w:val="22"/>
        </w:rPr>
        <w:t xml:space="preserve">. </w:t>
      </w:r>
      <w:r w:rsidR="00F02B57" w:rsidRPr="00B91C77">
        <w:rPr>
          <w:rFonts w:asciiTheme="minorHAnsi" w:hAnsiTheme="minorHAnsi"/>
          <w:sz w:val="22"/>
        </w:rPr>
        <w:t>The TSD requires clarification on the probability distribution, labor rate, and teardown an</w:t>
      </w:r>
      <w:r w:rsidR="004C2F26" w:rsidRPr="00B91C77">
        <w:rPr>
          <w:rFonts w:asciiTheme="minorHAnsi" w:hAnsiTheme="minorHAnsi"/>
          <w:sz w:val="22"/>
        </w:rPr>
        <w:t>a</w:t>
      </w:r>
      <w:r w:rsidR="00F02B57" w:rsidRPr="00B91C77">
        <w:rPr>
          <w:rFonts w:asciiTheme="minorHAnsi" w:hAnsiTheme="minorHAnsi"/>
          <w:sz w:val="22"/>
        </w:rPr>
        <w:t>lysis inputs into the LCC calculation.</w:t>
      </w:r>
      <w:r w:rsidR="00F02B57" w:rsidRPr="00965BC5">
        <w:rPr>
          <w:rFonts w:asciiTheme="minorHAnsi" w:hAnsiTheme="minorHAnsi"/>
          <w:sz w:val="22"/>
        </w:rPr>
        <w:t xml:space="preserve"> </w:t>
      </w:r>
      <w:r w:rsidR="00D54CA7" w:rsidRPr="00965BC5">
        <w:rPr>
          <w:rFonts w:asciiTheme="minorHAnsi" w:hAnsiTheme="minorHAnsi" w:cs="Arial"/>
          <w:sz w:val="22"/>
        </w:rPr>
        <w:t xml:space="preserve"> </w:t>
      </w:r>
      <w:r w:rsidR="00F02B57" w:rsidRPr="00965BC5">
        <w:rPr>
          <w:rFonts w:asciiTheme="minorHAnsi" w:hAnsiTheme="minorHAnsi" w:cstheme="minorHAnsi"/>
          <w:sz w:val="22"/>
        </w:rPr>
        <w:t xml:space="preserve">DOE’s LCC calculation is complex and additional documentation and justification for some critical input data </w:t>
      </w:r>
      <w:r w:rsidR="00CE7BA8" w:rsidRPr="00965BC5">
        <w:rPr>
          <w:rFonts w:asciiTheme="minorHAnsi" w:hAnsiTheme="minorHAnsi" w:cstheme="minorHAnsi"/>
          <w:sz w:val="22"/>
        </w:rPr>
        <w:t xml:space="preserve">is </w:t>
      </w:r>
      <w:r w:rsidR="00F02B57" w:rsidRPr="00965BC5">
        <w:rPr>
          <w:rFonts w:asciiTheme="minorHAnsi" w:hAnsiTheme="minorHAnsi" w:cstheme="minorHAnsi"/>
          <w:sz w:val="22"/>
        </w:rPr>
        <w:t xml:space="preserve">necessary for stakeholders to accurately </w:t>
      </w:r>
      <w:r w:rsidR="00B91C77">
        <w:rPr>
          <w:rFonts w:asciiTheme="minorHAnsi" w:hAnsiTheme="minorHAnsi" w:cstheme="minorHAnsi"/>
          <w:sz w:val="22"/>
        </w:rPr>
        <w:t xml:space="preserve">assess the methodology of </w:t>
      </w:r>
      <w:r w:rsidR="00F02B57" w:rsidRPr="00965BC5">
        <w:rPr>
          <w:rFonts w:asciiTheme="minorHAnsi" w:hAnsiTheme="minorHAnsi" w:cstheme="minorHAnsi"/>
          <w:sz w:val="22"/>
        </w:rPr>
        <w:t xml:space="preserve">the calculations. </w:t>
      </w:r>
      <w:r w:rsidR="00FB6517" w:rsidRPr="00965BC5">
        <w:rPr>
          <w:rFonts w:asciiTheme="minorHAnsi" w:hAnsiTheme="minorHAnsi" w:cs="Arial"/>
          <w:sz w:val="22"/>
        </w:rPr>
        <w:t xml:space="preserve">We have several concerns </w:t>
      </w:r>
      <w:r w:rsidR="00D54CA7" w:rsidRPr="00965BC5">
        <w:rPr>
          <w:rFonts w:asciiTheme="minorHAnsi" w:hAnsiTheme="minorHAnsi" w:cs="Arial"/>
          <w:sz w:val="22"/>
        </w:rPr>
        <w:t>with this approach</w:t>
      </w:r>
      <w:r w:rsidR="005B0E69" w:rsidRPr="00965BC5">
        <w:rPr>
          <w:rFonts w:asciiTheme="minorHAnsi" w:hAnsiTheme="minorHAnsi" w:cs="Arial"/>
          <w:sz w:val="22"/>
        </w:rPr>
        <w:t>:</w:t>
      </w:r>
      <w:r w:rsidR="00D54CA7" w:rsidRPr="00965BC5">
        <w:rPr>
          <w:rFonts w:asciiTheme="minorHAnsi" w:hAnsiTheme="minorHAnsi" w:cs="Arial"/>
          <w:sz w:val="22"/>
        </w:rPr>
        <w:t xml:space="preserve">  </w:t>
      </w:r>
    </w:p>
    <w:p w:rsidR="00FA2887" w:rsidRPr="00965BC5" w:rsidRDefault="00FA2887" w:rsidP="00FA2887">
      <w:pPr>
        <w:pStyle w:val="NoSpacing"/>
        <w:ind w:left="360"/>
        <w:rPr>
          <w:rFonts w:asciiTheme="minorHAnsi" w:hAnsiTheme="minorHAnsi" w:cstheme="minorHAnsi"/>
          <w:sz w:val="22"/>
        </w:rPr>
      </w:pPr>
    </w:p>
    <w:p w:rsidR="00965BC5" w:rsidRPr="00965BC5" w:rsidRDefault="00F02B57" w:rsidP="00965BC5">
      <w:pPr>
        <w:pStyle w:val="NoSpacing"/>
        <w:numPr>
          <w:ilvl w:val="0"/>
          <w:numId w:val="16"/>
        </w:numPr>
        <w:rPr>
          <w:rFonts w:asciiTheme="minorHAnsi" w:hAnsiTheme="minorHAnsi"/>
          <w:sz w:val="22"/>
        </w:rPr>
      </w:pPr>
      <w:r w:rsidRPr="00965BC5">
        <w:rPr>
          <w:rFonts w:asciiTheme="minorHAnsi" w:hAnsiTheme="minorHAnsi"/>
          <w:sz w:val="22"/>
        </w:rPr>
        <w:t>Appendix 8B of the TSD</w:t>
      </w:r>
      <w:r w:rsidRPr="00965BC5">
        <w:rPr>
          <w:rStyle w:val="FootnoteReference"/>
          <w:rFonts w:asciiTheme="minorHAnsi" w:hAnsiTheme="minorHAnsi" w:cstheme="minorHAnsi"/>
          <w:sz w:val="22"/>
        </w:rPr>
        <w:footnoteReference w:id="5"/>
      </w:r>
      <w:r w:rsidRPr="00965BC5">
        <w:rPr>
          <w:rFonts w:asciiTheme="minorHAnsi" w:hAnsiTheme="minorHAnsi"/>
          <w:sz w:val="22"/>
        </w:rPr>
        <w:t xml:space="preserve"> includes some rudimentary statistics background about probability distributions and a table showing the distributions. However, stakeholders are not provided sufficient details and/or information to review and determine the reasonableness and equ</w:t>
      </w:r>
      <w:r w:rsidR="00CE7BA8" w:rsidRPr="00965BC5">
        <w:rPr>
          <w:rFonts w:asciiTheme="minorHAnsi" w:hAnsiTheme="minorHAnsi"/>
          <w:sz w:val="22"/>
        </w:rPr>
        <w:t>itability</w:t>
      </w:r>
      <w:r w:rsidRPr="00965BC5">
        <w:rPr>
          <w:rFonts w:asciiTheme="minorHAnsi" w:hAnsiTheme="minorHAnsi"/>
          <w:sz w:val="22"/>
        </w:rPr>
        <w:t xml:space="preserve"> of the inputs</w:t>
      </w:r>
      <w:r w:rsidR="00B91C77">
        <w:rPr>
          <w:rFonts w:asciiTheme="minorHAnsi" w:hAnsiTheme="minorHAnsi"/>
          <w:sz w:val="22"/>
        </w:rPr>
        <w:t xml:space="preserve"> on more than one hundred probability distributions</w:t>
      </w:r>
      <w:r w:rsidRPr="00965BC5">
        <w:rPr>
          <w:rFonts w:asciiTheme="minorHAnsi" w:hAnsiTheme="minorHAnsi"/>
          <w:sz w:val="22"/>
        </w:rPr>
        <w:t xml:space="preserve">. </w:t>
      </w:r>
    </w:p>
    <w:p w:rsidR="00965BC5" w:rsidRPr="00965BC5" w:rsidRDefault="00F02B57" w:rsidP="00965BC5">
      <w:pPr>
        <w:pStyle w:val="NoSpacing"/>
        <w:numPr>
          <w:ilvl w:val="0"/>
          <w:numId w:val="16"/>
        </w:numPr>
        <w:rPr>
          <w:rFonts w:asciiTheme="minorHAnsi" w:hAnsiTheme="minorHAnsi"/>
          <w:sz w:val="22"/>
        </w:rPr>
      </w:pPr>
      <w:r w:rsidRPr="00965BC5">
        <w:rPr>
          <w:rFonts w:asciiTheme="minorHAnsi" w:hAnsiTheme="minorHAnsi"/>
          <w:sz w:val="22"/>
        </w:rPr>
        <w:lastRenderedPageBreak/>
        <w:t>RS Means, a reference cited by DOE, includes city-level labor rates but DOE up-sampled that data to statewide or multi-state averages before using it.</w:t>
      </w:r>
      <w:r w:rsidRPr="00965BC5">
        <w:rPr>
          <w:rStyle w:val="FootnoteReference"/>
          <w:rFonts w:asciiTheme="minorHAnsi" w:hAnsiTheme="minorHAnsi" w:cstheme="minorHAnsi"/>
          <w:sz w:val="22"/>
        </w:rPr>
        <w:footnoteReference w:id="6"/>
      </w:r>
      <w:r w:rsidRPr="00965BC5">
        <w:rPr>
          <w:rFonts w:asciiTheme="minorHAnsi" w:hAnsiTheme="minorHAnsi"/>
          <w:sz w:val="22"/>
        </w:rPr>
        <w:t xml:space="preserve">  We recommend that the city level data be used instead to improve the regional accuracy of the LCC results. </w:t>
      </w:r>
    </w:p>
    <w:p w:rsidR="00965BC5" w:rsidRPr="00965BC5" w:rsidRDefault="00F02B57" w:rsidP="00965BC5">
      <w:pPr>
        <w:pStyle w:val="NoSpacing"/>
        <w:numPr>
          <w:ilvl w:val="0"/>
          <w:numId w:val="16"/>
        </w:numPr>
        <w:rPr>
          <w:rFonts w:asciiTheme="minorHAnsi" w:hAnsiTheme="minorHAnsi"/>
          <w:sz w:val="22"/>
        </w:rPr>
      </w:pPr>
      <w:r w:rsidRPr="00965BC5">
        <w:rPr>
          <w:rFonts w:asciiTheme="minorHAnsi" w:hAnsiTheme="minorHAnsi"/>
          <w:sz w:val="22"/>
        </w:rPr>
        <w:t xml:space="preserve">The DOE used teardown analysis to create the furnace first cost input for the LCC model. Per Chapter 5 of the TSD, </w:t>
      </w:r>
      <w:r w:rsidR="00FA647B">
        <w:rPr>
          <w:rFonts w:asciiTheme="minorHAnsi" w:hAnsiTheme="minorHAnsi"/>
          <w:sz w:val="22"/>
        </w:rPr>
        <w:t xml:space="preserve">the </w:t>
      </w:r>
      <w:r w:rsidRPr="00965BC5">
        <w:rPr>
          <w:rFonts w:asciiTheme="minorHAnsi" w:hAnsiTheme="minorHAnsi"/>
          <w:sz w:val="22"/>
        </w:rPr>
        <w:t xml:space="preserve">DOE did physical teardowns of 31 models, virtual teardowns of 46 models, and obtained some </w:t>
      </w:r>
      <w:r w:rsidR="000348C5" w:rsidRPr="00965BC5">
        <w:rPr>
          <w:rFonts w:asciiTheme="minorHAnsi" w:hAnsiTheme="minorHAnsi"/>
          <w:sz w:val="22"/>
        </w:rPr>
        <w:t>real-world</w:t>
      </w:r>
      <w:r w:rsidRPr="00965BC5">
        <w:rPr>
          <w:rFonts w:asciiTheme="minorHAnsi" w:hAnsiTheme="minorHAnsi"/>
          <w:sz w:val="22"/>
        </w:rPr>
        <w:t xml:space="preserve"> manufacturer selling prices. However, DOE does not provide detailed selection criteria, nor make, model, and specifications of the equipment that w</w:t>
      </w:r>
      <w:r w:rsidR="00CE7BA8" w:rsidRPr="00965BC5">
        <w:rPr>
          <w:rFonts w:asciiTheme="minorHAnsi" w:hAnsiTheme="minorHAnsi"/>
          <w:sz w:val="22"/>
        </w:rPr>
        <w:t>ere</w:t>
      </w:r>
      <w:r w:rsidRPr="00965BC5">
        <w:rPr>
          <w:rFonts w:asciiTheme="minorHAnsi" w:hAnsiTheme="minorHAnsi"/>
          <w:sz w:val="22"/>
        </w:rPr>
        <w:t xml:space="preserve"> studied. Stakeholders </w:t>
      </w:r>
      <w:r w:rsidR="00316FD8">
        <w:rPr>
          <w:rFonts w:asciiTheme="minorHAnsi" w:hAnsiTheme="minorHAnsi"/>
          <w:sz w:val="22"/>
        </w:rPr>
        <w:t>are unable to</w:t>
      </w:r>
      <w:r w:rsidRPr="00965BC5">
        <w:rPr>
          <w:rFonts w:asciiTheme="minorHAnsi" w:hAnsiTheme="minorHAnsi"/>
          <w:sz w:val="22"/>
        </w:rPr>
        <w:t xml:space="preserve"> confirm the representativeness of the selection and the conclusions drawn. </w:t>
      </w:r>
    </w:p>
    <w:p w:rsidR="00965BC5" w:rsidRDefault="00965BC5" w:rsidP="00965BC5">
      <w:pPr>
        <w:pStyle w:val="NoSpacing"/>
        <w:ind w:left="720"/>
        <w:rPr>
          <w:rFonts w:asciiTheme="minorHAnsi" w:hAnsiTheme="minorHAnsi"/>
          <w:sz w:val="22"/>
        </w:rPr>
      </w:pPr>
    </w:p>
    <w:p w:rsidR="00F02B57" w:rsidRPr="00965BC5" w:rsidRDefault="00316FD8" w:rsidP="00AC5F8F">
      <w:pPr>
        <w:pStyle w:val="NoSpacing"/>
        <w:ind w:left="360"/>
        <w:rPr>
          <w:rFonts w:asciiTheme="minorHAnsi" w:hAnsiTheme="minorHAnsi" w:cs="Times New Roman"/>
          <w:sz w:val="22"/>
        </w:rPr>
      </w:pPr>
      <w:r>
        <w:rPr>
          <w:rFonts w:asciiTheme="minorHAnsi" w:hAnsiTheme="minorHAnsi"/>
          <w:sz w:val="22"/>
        </w:rPr>
        <w:t>With</w:t>
      </w:r>
      <w:r w:rsidR="00F02B57" w:rsidRPr="00965BC5">
        <w:rPr>
          <w:rFonts w:asciiTheme="minorHAnsi" w:hAnsiTheme="minorHAnsi"/>
          <w:sz w:val="22"/>
        </w:rPr>
        <w:t xml:space="preserve"> additional clarification on these important items</w:t>
      </w:r>
      <w:r>
        <w:rPr>
          <w:rFonts w:asciiTheme="minorHAnsi" w:hAnsiTheme="minorHAnsi"/>
          <w:sz w:val="22"/>
        </w:rPr>
        <w:t>, stakeholders</w:t>
      </w:r>
      <w:r w:rsidR="00F02B57" w:rsidRPr="00965BC5">
        <w:rPr>
          <w:rFonts w:asciiTheme="minorHAnsi" w:hAnsiTheme="minorHAnsi"/>
          <w:sz w:val="22"/>
        </w:rPr>
        <w:t xml:space="preserve"> </w:t>
      </w:r>
      <w:r>
        <w:rPr>
          <w:rFonts w:asciiTheme="minorHAnsi" w:hAnsiTheme="minorHAnsi"/>
          <w:sz w:val="22"/>
        </w:rPr>
        <w:t>will be able to</w:t>
      </w:r>
      <w:r w:rsidR="00F02B57" w:rsidRPr="00965BC5">
        <w:rPr>
          <w:rFonts w:asciiTheme="minorHAnsi" w:hAnsiTheme="minorHAnsi"/>
          <w:sz w:val="22"/>
        </w:rPr>
        <w:t xml:space="preserve"> better understand and review the LCC calculations that </w:t>
      </w:r>
      <w:r w:rsidR="00CE7BA8" w:rsidRPr="00965BC5">
        <w:rPr>
          <w:rFonts w:asciiTheme="minorHAnsi" w:hAnsiTheme="minorHAnsi"/>
          <w:sz w:val="22"/>
        </w:rPr>
        <w:t>are</w:t>
      </w:r>
      <w:r w:rsidR="00F02B57" w:rsidRPr="00965BC5">
        <w:rPr>
          <w:rFonts w:asciiTheme="minorHAnsi" w:hAnsiTheme="minorHAnsi"/>
          <w:sz w:val="22"/>
        </w:rPr>
        <w:t xml:space="preserve"> believed to</w:t>
      </w:r>
      <w:r>
        <w:rPr>
          <w:rFonts w:asciiTheme="minorHAnsi" w:hAnsiTheme="minorHAnsi"/>
          <w:sz w:val="22"/>
        </w:rPr>
        <w:t xml:space="preserve"> be yielding</w:t>
      </w:r>
      <w:r w:rsidR="00F02B57" w:rsidRPr="00965BC5">
        <w:rPr>
          <w:rFonts w:asciiTheme="minorHAnsi" w:hAnsiTheme="minorHAnsi"/>
          <w:sz w:val="22"/>
        </w:rPr>
        <w:t xml:space="preserve"> overstated LCC savings. </w:t>
      </w:r>
    </w:p>
    <w:p w:rsidR="00E15221" w:rsidRPr="00965BC5" w:rsidRDefault="00E15221" w:rsidP="003F03DA">
      <w:pPr>
        <w:pStyle w:val="NoSpacing"/>
        <w:ind w:left="720"/>
        <w:rPr>
          <w:rFonts w:asciiTheme="minorHAnsi" w:hAnsiTheme="minorHAnsi" w:cstheme="minorHAnsi"/>
          <w:sz w:val="22"/>
        </w:rPr>
      </w:pPr>
    </w:p>
    <w:p w:rsidR="00965BC5" w:rsidRPr="00965BC5" w:rsidRDefault="008B4F94" w:rsidP="00965BC5">
      <w:pPr>
        <w:pStyle w:val="NoSpacing"/>
        <w:numPr>
          <w:ilvl w:val="0"/>
          <w:numId w:val="15"/>
        </w:numPr>
        <w:rPr>
          <w:rFonts w:asciiTheme="minorHAnsi" w:hAnsiTheme="minorHAnsi" w:cstheme="minorHAnsi"/>
          <w:sz w:val="22"/>
        </w:rPr>
      </w:pPr>
      <w:r w:rsidRPr="00965BC5">
        <w:rPr>
          <w:rFonts w:asciiTheme="minorHAnsi" w:hAnsiTheme="minorHAnsi"/>
          <w:sz w:val="22"/>
          <w:u w:val="single"/>
        </w:rPr>
        <w:t>No-New-Standards Case Furnace Assignment Methodology</w:t>
      </w:r>
      <w:r w:rsidR="00FE4CAB" w:rsidRPr="00965BC5">
        <w:rPr>
          <w:rFonts w:asciiTheme="minorHAnsi" w:hAnsiTheme="minorHAnsi"/>
          <w:sz w:val="22"/>
        </w:rPr>
        <w:t xml:space="preserve">:  </w:t>
      </w:r>
      <w:r w:rsidR="005A065B">
        <w:rPr>
          <w:rFonts w:asciiTheme="minorHAnsi" w:hAnsiTheme="minorHAnsi"/>
          <w:sz w:val="22"/>
        </w:rPr>
        <w:t xml:space="preserve">SoCalGas, along with various stakeholders were concerned </w:t>
      </w:r>
      <w:r w:rsidR="00E17DD6">
        <w:rPr>
          <w:rFonts w:asciiTheme="minorHAnsi" w:hAnsiTheme="minorHAnsi"/>
          <w:sz w:val="22"/>
        </w:rPr>
        <w:t xml:space="preserve">with </w:t>
      </w:r>
      <w:r w:rsidRPr="00965BC5">
        <w:rPr>
          <w:rFonts w:asciiTheme="minorHAnsi" w:hAnsiTheme="minorHAnsi"/>
          <w:sz w:val="22"/>
        </w:rPr>
        <w:t>the no-new-standards case furnace assignment methodology</w:t>
      </w:r>
      <w:r w:rsidR="00E17DD6">
        <w:rPr>
          <w:rFonts w:asciiTheme="minorHAnsi" w:hAnsiTheme="minorHAnsi"/>
          <w:sz w:val="22"/>
        </w:rPr>
        <w:t xml:space="preserve"> during the NOPR phase</w:t>
      </w:r>
      <w:r w:rsidRPr="00965BC5">
        <w:rPr>
          <w:rFonts w:asciiTheme="minorHAnsi" w:hAnsiTheme="minorHAnsi"/>
          <w:sz w:val="22"/>
        </w:rPr>
        <w:t xml:space="preserve">. In the SNOPR, the DOE discussed this comment but did not implement any improvements. Furthermore, the addition of the split standard makes the accuracy of this methodology even more </w:t>
      </w:r>
      <w:r w:rsidR="005A065B">
        <w:rPr>
          <w:rFonts w:asciiTheme="minorHAnsi" w:hAnsiTheme="minorHAnsi"/>
          <w:sz w:val="22"/>
        </w:rPr>
        <w:t>critical</w:t>
      </w:r>
      <w:r w:rsidRPr="00965BC5">
        <w:rPr>
          <w:rFonts w:asciiTheme="minorHAnsi" w:hAnsiTheme="minorHAnsi"/>
          <w:sz w:val="22"/>
        </w:rPr>
        <w:t xml:space="preserve">. National energy savings are calculated against the no-new-standards case. It therefore makes a </w:t>
      </w:r>
      <w:r w:rsidR="00CE7BA8" w:rsidRPr="00965BC5">
        <w:rPr>
          <w:rFonts w:asciiTheme="minorHAnsi" w:hAnsiTheme="minorHAnsi"/>
          <w:sz w:val="22"/>
        </w:rPr>
        <w:t>significant</w:t>
      </w:r>
      <w:r w:rsidRPr="00965BC5">
        <w:rPr>
          <w:rFonts w:asciiTheme="minorHAnsi" w:hAnsiTheme="minorHAnsi"/>
          <w:sz w:val="22"/>
        </w:rPr>
        <w:t xml:space="preserve"> difference whether a building sample is placed in the small furnace category, and is thus certainly not impacted, or placed in the large category and potentially impacted. </w:t>
      </w:r>
    </w:p>
    <w:p w:rsidR="00965BC5" w:rsidRDefault="00965BC5" w:rsidP="00965BC5">
      <w:pPr>
        <w:pStyle w:val="NoSpacing"/>
        <w:ind w:firstLine="720"/>
        <w:rPr>
          <w:rFonts w:asciiTheme="minorHAnsi" w:hAnsiTheme="minorHAnsi"/>
          <w:sz w:val="22"/>
        </w:rPr>
      </w:pPr>
    </w:p>
    <w:p w:rsidR="008B4F94" w:rsidRPr="00965BC5" w:rsidRDefault="00957FBB" w:rsidP="00FA2887">
      <w:pPr>
        <w:pStyle w:val="NoSpacing"/>
        <w:ind w:left="360"/>
        <w:rPr>
          <w:rFonts w:asciiTheme="minorHAnsi" w:hAnsiTheme="minorHAnsi" w:cstheme="minorHAnsi"/>
          <w:sz w:val="22"/>
        </w:rPr>
      </w:pPr>
      <w:r>
        <w:rPr>
          <w:rFonts w:asciiTheme="minorHAnsi" w:hAnsiTheme="minorHAnsi"/>
          <w:sz w:val="22"/>
        </w:rPr>
        <w:t xml:space="preserve">The </w:t>
      </w:r>
      <w:r w:rsidR="008B4F94" w:rsidRPr="00965BC5">
        <w:rPr>
          <w:rFonts w:asciiTheme="minorHAnsi" w:hAnsiTheme="minorHAnsi"/>
          <w:sz w:val="22"/>
        </w:rPr>
        <w:t>DOE’s no-new-standards-case furnace efficiencies are based on shipment data and an AHRI directory of furnace products. The shipment data is at best</w:t>
      </w:r>
      <w:r>
        <w:rPr>
          <w:rFonts w:asciiTheme="minorHAnsi" w:hAnsiTheme="minorHAnsi"/>
          <w:sz w:val="22"/>
        </w:rPr>
        <w:t>,</w:t>
      </w:r>
      <w:r w:rsidR="008B4F94" w:rsidRPr="00965BC5">
        <w:rPr>
          <w:rFonts w:asciiTheme="minorHAnsi" w:hAnsiTheme="minorHAnsi"/>
          <w:sz w:val="22"/>
        </w:rPr>
        <w:t xml:space="preserve"> categorized by state and by condensing versus noncondensing and the directory does not include sales data. This is very coarse data to apply to the specific buildings in the RECS database. DOE states that they have requested sales data but have not received it. We recommend that DOE and the manufacturers further pursue the sharing of </w:t>
      </w:r>
      <w:r w:rsidR="000003B4" w:rsidRPr="00965BC5">
        <w:rPr>
          <w:rFonts w:asciiTheme="minorHAnsi" w:hAnsiTheme="minorHAnsi"/>
          <w:sz w:val="22"/>
        </w:rPr>
        <w:t xml:space="preserve">non-proprietary </w:t>
      </w:r>
      <w:r w:rsidR="008B4F94" w:rsidRPr="00965BC5">
        <w:rPr>
          <w:rFonts w:asciiTheme="minorHAnsi" w:hAnsiTheme="minorHAnsi"/>
          <w:sz w:val="22"/>
        </w:rPr>
        <w:t>data given its importance in improving the accuracy of the selection model.</w:t>
      </w:r>
      <w:r>
        <w:rPr>
          <w:rFonts w:asciiTheme="minorHAnsi" w:hAnsiTheme="minorHAnsi"/>
          <w:sz w:val="22"/>
        </w:rPr>
        <w:t xml:space="preserve"> </w:t>
      </w:r>
      <w:r w:rsidRPr="00965BC5">
        <w:rPr>
          <w:rFonts w:asciiTheme="minorHAnsi" w:hAnsiTheme="minorHAnsi"/>
          <w:sz w:val="22"/>
        </w:rPr>
        <w:t xml:space="preserve">We </w:t>
      </w:r>
      <w:r>
        <w:rPr>
          <w:rFonts w:asciiTheme="minorHAnsi" w:hAnsiTheme="minorHAnsi"/>
          <w:sz w:val="22"/>
        </w:rPr>
        <w:t xml:space="preserve">also </w:t>
      </w:r>
      <w:r w:rsidRPr="00965BC5">
        <w:rPr>
          <w:rFonts w:asciiTheme="minorHAnsi" w:hAnsiTheme="minorHAnsi"/>
          <w:sz w:val="22"/>
        </w:rPr>
        <w:t xml:space="preserve">recommend that the DOE </w:t>
      </w:r>
      <w:r w:rsidR="00AE03A3">
        <w:rPr>
          <w:rFonts w:asciiTheme="minorHAnsi" w:hAnsiTheme="minorHAnsi"/>
          <w:sz w:val="22"/>
        </w:rPr>
        <w:t>use building specific data (e.g. heating load) when assigning a furnace efficiency during each trial to improve accuracy.</w:t>
      </w:r>
    </w:p>
    <w:p w:rsidR="000003B4" w:rsidRPr="00965BC5" w:rsidRDefault="000003B4" w:rsidP="00965BC5">
      <w:pPr>
        <w:pStyle w:val="NoSpacing"/>
        <w:rPr>
          <w:rFonts w:asciiTheme="minorHAnsi" w:hAnsiTheme="minorHAnsi"/>
          <w:sz w:val="22"/>
        </w:rPr>
      </w:pPr>
    </w:p>
    <w:p w:rsidR="008B4F94" w:rsidRPr="00965BC5" w:rsidRDefault="00957FBB" w:rsidP="00FA2887">
      <w:pPr>
        <w:pStyle w:val="NoSpacing"/>
        <w:ind w:left="360"/>
        <w:rPr>
          <w:rFonts w:asciiTheme="minorHAnsi" w:hAnsiTheme="minorHAnsi"/>
          <w:sz w:val="22"/>
        </w:rPr>
      </w:pPr>
      <w:r>
        <w:rPr>
          <w:rFonts w:asciiTheme="minorHAnsi" w:hAnsiTheme="minorHAnsi"/>
          <w:sz w:val="22"/>
        </w:rPr>
        <w:t xml:space="preserve">The </w:t>
      </w:r>
      <w:r w:rsidR="008B4F94" w:rsidRPr="00965BC5">
        <w:rPr>
          <w:rFonts w:asciiTheme="minorHAnsi" w:hAnsiTheme="minorHAnsi"/>
          <w:sz w:val="22"/>
        </w:rPr>
        <w:t xml:space="preserve">DOE’s </w:t>
      </w:r>
      <w:r w:rsidR="00AE03A3">
        <w:rPr>
          <w:rFonts w:asciiTheme="minorHAnsi" w:hAnsiTheme="minorHAnsi"/>
          <w:sz w:val="22"/>
        </w:rPr>
        <w:t>furnace capacity section</w:t>
      </w:r>
      <w:r w:rsidR="00AE03A3" w:rsidRPr="00965BC5">
        <w:rPr>
          <w:rFonts w:asciiTheme="minorHAnsi" w:hAnsiTheme="minorHAnsi"/>
          <w:sz w:val="22"/>
        </w:rPr>
        <w:t xml:space="preserve"> </w:t>
      </w:r>
      <w:r w:rsidR="008B4F94" w:rsidRPr="00965BC5">
        <w:rPr>
          <w:rFonts w:asciiTheme="minorHAnsi" w:hAnsiTheme="minorHAnsi"/>
          <w:sz w:val="22"/>
        </w:rPr>
        <w:t xml:space="preserve">model is currently based on building square footage, outdoor design temperature, and the aforementioned shipment and directory data. </w:t>
      </w:r>
      <w:r>
        <w:rPr>
          <w:rFonts w:asciiTheme="minorHAnsi" w:hAnsiTheme="minorHAnsi"/>
          <w:sz w:val="22"/>
        </w:rPr>
        <w:t>It does not include building specific data such as building age</w:t>
      </w:r>
      <w:r w:rsidR="00AE03A3">
        <w:rPr>
          <w:rFonts w:asciiTheme="minorHAnsi" w:hAnsiTheme="minorHAnsi"/>
          <w:sz w:val="22"/>
        </w:rPr>
        <w:t xml:space="preserve"> or heating load</w:t>
      </w:r>
      <w:r>
        <w:rPr>
          <w:rFonts w:asciiTheme="minorHAnsi" w:hAnsiTheme="minorHAnsi"/>
          <w:sz w:val="22"/>
        </w:rPr>
        <w:t xml:space="preserve">. The </w:t>
      </w:r>
      <w:r w:rsidR="008B4F94" w:rsidRPr="00965BC5">
        <w:rPr>
          <w:rFonts w:asciiTheme="minorHAnsi" w:hAnsiTheme="minorHAnsi"/>
          <w:sz w:val="22"/>
        </w:rPr>
        <w:t xml:space="preserve">DOE responded to a comment during the October 17, 2016 public meeting stating that home vintage was not an input into their furnace capacity assignment algorithm. Given the importance of building envelope tightness when evaluating HVAC sizes and energy/thermal efficiency, </w:t>
      </w:r>
      <w:r w:rsidR="00DC7B8F" w:rsidRPr="00965BC5">
        <w:rPr>
          <w:rFonts w:asciiTheme="minorHAnsi" w:hAnsiTheme="minorHAnsi"/>
          <w:sz w:val="22"/>
        </w:rPr>
        <w:t xml:space="preserve">the </w:t>
      </w:r>
      <w:r w:rsidR="008B4F94" w:rsidRPr="00965BC5">
        <w:rPr>
          <w:rFonts w:asciiTheme="minorHAnsi" w:hAnsiTheme="minorHAnsi"/>
          <w:sz w:val="22"/>
        </w:rPr>
        <w:t xml:space="preserve">absence of this information in the </w:t>
      </w:r>
      <w:r w:rsidR="004C2F26" w:rsidRPr="00965BC5">
        <w:rPr>
          <w:rFonts w:asciiTheme="minorHAnsi" w:hAnsiTheme="minorHAnsi"/>
          <w:sz w:val="22"/>
        </w:rPr>
        <w:t>no-new-standard</w:t>
      </w:r>
      <w:r w:rsidR="008B4F94" w:rsidRPr="00965BC5">
        <w:rPr>
          <w:rFonts w:asciiTheme="minorHAnsi" w:hAnsiTheme="minorHAnsi"/>
          <w:sz w:val="22"/>
        </w:rPr>
        <w:t xml:space="preserve"> furnace selection model makes the DOE’s offer of a new split standard inadequate.</w:t>
      </w:r>
    </w:p>
    <w:p w:rsidR="004C2F26" w:rsidRPr="00965BC5" w:rsidRDefault="004C2F26" w:rsidP="00965BC5">
      <w:pPr>
        <w:pStyle w:val="NoSpacing"/>
        <w:rPr>
          <w:rFonts w:asciiTheme="minorHAnsi" w:hAnsiTheme="minorHAnsi"/>
          <w:sz w:val="22"/>
        </w:rPr>
      </w:pPr>
    </w:p>
    <w:p w:rsidR="00DF29AE" w:rsidRDefault="008B4F94" w:rsidP="00FA2887">
      <w:pPr>
        <w:pStyle w:val="NoSpacing"/>
        <w:ind w:left="360"/>
        <w:rPr>
          <w:rFonts w:asciiTheme="minorHAnsi" w:hAnsiTheme="minorHAnsi"/>
          <w:sz w:val="22"/>
        </w:rPr>
      </w:pPr>
      <w:r w:rsidRPr="00965BC5">
        <w:rPr>
          <w:rFonts w:asciiTheme="minorHAnsi" w:hAnsiTheme="minorHAnsi"/>
          <w:sz w:val="22"/>
        </w:rPr>
        <w:t>The DOE also assumes that furnaces are typically oversized and therefore consumers that would otherwise choose a furnace that has a capacity slightly above the threshold in a given split standard would downsize in order to purchase a cheaper furnace.</w:t>
      </w:r>
      <w:r w:rsidRPr="00965BC5">
        <w:rPr>
          <w:rFonts w:asciiTheme="minorHAnsi" w:hAnsiTheme="minorHAnsi"/>
          <w:sz w:val="22"/>
          <w:vertAlign w:val="superscript"/>
        </w:rPr>
        <w:footnoteReference w:id="7"/>
      </w:r>
      <w:r w:rsidRPr="00965BC5">
        <w:rPr>
          <w:rFonts w:asciiTheme="minorHAnsi" w:hAnsiTheme="minorHAnsi"/>
          <w:sz w:val="22"/>
        </w:rPr>
        <w:t xml:space="preserve"> DOE cites two sources to support their choice of a 35 percent oversizing factor. The possibility that existing oversizing factors may vary by retrofit versus new construction, region, capacity range, home vintage, </w:t>
      </w:r>
      <w:r w:rsidR="00E67502">
        <w:rPr>
          <w:rFonts w:asciiTheme="minorHAnsi" w:hAnsiTheme="minorHAnsi"/>
          <w:sz w:val="22"/>
        </w:rPr>
        <w:t xml:space="preserve">air conditioning requirements, </w:t>
      </w:r>
      <w:r w:rsidRPr="00965BC5">
        <w:rPr>
          <w:rFonts w:asciiTheme="minorHAnsi" w:hAnsiTheme="minorHAnsi"/>
          <w:sz w:val="22"/>
        </w:rPr>
        <w:t xml:space="preserve">and home size is not addressed. </w:t>
      </w:r>
    </w:p>
    <w:p w:rsidR="00E15221" w:rsidRPr="00965BC5" w:rsidRDefault="00E15221" w:rsidP="00965BC5">
      <w:pPr>
        <w:pStyle w:val="NoSpacing"/>
        <w:ind w:left="720"/>
        <w:rPr>
          <w:rFonts w:asciiTheme="minorHAnsi" w:hAnsiTheme="minorHAnsi"/>
          <w:sz w:val="22"/>
        </w:rPr>
      </w:pPr>
    </w:p>
    <w:p w:rsidR="00965BC5" w:rsidRPr="007A3B52" w:rsidRDefault="00DF29AE" w:rsidP="00965BC5">
      <w:pPr>
        <w:pStyle w:val="NoSpacing"/>
        <w:numPr>
          <w:ilvl w:val="0"/>
          <w:numId w:val="15"/>
        </w:numPr>
        <w:rPr>
          <w:rFonts w:asciiTheme="minorHAnsi" w:hAnsiTheme="minorHAnsi" w:cstheme="minorHAnsi"/>
          <w:sz w:val="22"/>
        </w:rPr>
      </w:pPr>
      <w:r w:rsidRPr="00965BC5">
        <w:rPr>
          <w:rFonts w:asciiTheme="minorHAnsi" w:hAnsiTheme="minorHAnsi"/>
          <w:sz w:val="22"/>
          <w:u w:val="single"/>
        </w:rPr>
        <w:t>LCC Savings Overstated</w:t>
      </w:r>
      <w:r w:rsidRPr="00965BC5">
        <w:rPr>
          <w:rFonts w:asciiTheme="minorHAnsi" w:hAnsiTheme="minorHAnsi"/>
          <w:sz w:val="22"/>
        </w:rPr>
        <w:t xml:space="preserve">:  DOE’s predictive LCC model results combine general assumptions and a limited consumer model that overstate LCC savings compared to a more </w:t>
      </w:r>
      <w:r w:rsidRPr="007A3B52">
        <w:rPr>
          <w:rFonts w:asciiTheme="minorHAnsi" w:hAnsiTheme="minorHAnsi"/>
          <w:sz w:val="22"/>
        </w:rPr>
        <w:t xml:space="preserve">robust Consumer Economic </w:t>
      </w:r>
      <w:r w:rsidRPr="007A3B52">
        <w:rPr>
          <w:rFonts w:asciiTheme="minorHAnsi" w:hAnsiTheme="minorHAnsi"/>
          <w:sz w:val="22"/>
        </w:rPr>
        <w:lastRenderedPageBreak/>
        <w:t>Decision-making (CED) framework methodology</w:t>
      </w:r>
      <w:r w:rsidR="004A56AE" w:rsidRPr="007A3B52">
        <w:rPr>
          <w:rFonts w:asciiTheme="minorHAnsi" w:hAnsiTheme="minorHAnsi"/>
          <w:sz w:val="22"/>
        </w:rPr>
        <w:t>,</w:t>
      </w:r>
      <w:r w:rsidRPr="007A3B52">
        <w:rPr>
          <w:rStyle w:val="FootnoteReference"/>
          <w:rFonts w:asciiTheme="minorHAnsi" w:hAnsiTheme="minorHAnsi"/>
          <w:sz w:val="22"/>
        </w:rPr>
        <w:footnoteReference w:id="8"/>
      </w:r>
      <w:r w:rsidR="008B4F94" w:rsidRPr="007A3B52">
        <w:rPr>
          <w:rFonts w:asciiTheme="minorHAnsi" w:hAnsiTheme="minorHAnsi"/>
          <w:sz w:val="22"/>
        </w:rPr>
        <w:t xml:space="preserve"> </w:t>
      </w:r>
      <w:r w:rsidR="008B4F94" w:rsidRPr="007A3B52">
        <w:rPr>
          <w:rFonts w:asciiTheme="minorHAnsi" w:hAnsiTheme="minorHAnsi" w:cstheme="minorHAnsi"/>
          <w:sz w:val="22"/>
        </w:rPr>
        <w:t>offered by GTI. In response, DOE discussed this comment in the SNOPR but did not change the consumer mo</w:t>
      </w:r>
      <w:r w:rsidR="008B4F94" w:rsidRPr="00965BC5">
        <w:rPr>
          <w:rFonts w:asciiTheme="minorHAnsi" w:hAnsiTheme="minorHAnsi" w:cstheme="minorHAnsi"/>
          <w:sz w:val="22"/>
        </w:rPr>
        <w:t xml:space="preserve">del. </w:t>
      </w:r>
      <w:r w:rsidR="008B4F94" w:rsidRPr="007A3B52">
        <w:rPr>
          <w:rFonts w:asciiTheme="minorHAnsi" w:hAnsiTheme="minorHAnsi" w:cstheme="minorHAnsi"/>
          <w:sz w:val="22"/>
        </w:rPr>
        <w:t xml:space="preserve">DOE did not further utilize the American Home Comfort Study as GTI and others recommended. They also did not address the significant deviation the GTI model shows from what DOE claims to be the LCC results. </w:t>
      </w:r>
    </w:p>
    <w:p w:rsidR="00965BC5" w:rsidRDefault="00965BC5" w:rsidP="00965BC5">
      <w:pPr>
        <w:pStyle w:val="NoSpacing"/>
        <w:ind w:left="720"/>
        <w:rPr>
          <w:rFonts w:asciiTheme="minorHAnsi" w:hAnsiTheme="minorHAnsi" w:cstheme="minorHAnsi"/>
          <w:sz w:val="22"/>
        </w:rPr>
      </w:pPr>
    </w:p>
    <w:p w:rsidR="00DF29AE" w:rsidRPr="00965BC5" w:rsidRDefault="008B4F94" w:rsidP="00FA2887">
      <w:pPr>
        <w:pStyle w:val="NoSpacing"/>
        <w:ind w:left="360"/>
        <w:rPr>
          <w:rFonts w:asciiTheme="minorHAnsi" w:hAnsiTheme="minorHAnsi" w:cstheme="minorHAnsi"/>
          <w:sz w:val="22"/>
        </w:rPr>
      </w:pPr>
      <w:r w:rsidRPr="00965BC5">
        <w:rPr>
          <w:rFonts w:asciiTheme="minorHAnsi" w:hAnsiTheme="minorHAnsi" w:cstheme="minorHAnsi"/>
          <w:sz w:val="22"/>
        </w:rPr>
        <w:t>We recommend that prolonging furnace replacement by way of deep maintenance repairs should be accounted for as a consumer choice in the fuel switching model. This may be the most economical option for some retrofit consumers who need equipment with capacity above the threshold but for which switching to electric equipment would be too expensive. If this option were added, it will increase the accuracy of the fuel switching model and reduce nationwide savings. Additionally, a consumer’s choice to prolong aged equipment may delay the commercialization of higher efficient equipment, invariably, adversely affecting the consumers with overstated LCC savings.</w:t>
      </w:r>
    </w:p>
    <w:p w:rsidR="00965BC5" w:rsidRPr="00965BC5" w:rsidRDefault="00965BC5" w:rsidP="00965BC5">
      <w:pPr>
        <w:pStyle w:val="NoSpacing"/>
        <w:rPr>
          <w:rFonts w:asciiTheme="minorHAnsi" w:hAnsiTheme="minorHAnsi"/>
          <w:sz w:val="22"/>
        </w:rPr>
      </w:pPr>
    </w:p>
    <w:p w:rsidR="004954D6" w:rsidRPr="00965BC5" w:rsidRDefault="007A3B52" w:rsidP="00965BC5">
      <w:pPr>
        <w:pStyle w:val="NoSpacing"/>
        <w:numPr>
          <w:ilvl w:val="0"/>
          <w:numId w:val="15"/>
        </w:numPr>
        <w:rPr>
          <w:rFonts w:asciiTheme="minorHAnsi" w:hAnsiTheme="minorHAnsi"/>
          <w:sz w:val="22"/>
        </w:rPr>
      </w:pPr>
      <w:r>
        <w:rPr>
          <w:rFonts w:asciiTheme="minorHAnsi" w:hAnsiTheme="minorHAnsi" w:cs="Arial"/>
          <w:color w:val="000000"/>
          <w:sz w:val="22"/>
          <w:u w:val="single"/>
        </w:rPr>
        <w:t xml:space="preserve">Aged </w:t>
      </w:r>
      <w:r w:rsidR="00FE4CAB" w:rsidRPr="00965BC5">
        <w:rPr>
          <w:rFonts w:asciiTheme="minorHAnsi" w:hAnsiTheme="minorHAnsi" w:cs="Arial"/>
          <w:color w:val="000000"/>
          <w:sz w:val="22"/>
          <w:u w:val="single"/>
        </w:rPr>
        <w:t>Price Forecasts</w:t>
      </w:r>
      <w:r w:rsidR="00FE4CAB" w:rsidRPr="00965BC5">
        <w:rPr>
          <w:rFonts w:asciiTheme="minorHAnsi" w:hAnsiTheme="minorHAnsi" w:cs="Arial"/>
          <w:color w:val="000000"/>
          <w:sz w:val="22"/>
        </w:rPr>
        <w:t xml:space="preserve">:  </w:t>
      </w:r>
      <w:r w:rsidR="00677B72" w:rsidRPr="00965BC5">
        <w:rPr>
          <w:rFonts w:asciiTheme="minorHAnsi" w:hAnsiTheme="minorHAnsi" w:cs="Arial"/>
          <w:color w:val="000000"/>
          <w:sz w:val="22"/>
        </w:rPr>
        <w:t>DOE</w:t>
      </w:r>
      <w:r w:rsidR="00F91ECF" w:rsidRPr="00965BC5">
        <w:rPr>
          <w:rFonts w:asciiTheme="minorHAnsi" w:hAnsiTheme="minorHAnsi" w:cs="Arial"/>
          <w:color w:val="000000"/>
          <w:sz w:val="22"/>
        </w:rPr>
        <w:t>’s</w:t>
      </w:r>
      <w:r w:rsidR="00677B72" w:rsidRPr="00965BC5">
        <w:rPr>
          <w:rFonts w:asciiTheme="minorHAnsi" w:hAnsiTheme="minorHAnsi" w:cs="Arial"/>
          <w:color w:val="000000"/>
          <w:sz w:val="22"/>
        </w:rPr>
        <w:t xml:space="preserve"> use</w:t>
      </w:r>
      <w:r w:rsidR="00F91ECF" w:rsidRPr="00965BC5">
        <w:rPr>
          <w:rFonts w:asciiTheme="minorHAnsi" w:hAnsiTheme="minorHAnsi" w:cs="Arial"/>
          <w:color w:val="000000"/>
          <w:sz w:val="22"/>
        </w:rPr>
        <w:t xml:space="preserve"> of</w:t>
      </w:r>
      <w:r w:rsidR="00677B72" w:rsidRPr="00965BC5">
        <w:rPr>
          <w:rFonts w:asciiTheme="minorHAnsi" w:hAnsiTheme="minorHAnsi" w:cs="Arial"/>
          <w:color w:val="000000"/>
          <w:sz w:val="22"/>
        </w:rPr>
        <w:t xml:space="preserve"> </w:t>
      </w:r>
      <w:r w:rsidR="00DF29AE" w:rsidRPr="00965BC5">
        <w:rPr>
          <w:rFonts w:asciiTheme="minorHAnsi" w:hAnsiTheme="minorHAnsi" w:cs="Arial"/>
          <w:color w:val="000000"/>
          <w:sz w:val="22"/>
        </w:rPr>
        <w:t>AEO 201</w:t>
      </w:r>
      <w:r w:rsidR="00E67502">
        <w:rPr>
          <w:rFonts w:asciiTheme="minorHAnsi" w:hAnsiTheme="minorHAnsi" w:cs="Arial"/>
          <w:color w:val="000000"/>
          <w:sz w:val="22"/>
        </w:rPr>
        <w:t>5</w:t>
      </w:r>
      <w:r w:rsidR="00DF29AE" w:rsidRPr="00965BC5">
        <w:rPr>
          <w:rFonts w:asciiTheme="minorHAnsi" w:hAnsiTheme="minorHAnsi" w:cs="Arial"/>
          <w:color w:val="000000"/>
          <w:sz w:val="22"/>
        </w:rPr>
        <w:t xml:space="preserve"> </w:t>
      </w:r>
      <w:r w:rsidR="00677B72" w:rsidRPr="00965BC5">
        <w:rPr>
          <w:rFonts w:asciiTheme="minorHAnsi" w:hAnsiTheme="minorHAnsi" w:cs="Arial"/>
          <w:color w:val="000000"/>
          <w:sz w:val="22"/>
        </w:rPr>
        <w:t>price forecasts for energy prices</w:t>
      </w:r>
      <w:r w:rsidR="00F91ECF" w:rsidRPr="00965BC5">
        <w:rPr>
          <w:rFonts w:asciiTheme="minorHAnsi" w:hAnsiTheme="minorHAnsi" w:cs="Arial"/>
          <w:color w:val="000000"/>
          <w:sz w:val="22"/>
        </w:rPr>
        <w:t xml:space="preserve"> </w:t>
      </w:r>
      <w:r w:rsidR="00DF29AE" w:rsidRPr="00965BC5">
        <w:rPr>
          <w:rFonts w:asciiTheme="minorHAnsi" w:hAnsiTheme="minorHAnsi" w:cs="Arial"/>
          <w:color w:val="000000"/>
          <w:sz w:val="22"/>
        </w:rPr>
        <w:t>is</w:t>
      </w:r>
      <w:r w:rsidR="00F91ECF" w:rsidRPr="00965BC5">
        <w:rPr>
          <w:rFonts w:asciiTheme="minorHAnsi" w:hAnsiTheme="minorHAnsi" w:cs="Arial"/>
          <w:color w:val="000000"/>
          <w:sz w:val="22"/>
        </w:rPr>
        <w:t xml:space="preserve"> outdated</w:t>
      </w:r>
      <w:r w:rsidR="00677B72" w:rsidRPr="00965BC5">
        <w:rPr>
          <w:rFonts w:asciiTheme="minorHAnsi" w:hAnsiTheme="minorHAnsi" w:cs="Arial"/>
          <w:color w:val="000000"/>
          <w:sz w:val="22"/>
        </w:rPr>
        <w:t>.</w:t>
      </w:r>
      <w:r w:rsidR="00DF29AE" w:rsidRPr="00965BC5">
        <w:rPr>
          <w:rFonts w:asciiTheme="minorHAnsi" w:hAnsiTheme="minorHAnsi" w:cs="Arial"/>
          <w:color w:val="000000"/>
          <w:sz w:val="22"/>
        </w:rPr>
        <w:t xml:space="preserve"> </w:t>
      </w:r>
      <w:r w:rsidR="00DF29AE" w:rsidRPr="00965BC5">
        <w:rPr>
          <w:rFonts w:asciiTheme="minorHAnsi" w:hAnsiTheme="minorHAnsi"/>
          <w:sz w:val="22"/>
        </w:rPr>
        <w:t>We recommend that DOE implement AEO 2016 price forecasts into a revised LCC spreadsheet and SNOPR immediately rather than when the final rule is determined. This would give stakeholders a chance to review and understand the true impacts the price forecast changes would have on the LCC outputs.</w:t>
      </w:r>
    </w:p>
    <w:p w:rsidR="0098221D" w:rsidRDefault="0098221D" w:rsidP="00237B02">
      <w:pPr>
        <w:pStyle w:val="NoSpacing"/>
        <w:rPr>
          <w:rFonts w:asciiTheme="minorHAnsi" w:hAnsiTheme="minorHAnsi"/>
          <w:sz w:val="22"/>
        </w:rPr>
      </w:pPr>
    </w:p>
    <w:p w:rsidR="0098221D" w:rsidRPr="00965BC5" w:rsidRDefault="0098221D" w:rsidP="00237B02">
      <w:pPr>
        <w:pStyle w:val="NoSpacing"/>
        <w:rPr>
          <w:rFonts w:asciiTheme="minorHAnsi" w:hAnsiTheme="minorHAnsi"/>
          <w:sz w:val="22"/>
        </w:rPr>
      </w:pPr>
      <w:r w:rsidRPr="00965BC5">
        <w:rPr>
          <w:rFonts w:asciiTheme="minorHAnsi" w:hAnsiTheme="minorHAnsi"/>
          <w:sz w:val="22"/>
        </w:rPr>
        <w:t>Attached for your further review and consideration is (1) the GTI technical analysis originally provided at the time of our NOPR comment submission, and (2) an updated Nega</w:t>
      </w:r>
      <w:r w:rsidR="00710174">
        <w:rPr>
          <w:rFonts w:asciiTheme="minorHAnsi" w:hAnsiTheme="minorHAnsi"/>
          <w:sz w:val="22"/>
        </w:rPr>
        <w:t>W</w:t>
      </w:r>
      <w:r w:rsidRPr="00965BC5">
        <w:rPr>
          <w:rFonts w:asciiTheme="minorHAnsi" w:hAnsiTheme="minorHAnsi"/>
          <w:sz w:val="22"/>
        </w:rPr>
        <w:t xml:space="preserve">att technical analysis of </w:t>
      </w:r>
      <w:r w:rsidR="00237B02">
        <w:rPr>
          <w:rFonts w:asciiTheme="minorHAnsi" w:hAnsiTheme="minorHAnsi"/>
          <w:sz w:val="22"/>
        </w:rPr>
        <w:t xml:space="preserve">supplemental </w:t>
      </w:r>
      <w:r w:rsidRPr="00965BC5">
        <w:rPr>
          <w:rFonts w:asciiTheme="minorHAnsi" w:hAnsiTheme="minorHAnsi"/>
          <w:sz w:val="22"/>
        </w:rPr>
        <w:t xml:space="preserve">TSD. </w:t>
      </w:r>
    </w:p>
    <w:p w:rsidR="00116C8A" w:rsidRDefault="00116C8A" w:rsidP="0023463A">
      <w:pPr>
        <w:rPr>
          <w:rFonts w:asciiTheme="minorHAnsi" w:hAnsiTheme="minorHAnsi"/>
          <w:b/>
          <w:szCs w:val="24"/>
        </w:rPr>
      </w:pPr>
    </w:p>
    <w:p w:rsidR="0023463A" w:rsidRPr="004C2F26" w:rsidRDefault="004C2F26" w:rsidP="0023463A">
      <w:pPr>
        <w:rPr>
          <w:rFonts w:asciiTheme="minorHAnsi" w:hAnsiTheme="minorHAnsi"/>
          <w:b/>
          <w:szCs w:val="24"/>
        </w:rPr>
      </w:pPr>
      <w:r w:rsidRPr="004C2F26">
        <w:rPr>
          <w:rFonts w:asciiTheme="minorHAnsi" w:hAnsiTheme="minorHAnsi"/>
          <w:b/>
          <w:szCs w:val="24"/>
        </w:rPr>
        <w:t>C</w:t>
      </w:r>
      <w:r w:rsidR="00965BC5">
        <w:rPr>
          <w:rFonts w:asciiTheme="minorHAnsi" w:hAnsiTheme="minorHAnsi"/>
          <w:b/>
          <w:szCs w:val="24"/>
        </w:rPr>
        <w:t>ONCLUSION</w:t>
      </w:r>
    </w:p>
    <w:p w:rsidR="004C2F26" w:rsidRPr="00965BC5" w:rsidRDefault="00FB79ED" w:rsidP="00965BC5">
      <w:pPr>
        <w:pStyle w:val="NoSpacing"/>
        <w:rPr>
          <w:rFonts w:asciiTheme="minorHAnsi" w:eastAsia="Times New Roman" w:hAnsiTheme="minorHAnsi" w:cs="Times New Roman"/>
          <w:sz w:val="22"/>
        </w:rPr>
      </w:pPr>
      <w:r w:rsidRPr="00965BC5">
        <w:rPr>
          <w:rFonts w:asciiTheme="minorHAnsi" w:hAnsiTheme="minorHAnsi"/>
          <w:sz w:val="22"/>
        </w:rPr>
        <w:t xml:space="preserve">SoCalGas has </w:t>
      </w:r>
      <w:r w:rsidR="00141C3C">
        <w:rPr>
          <w:rFonts w:asciiTheme="minorHAnsi" w:hAnsiTheme="minorHAnsi"/>
          <w:sz w:val="22"/>
        </w:rPr>
        <w:t xml:space="preserve">dedicated decades to </w:t>
      </w:r>
      <w:r w:rsidRPr="00965BC5">
        <w:rPr>
          <w:rFonts w:asciiTheme="minorHAnsi" w:hAnsiTheme="minorHAnsi"/>
          <w:sz w:val="22"/>
        </w:rPr>
        <w:t xml:space="preserve">advancing efficiencies in energy use </w:t>
      </w:r>
      <w:r w:rsidR="003114DB" w:rsidRPr="00965BC5">
        <w:rPr>
          <w:rFonts w:asciiTheme="minorHAnsi" w:hAnsiTheme="minorHAnsi"/>
          <w:sz w:val="22"/>
        </w:rPr>
        <w:t>and o</w:t>
      </w:r>
      <w:r w:rsidRPr="00965BC5">
        <w:rPr>
          <w:rFonts w:asciiTheme="minorHAnsi" w:hAnsiTheme="minorHAnsi"/>
          <w:sz w:val="22"/>
        </w:rPr>
        <w:t>ur results in that area are substant</w:t>
      </w:r>
      <w:r w:rsidR="00141C3C">
        <w:rPr>
          <w:rFonts w:asciiTheme="minorHAnsi" w:hAnsiTheme="minorHAnsi"/>
          <w:sz w:val="22"/>
        </w:rPr>
        <w:t xml:space="preserve">ial. </w:t>
      </w:r>
      <w:r w:rsidR="00EC0E51" w:rsidRPr="00965BC5">
        <w:rPr>
          <w:rFonts w:asciiTheme="minorHAnsi" w:hAnsiTheme="minorHAnsi"/>
          <w:sz w:val="22"/>
        </w:rPr>
        <w:t xml:space="preserve"> </w:t>
      </w:r>
      <w:r w:rsidR="00141C3C">
        <w:rPr>
          <w:rFonts w:asciiTheme="minorHAnsi" w:hAnsiTheme="minorHAnsi"/>
          <w:sz w:val="22"/>
        </w:rPr>
        <w:t xml:space="preserve">We </w:t>
      </w:r>
      <w:r w:rsidR="00EC0E51" w:rsidRPr="00965BC5">
        <w:rPr>
          <w:rFonts w:asciiTheme="minorHAnsi" w:hAnsiTheme="minorHAnsi"/>
          <w:sz w:val="22"/>
        </w:rPr>
        <w:t xml:space="preserve">will continue to work to </w:t>
      </w:r>
      <w:r w:rsidR="008B4F94" w:rsidRPr="00965BC5">
        <w:rPr>
          <w:rFonts w:asciiTheme="minorHAnsi" w:hAnsiTheme="minorHAnsi"/>
          <w:sz w:val="22"/>
        </w:rPr>
        <w:t>drive higher</w:t>
      </w:r>
      <w:r w:rsidR="00EC0E51" w:rsidRPr="00965BC5">
        <w:rPr>
          <w:rFonts w:asciiTheme="minorHAnsi" w:hAnsiTheme="minorHAnsi"/>
          <w:sz w:val="22"/>
        </w:rPr>
        <w:t xml:space="preserve"> efficienc</w:t>
      </w:r>
      <w:r w:rsidR="008B4F94" w:rsidRPr="00965BC5">
        <w:rPr>
          <w:rFonts w:asciiTheme="minorHAnsi" w:hAnsiTheme="minorHAnsi"/>
          <w:sz w:val="22"/>
        </w:rPr>
        <w:t>y standards</w:t>
      </w:r>
      <w:r w:rsidR="0098221D">
        <w:rPr>
          <w:rFonts w:asciiTheme="minorHAnsi" w:hAnsiTheme="minorHAnsi"/>
          <w:sz w:val="22"/>
        </w:rPr>
        <w:t xml:space="preserve"> wherever it is proven to be cost effective for our customers</w:t>
      </w:r>
      <w:r w:rsidR="003114DB" w:rsidRPr="00965BC5">
        <w:rPr>
          <w:rFonts w:asciiTheme="minorHAnsi" w:hAnsiTheme="minorHAnsi"/>
          <w:sz w:val="22"/>
        </w:rPr>
        <w:t xml:space="preserve">.  Our efforts have </w:t>
      </w:r>
      <w:r w:rsidR="003114DB" w:rsidRPr="00965BC5">
        <w:rPr>
          <w:rFonts w:asciiTheme="minorHAnsi" w:eastAsia="Times New Roman" w:hAnsiTheme="minorHAnsi" w:cs="Times New Roman"/>
          <w:sz w:val="22"/>
        </w:rPr>
        <w:t>realized savings equivalent to almost 152 million therms over the past five years and over 560 million therms since 1990.  Currently, we run 82 energy-efficiency programs, have an annual savings goal of over 25 million 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003114DB" w:rsidRPr="00965BC5">
        <w:rPr>
          <w:rFonts w:asciiTheme="minorHAnsi" w:eastAsia="Times New Roman" w:hAnsiTheme="minorHAnsi" w:cs="Times New Roman"/>
          <w:sz w:val="22"/>
          <w:vertAlign w:val="subscript"/>
        </w:rPr>
        <w:t>2</w:t>
      </w:r>
      <w:r w:rsidR="003114DB" w:rsidRPr="00965BC5">
        <w:rPr>
          <w:rFonts w:asciiTheme="minorHAnsi" w:eastAsia="Times New Roman" w:hAnsiTheme="minorHAnsi" w:cs="Times New Roman"/>
          <w:sz w:val="22"/>
        </w:rPr>
        <w:t xml:space="preserve"> emissions.  Our </w:t>
      </w:r>
      <w:r w:rsidR="0098221D">
        <w:rPr>
          <w:rFonts w:asciiTheme="minorHAnsi" w:eastAsia="Times New Roman" w:hAnsiTheme="minorHAnsi" w:cs="Times New Roman"/>
          <w:sz w:val="22"/>
        </w:rPr>
        <w:t xml:space="preserve">energy efficiency </w:t>
      </w:r>
      <w:r w:rsidR="003114DB" w:rsidRPr="00965BC5">
        <w:rPr>
          <w:rFonts w:asciiTheme="minorHAnsi" w:eastAsia="Times New Roman" w:hAnsiTheme="minorHAnsi" w:cs="Times New Roman"/>
          <w:sz w:val="22"/>
        </w:rPr>
        <w:t xml:space="preserve">programs </w:t>
      </w:r>
      <w:r w:rsidR="0098221D">
        <w:rPr>
          <w:rFonts w:asciiTheme="minorHAnsi" w:eastAsia="Times New Roman" w:hAnsiTheme="minorHAnsi" w:cs="Times New Roman"/>
          <w:sz w:val="22"/>
        </w:rPr>
        <w:t xml:space="preserve">alone </w:t>
      </w:r>
      <w:r w:rsidR="003114DB" w:rsidRPr="00965BC5">
        <w:rPr>
          <w:rFonts w:asciiTheme="minorHAnsi" w:eastAsia="Times New Roman" w:hAnsiTheme="minorHAnsi" w:cs="Times New Roman"/>
          <w:sz w:val="22"/>
        </w:rPr>
        <w:t xml:space="preserve">have also helped to create </w:t>
      </w:r>
      <w:r w:rsidR="0098221D">
        <w:rPr>
          <w:rFonts w:asciiTheme="minorHAnsi" w:eastAsia="Times New Roman" w:hAnsiTheme="minorHAnsi" w:cs="Times New Roman"/>
          <w:sz w:val="22"/>
        </w:rPr>
        <w:t xml:space="preserve">over </w:t>
      </w:r>
      <w:r w:rsidR="003114DB" w:rsidRPr="00965BC5">
        <w:rPr>
          <w:rFonts w:asciiTheme="minorHAnsi" w:eastAsia="Times New Roman" w:hAnsiTheme="minorHAnsi" w:cs="Times New Roman"/>
          <w:sz w:val="22"/>
        </w:rPr>
        <w:t xml:space="preserve">8,000 jobs in California.  </w:t>
      </w:r>
    </w:p>
    <w:p w:rsidR="004C2F26" w:rsidRPr="00965BC5" w:rsidRDefault="004C2F26" w:rsidP="00965BC5">
      <w:pPr>
        <w:pStyle w:val="NoSpacing"/>
        <w:rPr>
          <w:rFonts w:asciiTheme="minorHAnsi" w:eastAsia="Times New Roman" w:hAnsiTheme="minorHAnsi" w:cs="Times New Roman"/>
          <w:sz w:val="22"/>
        </w:rPr>
      </w:pPr>
    </w:p>
    <w:p w:rsidR="000003B4" w:rsidRPr="00965BC5" w:rsidRDefault="004A56AE" w:rsidP="00AC5F8F">
      <w:pPr>
        <w:spacing w:line="240" w:lineRule="auto"/>
        <w:rPr>
          <w:rFonts w:asciiTheme="minorHAnsi" w:hAnsiTheme="minorHAnsi"/>
          <w:sz w:val="22"/>
        </w:rPr>
      </w:pPr>
      <w:r>
        <w:rPr>
          <w:rFonts w:asciiTheme="minorHAnsi" w:hAnsiTheme="minorHAnsi" w:cstheme="minorHAnsi"/>
          <w:sz w:val="22"/>
        </w:rPr>
        <w:t>W</w:t>
      </w:r>
      <w:r w:rsidR="0098221D" w:rsidRPr="00627920">
        <w:rPr>
          <w:rFonts w:asciiTheme="minorHAnsi" w:hAnsiTheme="minorHAnsi" w:cstheme="minorHAnsi"/>
          <w:sz w:val="22"/>
        </w:rPr>
        <w:t xml:space="preserve">e would like to reiterate our </w:t>
      </w:r>
      <w:r w:rsidR="0098221D">
        <w:rPr>
          <w:rFonts w:asciiTheme="minorHAnsi" w:hAnsiTheme="minorHAnsi" w:cstheme="minorHAnsi"/>
          <w:sz w:val="22"/>
        </w:rPr>
        <w:t xml:space="preserve">support </w:t>
      </w:r>
      <w:r>
        <w:rPr>
          <w:rFonts w:asciiTheme="minorHAnsi" w:hAnsiTheme="minorHAnsi" w:cstheme="minorHAnsi"/>
          <w:sz w:val="22"/>
        </w:rPr>
        <w:t>for the</w:t>
      </w:r>
      <w:r w:rsidR="0098221D">
        <w:rPr>
          <w:rFonts w:asciiTheme="minorHAnsi" w:hAnsiTheme="minorHAnsi" w:cstheme="minorHAnsi"/>
          <w:sz w:val="22"/>
        </w:rPr>
        <w:t xml:space="preserve"> DOE for</w:t>
      </w:r>
      <w:r w:rsidR="00697623">
        <w:rPr>
          <w:rFonts w:asciiTheme="minorHAnsi" w:hAnsiTheme="minorHAnsi" w:cstheme="minorHAnsi"/>
          <w:sz w:val="22"/>
        </w:rPr>
        <w:t xml:space="preserve"> their</w:t>
      </w:r>
      <w:r w:rsidR="0098221D">
        <w:rPr>
          <w:rFonts w:asciiTheme="minorHAnsi" w:hAnsiTheme="minorHAnsi" w:cstheme="minorHAnsi"/>
          <w:sz w:val="22"/>
        </w:rPr>
        <w:t xml:space="preserve"> tremendous effort in trying to update the energy conservation </w:t>
      </w:r>
      <w:r w:rsidR="0098221D" w:rsidRPr="00627920">
        <w:rPr>
          <w:rFonts w:asciiTheme="minorHAnsi" w:hAnsiTheme="minorHAnsi" w:cstheme="minorHAnsi"/>
          <w:sz w:val="22"/>
        </w:rPr>
        <w:t xml:space="preserve">standards for </w:t>
      </w:r>
      <w:r w:rsidR="0098221D">
        <w:rPr>
          <w:rFonts w:asciiTheme="minorHAnsi" w:hAnsiTheme="minorHAnsi" w:cstheme="minorHAnsi"/>
          <w:sz w:val="22"/>
        </w:rPr>
        <w:t>residential furnaces</w:t>
      </w:r>
      <w:r w:rsidR="0098221D" w:rsidRPr="00627920">
        <w:rPr>
          <w:rFonts w:asciiTheme="minorHAnsi" w:hAnsiTheme="minorHAnsi" w:cstheme="minorHAnsi"/>
          <w:sz w:val="22"/>
        </w:rPr>
        <w:t xml:space="preserve">. We thank </w:t>
      </w:r>
      <w:r w:rsidR="00697623">
        <w:rPr>
          <w:rFonts w:asciiTheme="minorHAnsi" w:hAnsiTheme="minorHAnsi" w:cstheme="minorHAnsi"/>
          <w:sz w:val="22"/>
        </w:rPr>
        <w:t xml:space="preserve">the </w:t>
      </w:r>
      <w:r w:rsidR="0098221D" w:rsidRPr="00627920">
        <w:rPr>
          <w:rFonts w:asciiTheme="minorHAnsi" w:hAnsiTheme="minorHAnsi" w:cstheme="minorHAnsi"/>
          <w:sz w:val="22"/>
        </w:rPr>
        <w:t xml:space="preserve">DOE for the opportunity to be involved in this process and encourage </w:t>
      </w:r>
      <w:r w:rsidR="00697623">
        <w:rPr>
          <w:rFonts w:asciiTheme="minorHAnsi" w:hAnsiTheme="minorHAnsi" w:cstheme="minorHAnsi"/>
          <w:sz w:val="22"/>
        </w:rPr>
        <w:t xml:space="preserve">the </w:t>
      </w:r>
      <w:r w:rsidR="0098221D" w:rsidRPr="00627920">
        <w:rPr>
          <w:rFonts w:asciiTheme="minorHAnsi" w:hAnsiTheme="minorHAnsi" w:cstheme="minorHAnsi"/>
          <w:sz w:val="22"/>
        </w:rPr>
        <w:t>DOE to carefully consider the recommendations outlined in this letter</w:t>
      </w:r>
      <w:r w:rsidR="0098221D">
        <w:rPr>
          <w:rFonts w:asciiTheme="minorHAnsi" w:hAnsiTheme="minorHAnsi" w:cstheme="minorHAnsi"/>
          <w:sz w:val="22"/>
        </w:rPr>
        <w:t xml:space="preserve"> prior to the issuance of a final decision</w:t>
      </w:r>
      <w:r>
        <w:rPr>
          <w:rFonts w:asciiTheme="minorHAnsi" w:hAnsiTheme="minorHAnsi" w:cstheme="minorHAnsi"/>
          <w:sz w:val="22"/>
        </w:rPr>
        <w:t>.</w:t>
      </w:r>
    </w:p>
    <w:p w:rsidR="009F254C" w:rsidRDefault="009F254C" w:rsidP="00965BC5">
      <w:pPr>
        <w:pStyle w:val="NoSpacing"/>
        <w:rPr>
          <w:rFonts w:asciiTheme="minorHAnsi" w:hAnsiTheme="minorHAnsi"/>
          <w:sz w:val="22"/>
        </w:rPr>
      </w:pPr>
    </w:p>
    <w:p w:rsidR="009F254C" w:rsidRPr="00965BC5" w:rsidRDefault="009F254C" w:rsidP="00965BC5">
      <w:pPr>
        <w:pStyle w:val="NoSpacing"/>
        <w:rPr>
          <w:rFonts w:asciiTheme="minorHAnsi" w:hAnsiTheme="minorHAnsi"/>
          <w:sz w:val="22"/>
        </w:rPr>
      </w:pPr>
    </w:p>
    <w:p w:rsidR="004C2F26" w:rsidRPr="00965BC5" w:rsidRDefault="004C2F26" w:rsidP="00965BC5">
      <w:pPr>
        <w:pStyle w:val="NoSpacing"/>
        <w:rPr>
          <w:rFonts w:asciiTheme="minorHAnsi" w:hAnsiTheme="minorHAnsi"/>
          <w:sz w:val="22"/>
        </w:rPr>
      </w:pPr>
      <w:r w:rsidRPr="00965BC5">
        <w:rPr>
          <w:rFonts w:asciiTheme="minorHAnsi" w:hAnsiTheme="minorHAnsi"/>
          <w:sz w:val="22"/>
        </w:rPr>
        <w:t>Sincerely,</w:t>
      </w:r>
    </w:p>
    <w:p w:rsidR="004C2F26" w:rsidRDefault="00E64882" w:rsidP="00965BC5">
      <w:pPr>
        <w:pStyle w:val="NoSpacing"/>
        <w:rPr>
          <w:rFonts w:asciiTheme="minorHAnsi" w:hAnsiTheme="minorHAnsi"/>
          <w:sz w:val="22"/>
        </w:rPr>
      </w:pPr>
      <w:r>
        <w:rPr>
          <w:noProof/>
        </w:rPr>
        <w:drawing>
          <wp:anchor distT="0" distB="0" distL="114300" distR="114300" simplePos="0" relativeHeight="251660288" behindDoc="1" locked="0" layoutInCell="1" allowOverlap="1">
            <wp:simplePos x="0" y="0"/>
            <wp:positionH relativeFrom="column">
              <wp:posOffset>-214685</wp:posOffset>
            </wp:positionH>
            <wp:positionV relativeFrom="paragraph">
              <wp:posOffset>61705</wp:posOffset>
            </wp:positionV>
            <wp:extent cx="2485714" cy="70476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85714" cy="704762"/>
                    </a:xfrm>
                    <a:prstGeom prst="rect">
                      <a:avLst/>
                    </a:prstGeom>
                  </pic:spPr>
                </pic:pic>
              </a:graphicData>
            </a:graphic>
            <wp14:sizeRelH relativeFrom="page">
              <wp14:pctWidth>0</wp14:pctWidth>
            </wp14:sizeRelH>
            <wp14:sizeRelV relativeFrom="page">
              <wp14:pctHeight>0</wp14:pctHeight>
            </wp14:sizeRelV>
          </wp:anchor>
        </w:drawing>
      </w:r>
    </w:p>
    <w:p w:rsidR="00AC5F8F" w:rsidRDefault="00AC5F8F" w:rsidP="00965BC5">
      <w:pPr>
        <w:pStyle w:val="NoSpacing"/>
        <w:rPr>
          <w:rFonts w:asciiTheme="minorHAnsi" w:hAnsiTheme="minorHAnsi"/>
          <w:sz w:val="22"/>
        </w:rPr>
      </w:pPr>
    </w:p>
    <w:p w:rsidR="00AC5F8F" w:rsidRDefault="00AC5F8F" w:rsidP="00965BC5">
      <w:pPr>
        <w:pStyle w:val="NoSpacing"/>
        <w:rPr>
          <w:rFonts w:asciiTheme="minorHAnsi" w:hAnsiTheme="minorHAnsi"/>
          <w:sz w:val="22"/>
        </w:rPr>
      </w:pPr>
    </w:p>
    <w:p w:rsidR="0098221D" w:rsidRPr="00965BC5" w:rsidRDefault="0098221D" w:rsidP="00965BC5">
      <w:pPr>
        <w:pStyle w:val="NoSpacing"/>
        <w:rPr>
          <w:rFonts w:asciiTheme="minorHAnsi" w:hAnsiTheme="minorHAnsi"/>
          <w:sz w:val="22"/>
        </w:rPr>
      </w:pPr>
    </w:p>
    <w:p w:rsidR="004C2F26" w:rsidRPr="00965BC5" w:rsidRDefault="004C2F26" w:rsidP="00965BC5">
      <w:pPr>
        <w:pStyle w:val="NoSpacing"/>
        <w:rPr>
          <w:rFonts w:asciiTheme="minorHAnsi" w:hAnsiTheme="minorHAnsi"/>
          <w:sz w:val="22"/>
        </w:rPr>
      </w:pPr>
      <w:r w:rsidRPr="00965BC5">
        <w:rPr>
          <w:rFonts w:asciiTheme="minorHAnsi" w:hAnsiTheme="minorHAnsi"/>
          <w:sz w:val="22"/>
        </w:rPr>
        <w:t>Lisa Alexander</w:t>
      </w:r>
    </w:p>
    <w:p w:rsidR="00771DD9" w:rsidRPr="00965BC5" w:rsidRDefault="004C2F26" w:rsidP="00965BC5">
      <w:pPr>
        <w:pStyle w:val="NoSpacing"/>
        <w:rPr>
          <w:rFonts w:asciiTheme="minorHAnsi" w:hAnsiTheme="minorHAnsi"/>
          <w:sz w:val="22"/>
        </w:rPr>
      </w:pPr>
      <w:r w:rsidRPr="00965BC5">
        <w:rPr>
          <w:rFonts w:asciiTheme="minorHAnsi" w:hAnsiTheme="minorHAnsi"/>
          <w:sz w:val="22"/>
        </w:rPr>
        <w:t>Vice President, Customer Solutions</w:t>
      </w:r>
    </w:p>
    <w:sectPr w:rsidR="00771DD9" w:rsidRPr="00965BC5" w:rsidSect="007F35A3">
      <w:footerReference w:type="default" r:id="rId10"/>
      <w:pgSz w:w="12240" w:h="15840"/>
      <w:pgMar w:top="720" w:right="1350" w:bottom="990" w:left="1440" w:header="72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FD" w:rsidRDefault="00A40FFD" w:rsidP="00C347A5">
      <w:pPr>
        <w:spacing w:after="0" w:line="240" w:lineRule="auto"/>
      </w:pPr>
      <w:r>
        <w:separator/>
      </w:r>
    </w:p>
  </w:endnote>
  <w:endnote w:type="continuationSeparator" w:id="0">
    <w:p w:rsidR="00A40FFD" w:rsidRDefault="00A40FFD" w:rsidP="00C3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1118"/>
      <w:docPartObj>
        <w:docPartGallery w:val="Page Numbers (Bottom of Page)"/>
        <w:docPartUnique/>
      </w:docPartObj>
    </w:sdtPr>
    <w:sdtEndPr>
      <w:rPr>
        <w:noProof/>
      </w:rPr>
    </w:sdtEndPr>
    <w:sdtContent>
      <w:p w:rsidR="00FC20FD" w:rsidRDefault="00FC20FD">
        <w:pPr>
          <w:pStyle w:val="Footer"/>
        </w:pPr>
        <w:r>
          <w:fldChar w:fldCharType="begin"/>
        </w:r>
        <w:r>
          <w:instrText xml:space="preserve"> PAGE   \* MERGEFORMAT </w:instrText>
        </w:r>
        <w:r>
          <w:fldChar w:fldCharType="separate"/>
        </w:r>
        <w:r w:rsidR="006619E5">
          <w:rPr>
            <w:noProof/>
          </w:rPr>
          <w:t>4</w:t>
        </w:r>
        <w:r>
          <w:rPr>
            <w:noProof/>
          </w:rPr>
          <w:fldChar w:fldCharType="end"/>
        </w:r>
      </w:p>
    </w:sdtContent>
  </w:sdt>
  <w:p w:rsidR="00FC20FD" w:rsidRDefault="00FC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FD" w:rsidRDefault="00A40FFD" w:rsidP="00C347A5">
      <w:pPr>
        <w:spacing w:after="0" w:line="240" w:lineRule="auto"/>
      </w:pPr>
      <w:r>
        <w:separator/>
      </w:r>
    </w:p>
  </w:footnote>
  <w:footnote w:type="continuationSeparator" w:id="0">
    <w:p w:rsidR="00A40FFD" w:rsidRDefault="00A40FFD" w:rsidP="00C347A5">
      <w:pPr>
        <w:spacing w:after="0" w:line="240" w:lineRule="auto"/>
      </w:pPr>
      <w:r>
        <w:continuationSeparator/>
      </w:r>
    </w:p>
  </w:footnote>
  <w:footnote w:id="1">
    <w:p w:rsidR="006F104C" w:rsidRDefault="006F104C">
      <w:pPr>
        <w:pStyle w:val="FootnoteText"/>
      </w:pPr>
      <w:r>
        <w:rPr>
          <w:rStyle w:val="FootnoteReference"/>
        </w:rPr>
        <w:footnoteRef/>
      </w:r>
      <w:r>
        <w:t xml:space="preserve"> </w:t>
      </w:r>
      <w:r w:rsidRPr="00FA2887">
        <w:rPr>
          <w:rFonts w:asciiTheme="minorHAnsi" w:hAnsiTheme="minorHAnsi" w:cstheme="minorHAnsi"/>
        </w:rPr>
        <w:t>Nega</w:t>
      </w:r>
      <w:r>
        <w:rPr>
          <w:rFonts w:asciiTheme="minorHAnsi" w:hAnsiTheme="minorHAnsi" w:cstheme="minorHAnsi"/>
        </w:rPr>
        <w:t>W</w:t>
      </w:r>
      <w:r w:rsidRPr="00FA2887">
        <w:rPr>
          <w:rFonts w:asciiTheme="minorHAnsi" w:hAnsiTheme="minorHAnsi" w:cstheme="minorHAnsi"/>
        </w:rPr>
        <w:t xml:space="preserve">att, </w:t>
      </w:r>
      <w:r w:rsidR="00B652A0">
        <w:rPr>
          <w:rFonts w:asciiTheme="minorHAnsi" w:hAnsiTheme="minorHAnsi" w:cstheme="minorHAnsi"/>
        </w:rPr>
        <w:t>“</w:t>
      </w:r>
      <w:r>
        <w:rPr>
          <w:rFonts w:asciiTheme="minorHAnsi" w:hAnsiTheme="minorHAnsi" w:cstheme="minorHAnsi"/>
        </w:rPr>
        <w:t xml:space="preserve">Evaluation of DOE Supplemental Proposed Rulemaking on Residential Furnace </w:t>
      </w:r>
      <w:r w:rsidR="00583E78">
        <w:rPr>
          <w:rFonts w:asciiTheme="minorHAnsi" w:hAnsiTheme="minorHAnsi" w:cstheme="minorHAnsi"/>
        </w:rPr>
        <w:t>S</w:t>
      </w:r>
      <w:r>
        <w:rPr>
          <w:rFonts w:asciiTheme="minorHAnsi" w:hAnsiTheme="minorHAnsi" w:cstheme="minorHAnsi"/>
        </w:rPr>
        <w:t>tandards Life Cycle Cost Analysis: Inputs and Results with Emphasis on Southern California,</w:t>
      </w:r>
      <w:r w:rsidR="00B652A0">
        <w:rPr>
          <w:rFonts w:asciiTheme="minorHAnsi" w:hAnsiTheme="minorHAnsi" w:cstheme="minorHAnsi"/>
        </w:rPr>
        <w:t>”</w:t>
      </w:r>
      <w:r>
        <w:rPr>
          <w:rFonts w:asciiTheme="minorHAnsi" w:hAnsiTheme="minorHAnsi" w:cstheme="minorHAnsi"/>
        </w:rPr>
        <w:t xml:space="preserve"> pages 9-10, December 20, 2016.</w:t>
      </w:r>
    </w:p>
  </w:footnote>
  <w:footnote w:id="2">
    <w:p w:rsidR="00DC6AB4" w:rsidRPr="00DC6AB4" w:rsidRDefault="00DC6AB4" w:rsidP="00DC6AB4">
      <w:pPr>
        <w:pStyle w:val="FootnoteText"/>
        <w:rPr>
          <w:rFonts w:asciiTheme="minorHAnsi" w:hAnsiTheme="minorHAnsi" w:cstheme="minorHAnsi"/>
        </w:rPr>
      </w:pPr>
      <w:r w:rsidRPr="00DC6AB4">
        <w:rPr>
          <w:rStyle w:val="FootnoteReference"/>
          <w:rFonts w:asciiTheme="minorHAnsi" w:hAnsiTheme="minorHAnsi" w:cstheme="minorHAnsi"/>
        </w:rPr>
        <w:footnoteRef/>
      </w:r>
      <w:r w:rsidRPr="00DC6AB4">
        <w:rPr>
          <w:rFonts w:asciiTheme="minorHAnsi" w:hAnsiTheme="minorHAnsi" w:cstheme="minorHAnsi"/>
        </w:rPr>
        <w:t xml:space="preserve"> Table 11.3.10 and Table 8.6.10 of the TSD, </w:t>
      </w:r>
      <w:hyperlink r:id="rId1" w:history="1">
        <w:r w:rsidRPr="00DC6AB4">
          <w:rPr>
            <w:rStyle w:val="Hyperlink"/>
            <w:rFonts w:asciiTheme="minorHAnsi" w:hAnsiTheme="minorHAnsi" w:cstheme="minorHAnsi"/>
          </w:rPr>
          <w:t>https://www.regulations.gov/document?D=EERE-2014-BT-STD-0031-0217</w:t>
        </w:r>
      </w:hyperlink>
      <w:r w:rsidRPr="00DC6AB4">
        <w:rPr>
          <w:rFonts w:asciiTheme="minorHAnsi" w:hAnsiTheme="minorHAnsi" w:cstheme="minorHAnsi"/>
        </w:rPr>
        <w:t xml:space="preserve"> </w:t>
      </w:r>
    </w:p>
  </w:footnote>
  <w:footnote w:id="3">
    <w:p w:rsidR="00DC6AB4" w:rsidRPr="00DC6AB4" w:rsidRDefault="00DC6AB4" w:rsidP="00DC6AB4">
      <w:pPr>
        <w:pStyle w:val="FootnoteText"/>
      </w:pPr>
      <w:r w:rsidRPr="00DC6AB4">
        <w:rPr>
          <w:rStyle w:val="FootnoteReference"/>
          <w:rFonts w:asciiTheme="minorHAnsi" w:hAnsiTheme="minorHAnsi" w:cstheme="minorHAnsi"/>
        </w:rPr>
        <w:footnoteRef/>
      </w:r>
      <w:r w:rsidRPr="00DC6AB4">
        <w:rPr>
          <w:rFonts w:asciiTheme="minorHAnsi" w:hAnsiTheme="minorHAnsi" w:cstheme="minorHAnsi"/>
        </w:rPr>
        <w:t xml:space="preserve"> January 2015 population, California Department of Finance</w:t>
      </w:r>
    </w:p>
  </w:footnote>
  <w:footnote w:id="4">
    <w:p w:rsidR="00DC6AB4" w:rsidRPr="00DC6AB4" w:rsidRDefault="00DC6AB4" w:rsidP="00DC6AB4">
      <w:pPr>
        <w:pStyle w:val="FootnoteText"/>
        <w:rPr>
          <w:rFonts w:asciiTheme="minorHAnsi" w:hAnsiTheme="minorHAnsi" w:cstheme="minorHAnsi"/>
        </w:rPr>
      </w:pPr>
      <w:r w:rsidRPr="00FA2887">
        <w:rPr>
          <w:rStyle w:val="FootnoteReference"/>
          <w:rFonts w:asciiTheme="minorHAnsi" w:hAnsiTheme="minorHAnsi" w:cstheme="minorHAnsi"/>
        </w:rPr>
        <w:footnoteRef/>
      </w:r>
      <w:r w:rsidRPr="00FA2887">
        <w:rPr>
          <w:rFonts w:asciiTheme="minorHAnsi" w:hAnsiTheme="minorHAnsi" w:cstheme="minorHAnsi"/>
        </w:rPr>
        <w:t xml:space="preserve"> Nega</w:t>
      </w:r>
      <w:r>
        <w:rPr>
          <w:rFonts w:asciiTheme="minorHAnsi" w:hAnsiTheme="minorHAnsi" w:cstheme="minorHAnsi"/>
        </w:rPr>
        <w:t>W</w:t>
      </w:r>
      <w:r w:rsidRPr="00FA2887">
        <w:rPr>
          <w:rFonts w:asciiTheme="minorHAnsi" w:hAnsiTheme="minorHAnsi" w:cstheme="minorHAnsi"/>
        </w:rPr>
        <w:t xml:space="preserve">att, </w:t>
      </w:r>
      <w:r w:rsidR="006F104C">
        <w:rPr>
          <w:rFonts w:asciiTheme="minorHAnsi" w:hAnsiTheme="minorHAnsi" w:cstheme="minorHAnsi"/>
        </w:rPr>
        <w:t>“Evaluation of DOE Supplemental Proposed Rul</w:t>
      </w:r>
      <w:r w:rsidR="006619E5">
        <w:rPr>
          <w:rFonts w:asciiTheme="minorHAnsi" w:hAnsiTheme="minorHAnsi" w:cstheme="minorHAnsi"/>
        </w:rPr>
        <w:t xml:space="preserve">emaking on Residential Furnace </w:t>
      </w:r>
      <w:r w:rsidR="006619E5">
        <w:rPr>
          <w:rFonts w:asciiTheme="minorHAnsi" w:hAnsiTheme="minorHAnsi" w:cstheme="minorHAnsi"/>
        </w:rPr>
        <w:t>S</w:t>
      </w:r>
      <w:bookmarkStart w:id="0" w:name="_GoBack"/>
      <w:bookmarkEnd w:id="0"/>
      <w:r w:rsidR="006F104C">
        <w:rPr>
          <w:rFonts w:asciiTheme="minorHAnsi" w:hAnsiTheme="minorHAnsi" w:cstheme="minorHAnsi"/>
        </w:rPr>
        <w:t xml:space="preserve">tandards Life Cycle Cost Analysis: Inputs and Results with Emphasis on Southern California,” </w:t>
      </w:r>
      <w:r w:rsidRPr="00DC6AB4">
        <w:rPr>
          <w:rFonts w:asciiTheme="minorHAnsi" w:hAnsiTheme="minorHAnsi" w:cstheme="minorHAnsi"/>
        </w:rPr>
        <w:t>page 6, section “</w:t>
      </w:r>
      <w:r w:rsidR="00BA325E">
        <w:rPr>
          <w:rFonts w:asciiTheme="minorHAnsi" w:hAnsiTheme="minorHAnsi" w:cstheme="minorHAnsi"/>
        </w:rPr>
        <w:t xml:space="preserve">General Observations, </w:t>
      </w:r>
      <w:r w:rsidRPr="00DC6AB4">
        <w:rPr>
          <w:rFonts w:asciiTheme="minorHAnsi" w:hAnsiTheme="minorHAnsi" w:cstheme="minorHAnsi"/>
        </w:rPr>
        <w:t>Three</w:t>
      </w:r>
      <w:r w:rsidR="006F104C">
        <w:rPr>
          <w:rFonts w:asciiTheme="minorHAnsi" w:hAnsiTheme="minorHAnsi" w:cstheme="minorHAnsi"/>
        </w:rPr>
        <w:t>,</w:t>
      </w:r>
      <w:r w:rsidRPr="00DC6AB4">
        <w:rPr>
          <w:rFonts w:asciiTheme="minorHAnsi" w:hAnsiTheme="minorHAnsi" w:cstheme="minorHAnsi"/>
        </w:rPr>
        <w:t>”</w:t>
      </w:r>
      <w:r w:rsidR="006F104C">
        <w:rPr>
          <w:rFonts w:asciiTheme="minorHAnsi" w:hAnsiTheme="minorHAnsi" w:cstheme="minorHAnsi"/>
        </w:rPr>
        <w:t xml:space="preserve"> December 20, 2016</w:t>
      </w:r>
      <w:r w:rsidRPr="00DC6AB4">
        <w:rPr>
          <w:rFonts w:asciiTheme="minorHAnsi" w:hAnsiTheme="minorHAnsi" w:cstheme="minorHAnsi"/>
        </w:rPr>
        <w:t>.</w:t>
      </w:r>
    </w:p>
  </w:footnote>
  <w:footnote w:id="5">
    <w:p w:rsidR="00F02B57" w:rsidRPr="00FA2887" w:rsidRDefault="00F02B57" w:rsidP="00F02B57">
      <w:pPr>
        <w:pStyle w:val="FootnoteText"/>
        <w:rPr>
          <w:rFonts w:asciiTheme="minorHAnsi" w:hAnsiTheme="minorHAnsi" w:cstheme="minorHAnsi"/>
        </w:rPr>
      </w:pPr>
      <w:r w:rsidRPr="00FA2887">
        <w:rPr>
          <w:rStyle w:val="FootnoteReference"/>
          <w:rFonts w:asciiTheme="minorHAnsi" w:hAnsiTheme="minorHAnsi" w:cstheme="minorHAnsi"/>
        </w:rPr>
        <w:footnoteRef/>
      </w:r>
      <w:r w:rsidRPr="00FA2887">
        <w:rPr>
          <w:rFonts w:asciiTheme="minorHAnsi" w:hAnsiTheme="minorHAnsi" w:cstheme="minorHAnsi"/>
        </w:rPr>
        <w:t xml:space="preserve"> </w:t>
      </w:r>
      <w:hyperlink r:id="rId2" w:history="1">
        <w:r w:rsidRPr="00FA2887">
          <w:rPr>
            <w:rStyle w:val="Hyperlink"/>
            <w:rFonts w:asciiTheme="minorHAnsi" w:hAnsiTheme="minorHAnsi" w:cstheme="minorHAnsi"/>
          </w:rPr>
          <w:t>https://www.regulations.gov/document?D=EERE-2014-BT-STD-0031-0217</w:t>
        </w:r>
      </w:hyperlink>
      <w:r w:rsidRPr="00FA2887">
        <w:rPr>
          <w:rFonts w:asciiTheme="minorHAnsi" w:hAnsiTheme="minorHAnsi" w:cstheme="minorHAnsi"/>
        </w:rPr>
        <w:t xml:space="preserve"> </w:t>
      </w:r>
    </w:p>
  </w:footnote>
  <w:footnote w:id="6">
    <w:p w:rsidR="00F02B57" w:rsidRPr="00FA2887" w:rsidRDefault="00F02B57" w:rsidP="00F02B57">
      <w:pPr>
        <w:pStyle w:val="FootnoteText"/>
        <w:rPr>
          <w:rFonts w:asciiTheme="minorHAnsi" w:hAnsiTheme="minorHAnsi" w:cstheme="minorHAnsi"/>
        </w:rPr>
      </w:pPr>
      <w:r w:rsidRPr="00FA2887">
        <w:rPr>
          <w:rStyle w:val="FootnoteReference"/>
          <w:rFonts w:asciiTheme="minorHAnsi" w:hAnsiTheme="minorHAnsi" w:cstheme="minorHAnsi"/>
        </w:rPr>
        <w:footnoteRef/>
      </w:r>
      <w:r w:rsidRPr="00FA2887">
        <w:rPr>
          <w:rFonts w:asciiTheme="minorHAnsi" w:hAnsiTheme="minorHAnsi" w:cstheme="minorHAnsi"/>
        </w:rPr>
        <w:t xml:space="preserve"> </w:t>
      </w:r>
      <w:r w:rsidRPr="00DC6AB4">
        <w:rPr>
          <w:rFonts w:asciiTheme="minorHAnsi" w:hAnsiTheme="minorHAnsi" w:cstheme="minorHAnsi"/>
        </w:rPr>
        <w:t>TSD</w:t>
      </w:r>
      <w:r w:rsidR="00116C8A" w:rsidRPr="00DC6AB4">
        <w:rPr>
          <w:rFonts w:asciiTheme="minorHAnsi" w:hAnsiTheme="minorHAnsi" w:cstheme="minorHAnsi"/>
        </w:rPr>
        <w:t xml:space="preserve">, page 8D-37, </w:t>
      </w:r>
      <w:hyperlink r:id="rId3" w:history="1">
        <w:r w:rsidR="00116C8A" w:rsidRPr="00DC6AB4">
          <w:rPr>
            <w:rStyle w:val="Hyperlink"/>
            <w:rFonts w:asciiTheme="minorHAnsi" w:hAnsiTheme="minorHAnsi" w:cstheme="minorHAnsi"/>
          </w:rPr>
          <w:t>https://www.regulations.gov/document?D=EERE-2014-BT-STD-0031-0217</w:t>
        </w:r>
      </w:hyperlink>
    </w:p>
  </w:footnote>
  <w:footnote w:id="7">
    <w:p w:rsidR="008B4F94" w:rsidRPr="00FA2887" w:rsidRDefault="008B4F94" w:rsidP="008B4F94">
      <w:pPr>
        <w:pStyle w:val="FootnoteText"/>
        <w:rPr>
          <w:rFonts w:asciiTheme="minorHAnsi" w:hAnsiTheme="minorHAnsi" w:cstheme="minorHAnsi"/>
        </w:rPr>
      </w:pPr>
      <w:r w:rsidRPr="00FA2887">
        <w:rPr>
          <w:rStyle w:val="FootnoteReference"/>
          <w:rFonts w:asciiTheme="minorHAnsi" w:hAnsiTheme="minorHAnsi" w:cstheme="minorHAnsi"/>
        </w:rPr>
        <w:footnoteRef/>
      </w:r>
      <w:r w:rsidRPr="00FA2887">
        <w:rPr>
          <w:rFonts w:asciiTheme="minorHAnsi" w:hAnsiTheme="minorHAnsi" w:cstheme="minorHAnsi"/>
        </w:rPr>
        <w:t xml:space="preserve"> </w:t>
      </w:r>
      <w:r w:rsidRPr="00FA2887">
        <w:rPr>
          <w:rFonts w:asciiTheme="minorHAnsi" w:hAnsiTheme="minorHAnsi" w:cstheme="minorHAnsi"/>
          <w:szCs w:val="22"/>
        </w:rPr>
        <w:t>Appendix 8M of the TSD provides a brief explanation of the downsizing methodology.</w:t>
      </w:r>
    </w:p>
  </w:footnote>
  <w:footnote w:id="8">
    <w:p w:rsidR="00DF29AE" w:rsidRDefault="00DF29AE" w:rsidP="00DF29AE">
      <w:pPr>
        <w:pStyle w:val="FootnoteText"/>
      </w:pPr>
      <w:r w:rsidRPr="006D31BA">
        <w:rPr>
          <w:rStyle w:val="FootnoteReference"/>
          <w:rFonts w:asciiTheme="minorHAnsi" w:hAnsiTheme="minorHAnsi" w:cstheme="minorHAnsi"/>
        </w:rPr>
        <w:footnoteRef/>
      </w:r>
      <w:r w:rsidRPr="006D31BA">
        <w:rPr>
          <w:rFonts w:asciiTheme="minorHAnsi" w:hAnsiTheme="minorHAnsi" w:cstheme="minorHAnsi"/>
        </w:rPr>
        <w:t xml:space="preserve"> GTI, </w:t>
      </w:r>
      <w:r w:rsidR="006F104C">
        <w:rPr>
          <w:rFonts w:asciiTheme="minorHAnsi" w:hAnsiTheme="minorHAnsi" w:cstheme="minorHAnsi"/>
        </w:rPr>
        <w:t xml:space="preserve">“Technical Analysis of DOE Notice of Proposed Rulemaking on Residential Furnace Minimum Efficiencies and Its Impact in Southern California,” </w:t>
      </w:r>
      <w:r w:rsidRPr="006D31BA">
        <w:rPr>
          <w:rFonts w:asciiTheme="minorHAnsi" w:hAnsiTheme="minorHAnsi" w:cstheme="minorHAnsi"/>
        </w:rPr>
        <w:t>pages 6-9</w:t>
      </w:r>
      <w:r w:rsidR="006F104C">
        <w:rPr>
          <w:rFonts w:asciiTheme="minorHAnsi" w:hAnsiTheme="minorHAnsi" w:cstheme="minorHAnsi"/>
        </w:rPr>
        <w:t>, July 7, 2015</w:t>
      </w:r>
      <w:r w:rsidRPr="006D31BA">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EA253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EE511E"/>
    <w:multiLevelType w:val="hybridMultilevel"/>
    <w:tmpl w:val="FC40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ABC"/>
    <w:multiLevelType w:val="hybridMultilevel"/>
    <w:tmpl w:val="C2EA0032"/>
    <w:lvl w:ilvl="0" w:tplc="18DAD9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47968"/>
    <w:multiLevelType w:val="hybridMultilevel"/>
    <w:tmpl w:val="CDACFD30"/>
    <w:lvl w:ilvl="0" w:tplc="86D047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763B2"/>
    <w:multiLevelType w:val="hybridMultilevel"/>
    <w:tmpl w:val="F1749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D0CC1"/>
    <w:multiLevelType w:val="hybridMultilevel"/>
    <w:tmpl w:val="925C57F8"/>
    <w:lvl w:ilvl="0" w:tplc="789EDC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83ACA"/>
    <w:multiLevelType w:val="hybridMultilevel"/>
    <w:tmpl w:val="8B4A08E8"/>
    <w:lvl w:ilvl="0" w:tplc="0570F7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506E2C"/>
    <w:multiLevelType w:val="hybridMultilevel"/>
    <w:tmpl w:val="C0B6AE26"/>
    <w:lvl w:ilvl="0" w:tplc="87C62FA2">
      <w:start w:val="3"/>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994BEA"/>
    <w:multiLevelType w:val="hybridMultilevel"/>
    <w:tmpl w:val="E48A0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537E4"/>
    <w:multiLevelType w:val="hybridMultilevel"/>
    <w:tmpl w:val="B080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E5187"/>
    <w:multiLevelType w:val="hybridMultilevel"/>
    <w:tmpl w:val="25DCD7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32B21"/>
    <w:multiLevelType w:val="hybridMultilevel"/>
    <w:tmpl w:val="AFA02442"/>
    <w:lvl w:ilvl="0" w:tplc="4F5622DE">
      <w:start w:val="1"/>
      <w:numFmt w:val="decimal"/>
      <w:lvlText w:val="%1)"/>
      <w:lvlJc w:val="left"/>
      <w:pPr>
        <w:ind w:left="1080" w:hanging="360"/>
      </w:pPr>
      <w:rPr>
        <w:rFonts w:cstheme="minorBidi"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24339"/>
    <w:multiLevelType w:val="hybridMultilevel"/>
    <w:tmpl w:val="4C96A678"/>
    <w:lvl w:ilvl="0" w:tplc="5322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C44E5"/>
    <w:multiLevelType w:val="hybridMultilevel"/>
    <w:tmpl w:val="642ECD9C"/>
    <w:lvl w:ilvl="0" w:tplc="7416CCC2">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72D24"/>
    <w:multiLevelType w:val="hybridMultilevel"/>
    <w:tmpl w:val="08144A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33270E"/>
    <w:multiLevelType w:val="hybridMultilevel"/>
    <w:tmpl w:val="1318E7C0"/>
    <w:lvl w:ilvl="0" w:tplc="E35CFA5E">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CC853DB"/>
    <w:multiLevelType w:val="hybridMultilevel"/>
    <w:tmpl w:val="31B081AE"/>
    <w:lvl w:ilvl="0" w:tplc="5276D68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E076E"/>
    <w:multiLevelType w:val="hybridMultilevel"/>
    <w:tmpl w:val="B1D85D7E"/>
    <w:lvl w:ilvl="0" w:tplc="87C62FA2">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0"/>
  </w:num>
  <w:num w:numId="4">
    <w:abstractNumId w:val="13"/>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12"/>
  </w:num>
  <w:num w:numId="11">
    <w:abstractNumId w:val="11"/>
  </w:num>
  <w:num w:numId="12">
    <w:abstractNumId w:val="2"/>
  </w:num>
  <w:num w:numId="13">
    <w:abstractNumId w:val="7"/>
  </w:num>
  <w:num w:numId="14">
    <w:abstractNumId w:val="5"/>
  </w:num>
  <w:num w:numId="15">
    <w:abstractNumId w:val="15"/>
  </w:num>
  <w:num w:numId="16">
    <w:abstractNumId w:val="4"/>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0C"/>
    <w:rsid w:val="000003B4"/>
    <w:rsid w:val="00010950"/>
    <w:rsid w:val="000136DD"/>
    <w:rsid w:val="00015856"/>
    <w:rsid w:val="00015E97"/>
    <w:rsid w:val="00020A5D"/>
    <w:rsid w:val="00027A84"/>
    <w:rsid w:val="000348C5"/>
    <w:rsid w:val="00037982"/>
    <w:rsid w:val="000904CA"/>
    <w:rsid w:val="000A5206"/>
    <w:rsid w:val="000B344E"/>
    <w:rsid w:val="000F14D6"/>
    <w:rsid w:val="00116C8A"/>
    <w:rsid w:val="00141C3C"/>
    <w:rsid w:val="00143F42"/>
    <w:rsid w:val="001664F3"/>
    <w:rsid w:val="00172A04"/>
    <w:rsid w:val="001B368A"/>
    <w:rsid w:val="001B58CB"/>
    <w:rsid w:val="001D47C4"/>
    <w:rsid w:val="001E35D9"/>
    <w:rsid w:val="00203955"/>
    <w:rsid w:val="00205CD4"/>
    <w:rsid w:val="0021276F"/>
    <w:rsid w:val="0022313B"/>
    <w:rsid w:val="002233B3"/>
    <w:rsid w:val="00227BA7"/>
    <w:rsid w:val="0023463A"/>
    <w:rsid w:val="00237B02"/>
    <w:rsid w:val="00241586"/>
    <w:rsid w:val="00265399"/>
    <w:rsid w:val="00271215"/>
    <w:rsid w:val="0028023B"/>
    <w:rsid w:val="00292638"/>
    <w:rsid w:val="002C2CFF"/>
    <w:rsid w:val="002D01F4"/>
    <w:rsid w:val="002D38A0"/>
    <w:rsid w:val="002F3B86"/>
    <w:rsid w:val="002F4F41"/>
    <w:rsid w:val="002F73A7"/>
    <w:rsid w:val="0030582D"/>
    <w:rsid w:val="003114DB"/>
    <w:rsid w:val="003144F9"/>
    <w:rsid w:val="00316FD8"/>
    <w:rsid w:val="00327580"/>
    <w:rsid w:val="00332F7C"/>
    <w:rsid w:val="003657F5"/>
    <w:rsid w:val="0037492E"/>
    <w:rsid w:val="003A7090"/>
    <w:rsid w:val="003B38FA"/>
    <w:rsid w:val="003D1168"/>
    <w:rsid w:val="003D25DE"/>
    <w:rsid w:val="003D4BB3"/>
    <w:rsid w:val="003D64EA"/>
    <w:rsid w:val="003E5B77"/>
    <w:rsid w:val="003F03DA"/>
    <w:rsid w:val="003F4F0C"/>
    <w:rsid w:val="00401593"/>
    <w:rsid w:val="00424E30"/>
    <w:rsid w:val="00431AC6"/>
    <w:rsid w:val="004747A8"/>
    <w:rsid w:val="004855D0"/>
    <w:rsid w:val="004954D6"/>
    <w:rsid w:val="004A56AE"/>
    <w:rsid w:val="004B516D"/>
    <w:rsid w:val="004C2F26"/>
    <w:rsid w:val="004C310C"/>
    <w:rsid w:val="004D69FF"/>
    <w:rsid w:val="004F06E7"/>
    <w:rsid w:val="00501800"/>
    <w:rsid w:val="0052396C"/>
    <w:rsid w:val="00532BE6"/>
    <w:rsid w:val="005341E7"/>
    <w:rsid w:val="00545560"/>
    <w:rsid w:val="00572D44"/>
    <w:rsid w:val="00583E78"/>
    <w:rsid w:val="005970E2"/>
    <w:rsid w:val="005A065B"/>
    <w:rsid w:val="005B0E69"/>
    <w:rsid w:val="005B2891"/>
    <w:rsid w:val="005C1BF1"/>
    <w:rsid w:val="005E395E"/>
    <w:rsid w:val="005E6A8A"/>
    <w:rsid w:val="00641943"/>
    <w:rsid w:val="00643BD1"/>
    <w:rsid w:val="0065684E"/>
    <w:rsid w:val="006619E5"/>
    <w:rsid w:val="00661C28"/>
    <w:rsid w:val="00672CE8"/>
    <w:rsid w:val="00677B72"/>
    <w:rsid w:val="00697623"/>
    <w:rsid w:val="006A5576"/>
    <w:rsid w:val="006D315E"/>
    <w:rsid w:val="006D31BA"/>
    <w:rsid w:val="006E52BC"/>
    <w:rsid w:val="006F104C"/>
    <w:rsid w:val="00710174"/>
    <w:rsid w:val="00731F8E"/>
    <w:rsid w:val="00760985"/>
    <w:rsid w:val="00771DD9"/>
    <w:rsid w:val="00793597"/>
    <w:rsid w:val="007A3B52"/>
    <w:rsid w:val="007A4C65"/>
    <w:rsid w:val="007B70CF"/>
    <w:rsid w:val="007D33E7"/>
    <w:rsid w:val="007D3AA2"/>
    <w:rsid w:val="007F35A3"/>
    <w:rsid w:val="0080667D"/>
    <w:rsid w:val="00813D8B"/>
    <w:rsid w:val="00833D7B"/>
    <w:rsid w:val="00841295"/>
    <w:rsid w:val="00852843"/>
    <w:rsid w:val="0085757B"/>
    <w:rsid w:val="00860919"/>
    <w:rsid w:val="00886DAA"/>
    <w:rsid w:val="008A4080"/>
    <w:rsid w:val="008A4712"/>
    <w:rsid w:val="008B4F94"/>
    <w:rsid w:val="008D0B88"/>
    <w:rsid w:val="008D3BBD"/>
    <w:rsid w:val="008D7F37"/>
    <w:rsid w:val="00910E14"/>
    <w:rsid w:val="009205B1"/>
    <w:rsid w:val="00945312"/>
    <w:rsid w:val="009502A8"/>
    <w:rsid w:val="00956ACF"/>
    <w:rsid w:val="00957FBB"/>
    <w:rsid w:val="009619CF"/>
    <w:rsid w:val="00965BC5"/>
    <w:rsid w:val="00970147"/>
    <w:rsid w:val="0098221D"/>
    <w:rsid w:val="009863A9"/>
    <w:rsid w:val="009933C9"/>
    <w:rsid w:val="009C2049"/>
    <w:rsid w:val="009C74C2"/>
    <w:rsid w:val="009C7E2E"/>
    <w:rsid w:val="009F254C"/>
    <w:rsid w:val="009F6145"/>
    <w:rsid w:val="00A009C7"/>
    <w:rsid w:val="00A11F05"/>
    <w:rsid w:val="00A12805"/>
    <w:rsid w:val="00A40FFD"/>
    <w:rsid w:val="00A45D8D"/>
    <w:rsid w:val="00A47E76"/>
    <w:rsid w:val="00A71B0C"/>
    <w:rsid w:val="00A90D19"/>
    <w:rsid w:val="00A91A8C"/>
    <w:rsid w:val="00AA4143"/>
    <w:rsid w:val="00AA4A55"/>
    <w:rsid w:val="00AB5DB1"/>
    <w:rsid w:val="00AC1164"/>
    <w:rsid w:val="00AC5F8F"/>
    <w:rsid w:val="00AD6275"/>
    <w:rsid w:val="00AE0033"/>
    <w:rsid w:val="00AE03A3"/>
    <w:rsid w:val="00AE74EF"/>
    <w:rsid w:val="00B053A2"/>
    <w:rsid w:val="00B06BD4"/>
    <w:rsid w:val="00B07172"/>
    <w:rsid w:val="00B12849"/>
    <w:rsid w:val="00B15750"/>
    <w:rsid w:val="00B441E7"/>
    <w:rsid w:val="00B5709B"/>
    <w:rsid w:val="00B652A0"/>
    <w:rsid w:val="00B70D3C"/>
    <w:rsid w:val="00B901B6"/>
    <w:rsid w:val="00B91C77"/>
    <w:rsid w:val="00BA325E"/>
    <w:rsid w:val="00BE4B59"/>
    <w:rsid w:val="00BE7EA7"/>
    <w:rsid w:val="00BF1F20"/>
    <w:rsid w:val="00C21F8D"/>
    <w:rsid w:val="00C347A5"/>
    <w:rsid w:val="00C55E57"/>
    <w:rsid w:val="00C67B03"/>
    <w:rsid w:val="00C716A9"/>
    <w:rsid w:val="00C75B6E"/>
    <w:rsid w:val="00CB3633"/>
    <w:rsid w:val="00CB603E"/>
    <w:rsid w:val="00CC2A13"/>
    <w:rsid w:val="00CE7BA8"/>
    <w:rsid w:val="00CE7EAB"/>
    <w:rsid w:val="00D05446"/>
    <w:rsid w:val="00D05C66"/>
    <w:rsid w:val="00D3165E"/>
    <w:rsid w:val="00D41DBE"/>
    <w:rsid w:val="00D456E8"/>
    <w:rsid w:val="00D54CA7"/>
    <w:rsid w:val="00D6241A"/>
    <w:rsid w:val="00D65883"/>
    <w:rsid w:val="00D97228"/>
    <w:rsid w:val="00DA0654"/>
    <w:rsid w:val="00DB405E"/>
    <w:rsid w:val="00DC1972"/>
    <w:rsid w:val="00DC5FB1"/>
    <w:rsid w:val="00DC6AB4"/>
    <w:rsid w:val="00DC7B8F"/>
    <w:rsid w:val="00DF29AE"/>
    <w:rsid w:val="00DF5DE5"/>
    <w:rsid w:val="00E126BC"/>
    <w:rsid w:val="00E15221"/>
    <w:rsid w:val="00E17DD6"/>
    <w:rsid w:val="00E24341"/>
    <w:rsid w:val="00E61676"/>
    <w:rsid w:val="00E64882"/>
    <w:rsid w:val="00E67502"/>
    <w:rsid w:val="00E75650"/>
    <w:rsid w:val="00E92329"/>
    <w:rsid w:val="00EA64D7"/>
    <w:rsid w:val="00EB097C"/>
    <w:rsid w:val="00EC0E51"/>
    <w:rsid w:val="00EF5499"/>
    <w:rsid w:val="00EF709A"/>
    <w:rsid w:val="00F02B57"/>
    <w:rsid w:val="00F1062E"/>
    <w:rsid w:val="00F91ECF"/>
    <w:rsid w:val="00FA2887"/>
    <w:rsid w:val="00FA647B"/>
    <w:rsid w:val="00FB6517"/>
    <w:rsid w:val="00FB79ED"/>
    <w:rsid w:val="00FC1617"/>
    <w:rsid w:val="00FC20FD"/>
    <w:rsid w:val="00FD1B17"/>
    <w:rsid w:val="00FE4CAB"/>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7D5D"/>
  <w15:docId w15:val="{24398DEE-06D6-4949-B14F-EC764DE4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1B0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28"/>
    <w:pPr>
      <w:ind w:left="720"/>
      <w:contextualSpacing/>
    </w:pPr>
  </w:style>
  <w:style w:type="paragraph" w:styleId="Caption">
    <w:name w:val="caption"/>
    <w:basedOn w:val="Normal"/>
    <w:next w:val="Normal"/>
    <w:uiPriority w:val="35"/>
    <w:unhideWhenUsed/>
    <w:qFormat/>
    <w:rsid w:val="004747A8"/>
    <w:pPr>
      <w:spacing w:line="240" w:lineRule="auto"/>
    </w:pPr>
    <w:rPr>
      <w:rFonts w:asciiTheme="minorHAnsi" w:hAnsiTheme="minorHAnsi"/>
      <w:i/>
      <w:iCs/>
      <w:color w:val="1F497D" w:themeColor="text2"/>
      <w:sz w:val="18"/>
      <w:szCs w:val="18"/>
    </w:rPr>
  </w:style>
  <w:style w:type="paragraph" w:styleId="BalloonText">
    <w:name w:val="Balloon Text"/>
    <w:basedOn w:val="Normal"/>
    <w:link w:val="BalloonTextChar"/>
    <w:uiPriority w:val="99"/>
    <w:semiHidden/>
    <w:unhideWhenUsed/>
    <w:rsid w:val="0047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A8"/>
    <w:rPr>
      <w:rFonts w:ascii="Tahoma" w:hAnsi="Tahoma" w:cs="Tahoma"/>
      <w:sz w:val="16"/>
      <w:szCs w:val="16"/>
    </w:rPr>
  </w:style>
  <w:style w:type="character" w:styleId="CommentReference">
    <w:name w:val="annotation reference"/>
    <w:basedOn w:val="DefaultParagraphFont"/>
    <w:semiHidden/>
    <w:unhideWhenUsed/>
    <w:rsid w:val="004747A8"/>
    <w:rPr>
      <w:sz w:val="16"/>
      <w:szCs w:val="16"/>
    </w:rPr>
  </w:style>
  <w:style w:type="paragraph" w:styleId="CommentText">
    <w:name w:val="annotation text"/>
    <w:basedOn w:val="Normal"/>
    <w:link w:val="CommentTextChar"/>
    <w:semiHidden/>
    <w:unhideWhenUsed/>
    <w:rsid w:val="004747A8"/>
    <w:pPr>
      <w:spacing w:line="240" w:lineRule="auto"/>
    </w:pPr>
    <w:rPr>
      <w:sz w:val="20"/>
      <w:szCs w:val="20"/>
    </w:rPr>
  </w:style>
  <w:style w:type="character" w:customStyle="1" w:styleId="CommentTextChar">
    <w:name w:val="Comment Text Char"/>
    <w:basedOn w:val="DefaultParagraphFont"/>
    <w:link w:val="CommentText"/>
    <w:semiHidden/>
    <w:rsid w:val="004747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47A8"/>
    <w:rPr>
      <w:b/>
      <w:bCs/>
    </w:rPr>
  </w:style>
  <w:style w:type="character" w:customStyle="1" w:styleId="CommentSubjectChar">
    <w:name w:val="Comment Subject Char"/>
    <w:basedOn w:val="CommentTextChar"/>
    <w:link w:val="CommentSubject"/>
    <w:uiPriority w:val="99"/>
    <w:semiHidden/>
    <w:rsid w:val="004747A8"/>
    <w:rPr>
      <w:rFonts w:ascii="Times New Roman" w:hAnsi="Times New Roman"/>
      <w:b/>
      <w:bCs/>
      <w:sz w:val="20"/>
      <w:szCs w:val="20"/>
    </w:rPr>
  </w:style>
  <w:style w:type="paragraph" w:styleId="FootnoteText">
    <w:name w:val="footnote text"/>
    <w:basedOn w:val="Normal"/>
    <w:link w:val="FootnoteTextChar"/>
    <w:semiHidden/>
    <w:unhideWhenUsed/>
    <w:rsid w:val="00C347A5"/>
    <w:pPr>
      <w:spacing w:after="0" w:line="240" w:lineRule="auto"/>
    </w:pPr>
    <w:rPr>
      <w:sz w:val="20"/>
      <w:szCs w:val="20"/>
    </w:rPr>
  </w:style>
  <w:style w:type="character" w:customStyle="1" w:styleId="FootnoteTextChar">
    <w:name w:val="Footnote Text Char"/>
    <w:basedOn w:val="DefaultParagraphFont"/>
    <w:link w:val="FootnoteText"/>
    <w:semiHidden/>
    <w:rsid w:val="00C347A5"/>
    <w:rPr>
      <w:rFonts w:ascii="Times New Roman" w:hAnsi="Times New Roman"/>
      <w:sz w:val="20"/>
      <w:szCs w:val="20"/>
    </w:rPr>
  </w:style>
  <w:style w:type="character" w:styleId="FootnoteReference">
    <w:name w:val="footnote reference"/>
    <w:basedOn w:val="DefaultParagraphFont"/>
    <w:semiHidden/>
    <w:unhideWhenUsed/>
    <w:rsid w:val="00C347A5"/>
    <w:rPr>
      <w:vertAlign w:val="superscript"/>
    </w:rPr>
  </w:style>
  <w:style w:type="character" w:customStyle="1" w:styleId="ListBullet2Char">
    <w:name w:val="List Bullet 2 Char"/>
    <w:basedOn w:val="DefaultParagraphFont"/>
    <w:link w:val="ListBullet2"/>
    <w:semiHidden/>
    <w:locked/>
    <w:rsid w:val="00D05446"/>
    <w:rPr>
      <w:sz w:val="24"/>
      <w:szCs w:val="24"/>
    </w:rPr>
  </w:style>
  <w:style w:type="paragraph" w:styleId="ListBullet2">
    <w:name w:val="List Bullet 2"/>
    <w:basedOn w:val="Normal"/>
    <w:link w:val="ListBullet2Char"/>
    <w:semiHidden/>
    <w:unhideWhenUsed/>
    <w:qFormat/>
    <w:rsid w:val="00D05446"/>
    <w:pPr>
      <w:numPr>
        <w:numId w:val="5"/>
      </w:numPr>
      <w:spacing w:after="120" w:line="240" w:lineRule="auto"/>
    </w:pPr>
    <w:rPr>
      <w:rFonts w:asciiTheme="minorHAnsi" w:hAnsiTheme="minorHAnsi"/>
      <w:szCs w:val="24"/>
    </w:rPr>
  </w:style>
  <w:style w:type="paragraph" w:styleId="Revision">
    <w:name w:val="Revision"/>
    <w:hidden/>
    <w:uiPriority w:val="99"/>
    <w:semiHidden/>
    <w:rsid w:val="00A91A8C"/>
    <w:rPr>
      <w:rFonts w:ascii="Times New Roman" w:hAnsi="Times New Roman"/>
      <w:sz w:val="24"/>
    </w:rPr>
  </w:style>
  <w:style w:type="paragraph" w:styleId="Header">
    <w:name w:val="header"/>
    <w:basedOn w:val="Normal"/>
    <w:link w:val="HeaderChar"/>
    <w:uiPriority w:val="99"/>
    <w:unhideWhenUsed/>
    <w:rsid w:val="00FC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FD"/>
    <w:rPr>
      <w:rFonts w:ascii="Times New Roman" w:hAnsi="Times New Roman"/>
      <w:sz w:val="24"/>
    </w:rPr>
  </w:style>
  <w:style w:type="paragraph" w:styleId="Footer">
    <w:name w:val="footer"/>
    <w:basedOn w:val="Normal"/>
    <w:link w:val="FooterChar"/>
    <w:uiPriority w:val="99"/>
    <w:unhideWhenUsed/>
    <w:rsid w:val="00FC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FD"/>
    <w:rPr>
      <w:rFonts w:ascii="Times New Roman" w:hAnsi="Times New Roman"/>
      <w:sz w:val="24"/>
    </w:rPr>
  </w:style>
  <w:style w:type="character" w:styleId="Hyperlink">
    <w:name w:val="Hyperlink"/>
    <w:basedOn w:val="DefaultParagraphFont"/>
    <w:uiPriority w:val="99"/>
    <w:semiHidden/>
    <w:unhideWhenUsed/>
    <w:rsid w:val="00A90D19"/>
    <w:rPr>
      <w:color w:val="0000FF"/>
      <w:u w:val="single"/>
    </w:rPr>
  </w:style>
  <w:style w:type="paragraph" w:styleId="NoSpacing">
    <w:name w:val="No Spacing"/>
    <w:uiPriority w:val="1"/>
    <w:qFormat/>
    <w:rsid w:val="00965BC5"/>
    <w:rPr>
      <w:rFonts w:ascii="Times New Roman" w:hAnsi="Times New Roman"/>
      <w:sz w:val="24"/>
    </w:rPr>
  </w:style>
  <w:style w:type="paragraph" w:customStyle="1" w:styleId="TableParagraph">
    <w:name w:val="Table Paragraph"/>
    <w:basedOn w:val="Normal"/>
    <w:uiPriority w:val="1"/>
    <w:qFormat/>
    <w:rsid w:val="00027A84"/>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3343">
      <w:bodyDiv w:val="1"/>
      <w:marLeft w:val="0"/>
      <w:marRight w:val="0"/>
      <w:marTop w:val="0"/>
      <w:marBottom w:val="0"/>
      <w:divBdr>
        <w:top w:val="none" w:sz="0" w:space="0" w:color="auto"/>
        <w:left w:val="none" w:sz="0" w:space="0" w:color="auto"/>
        <w:bottom w:val="none" w:sz="0" w:space="0" w:color="auto"/>
        <w:right w:val="none" w:sz="0" w:space="0" w:color="auto"/>
      </w:divBdr>
    </w:div>
    <w:div w:id="693187949">
      <w:bodyDiv w:val="1"/>
      <w:marLeft w:val="0"/>
      <w:marRight w:val="0"/>
      <w:marTop w:val="0"/>
      <w:marBottom w:val="0"/>
      <w:divBdr>
        <w:top w:val="none" w:sz="0" w:space="0" w:color="auto"/>
        <w:left w:val="none" w:sz="0" w:space="0" w:color="auto"/>
        <w:bottom w:val="none" w:sz="0" w:space="0" w:color="auto"/>
        <w:right w:val="none" w:sz="0" w:space="0" w:color="auto"/>
      </w:divBdr>
    </w:div>
    <w:div w:id="1004481437">
      <w:bodyDiv w:val="1"/>
      <w:marLeft w:val="0"/>
      <w:marRight w:val="0"/>
      <w:marTop w:val="0"/>
      <w:marBottom w:val="0"/>
      <w:divBdr>
        <w:top w:val="none" w:sz="0" w:space="0" w:color="auto"/>
        <w:left w:val="none" w:sz="0" w:space="0" w:color="auto"/>
        <w:bottom w:val="none" w:sz="0" w:space="0" w:color="auto"/>
        <w:right w:val="none" w:sz="0" w:space="0" w:color="auto"/>
      </w:divBdr>
    </w:div>
    <w:div w:id="1027146563">
      <w:bodyDiv w:val="1"/>
      <w:marLeft w:val="0"/>
      <w:marRight w:val="0"/>
      <w:marTop w:val="0"/>
      <w:marBottom w:val="0"/>
      <w:divBdr>
        <w:top w:val="none" w:sz="0" w:space="0" w:color="auto"/>
        <w:left w:val="none" w:sz="0" w:space="0" w:color="auto"/>
        <w:bottom w:val="none" w:sz="0" w:space="0" w:color="auto"/>
        <w:right w:val="none" w:sz="0" w:space="0" w:color="auto"/>
      </w:divBdr>
    </w:div>
    <w:div w:id="1065031695">
      <w:bodyDiv w:val="1"/>
      <w:marLeft w:val="0"/>
      <w:marRight w:val="0"/>
      <w:marTop w:val="0"/>
      <w:marBottom w:val="0"/>
      <w:divBdr>
        <w:top w:val="none" w:sz="0" w:space="0" w:color="auto"/>
        <w:left w:val="none" w:sz="0" w:space="0" w:color="auto"/>
        <w:bottom w:val="none" w:sz="0" w:space="0" w:color="auto"/>
        <w:right w:val="none" w:sz="0" w:space="0" w:color="auto"/>
      </w:divBdr>
    </w:div>
    <w:div w:id="1420445370">
      <w:bodyDiv w:val="1"/>
      <w:marLeft w:val="0"/>
      <w:marRight w:val="0"/>
      <w:marTop w:val="0"/>
      <w:marBottom w:val="0"/>
      <w:divBdr>
        <w:top w:val="none" w:sz="0" w:space="0" w:color="auto"/>
        <w:left w:val="none" w:sz="0" w:space="0" w:color="auto"/>
        <w:bottom w:val="none" w:sz="0" w:space="0" w:color="auto"/>
        <w:right w:val="none" w:sz="0" w:space="0" w:color="auto"/>
      </w:divBdr>
    </w:div>
    <w:div w:id="1515223854">
      <w:bodyDiv w:val="1"/>
      <w:marLeft w:val="0"/>
      <w:marRight w:val="0"/>
      <w:marTop w:val="0"/>
      <w:marBottom w:val="0"/>
      <w:divBdr>
        <w:top w:val="none" w:sz="0" w:space="0" w:color="auto"/>
        <w:left w:val="none" w:sz="0" w:space="0" w:color="auto"/>
        <w:bottom w:val="none" w:sz="0" w:space="0" w:color="auto"/>
        <w:right w:val="none" w:sz="0" w:space="0" w:color="auto"/>
      </w:divBdr>
    </w:div>
    <w:div w:id="1703632416">
      <w:bodyDiv w:val="1"/>
      <w:marLeft w:val="0"/>
      <w:marRight w:val="0"/>
      <w:marTop w:val="0"/>
      <w:marBottom w:val="0"/>
      <w:divBdr>
        <w:top w:val="none" w:sz="0" w:space="0" w:color="auto"/>
        <w:left w:val="none" w:sz="0" w:space="0" w:color="auto"/>
        <w:bottom w:val="none" w:sz="0" w:space="0" w:color="auto"/>
        <w:right w:val="none" w:sz="0" w:space="0" w:color="auto"/>
      </w:divBdr>
    </w:div>
    <w:div w:id="1759591715">
      <w:bodyDiv w:val="1"/>
      <w:marLeft w:val="0"/>
      <w:marRight w:val="0"/>
      <w:marTop w:val="0"/>
      <w:marBottom w:val="0"/>
      <w:divBdr>
        <w:top w:val="none" w:sz="0" w:space="0" w:color="auto"/>
        <w:left w:val="none" w:sz="0" w:space="0" w:color="auto"/>
        <w:bottom w:val="none" w:sz="0" w:space="0" w:color="auto"/>
        <w:right w:val="none" w:sz="0" w:space="0" w:color="auto"/>
      </w:divBdr>
    </w:div>
    <w:div w:id="17871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ERE-2014-BT-STD-0031-0217" TargetMode="External"/><Relationship Id="rId2" Type="http://schemas.openxmlformats.org/officeDocument/2006/relationships/hyperlink" Target="https://www.regulations.gov/document?D=EERE-2014-BT-STD-0031-0217" TargetMode="External"/><Relationship Id="rId1" Type="http://schemas.openxmlformats.org/officeDocument/2006/relationships/hyperlink" Target="https://www.regulations.gov/document?D=EERE-2014-BT-STD-0031-0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b:Source>
    <b:Tag>USE15</b:Tag>
    <b:SourceType>InternetSite</b:SourceType>
    <b:Guid>{907D0288-5232-4508-AB0B-34E65D69C534}</b:Guid>
    <b:Title>Proposed efficiency standards may eliminate noncondensing gas furnaces</b:Title>
    <b:Year>2015</b:Year>
    <b:Month>2</b:Month>
    <b:Day>17</b:Day>
    <b:URL>http://www.eia.gov/todayinenergy/detail.cfm?id=20011</b:URL>
    <b:Author>
      <b:Author>
        <b:NameList>
          <b:Person>
            <b:Last>U.S. Energy Information Administration</b:Last>
          </b:Person>
        </b:NameList>
      </b:Author>
    </b:Author>
    <b:RefOrder>1</b:RefOrder>
  </b:Source>
  <b:Source>
    <b:Tag>SDG13</b:Tag>
    <b:SourceType>InternetSite</b:SourceType>
    <b:Guid>{DDE97E89-429C-4E5E-84B1-B87726C38E55}</b:Guid>
    <b:Author>
      <b:Author>
        <b:NameList>
          <b:Person>
            <b:Last>SDG&amp;E</b:Last>
          </b:Person>
        </b:NameList>
      </b:Author>
    </b:Author>
    <b:Title>Schedule DR, Residential Service</b:Title>
    <b:Year>2013</b:Year>
    <b:Month>January</b:Month>
    <b:Day>1</b:Day>
    <b:URL>http://www.sdge.com/tm2/pdf/ELEC_ELEC-SCHEDS_DR_2013.pdf</b:URL>
    <b:RefOrder>2</b:RefOrder>
  </b:Source>
  <b:Source>
    <b:Tag>USE14</b:Tag>
    <b:SourceType>InternetSite</b:SourceType>
    <b:Guid>{0646EC1C-2020-4EDF-BFF6-F87B613F7B4D}</b:Guid>
    <b:Title>American Energy Outlook</b:Title>
    <b:Year>2014</b:Year>
    <b:URL>http://www.eia.gov/forecasts/archive/aeo14/pdf/0383(2014).pdf</b:URL>
    <b:Author>
      <b:Author>
        <b:NameList>
          <b:Person>
            <b:Last>U.S. Energy Information Administration</b:Last>
          </b:Person>
        </b:NameList>
      </b:Author>
    </b:Author>
    <b:RefOrder>3</b:RefOrder>
  </b:Source>
  <b:Source>
    <b:Tag>Cal14</b:Tag>
    <b:SourceType>InternetSite</b:SourceType>
    <b:Guid>{9581D44A-2C04-446B-9147-42B540D02CCE}</b:Guid>
    <b:Title>Estimating Natural Gas Burner Tip Prices for California and the Western United States</b:Title>
    <b:Year>2014</b:Year>
    <b:Month>11</b:Month>
    <b:URL>http://www.energy.ca.gov/2014publications/CEC-200-2014-008/</b:URL>
    <b:Author>
      <b:Author>
        <b:NameList>
          <b:Person>
            <b:Last>California Energy Commission</b:Last>
          </b:Person>
        </b:NameList>
      </b:Author>
    </b:Author>
    <b:RefOrder>5</b:RefOrder>
  </b:Source>
  <b:Source>
    <b:Tag>USE151</b:Tag>
    <b:SourceType>InternetSite</b:SourceType>
    <b:Guid>{43F7C16D-F651-436F-B37A-CEA58FDE1878}</b:Guid>
    <b:Title>American Energy Outlook</b:Title>
    <b:Year>2016</b:Year>
    <b:URL>http://www.eia.gov/forecasts/aeo/pdf/0383(2016).pdf</b:URL>
    <b:Author>
      <b:Author>
        <b:NameList>
          <b:Person>
            <b:Last>U.S. Energy Information Administration</b:Last>
          </b:Person>
        </b:NameList>
      </b:Author>
    </b:Author>
    <b:RefOrder>4</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BD9C2-37E5-4932-8761-EAC80A7A0689}"/>
</file>

<file path=customXml/itemProps2.xml><?xml version="1.0" encoding="utf-8"?>
<ds:datastoreItem xmlns:ds="http://schemas.openxmlformats.org/officeDocument/2006/customXml" ds:itemID="{0E6AA201-9448-427E-A38C-A4826256AC29}"/>
</file>

<file path=customXml/itemProps3.xml><?xml version="1.0" encoding="utf-8"?>
<ds:datastoreItem xmlns:ds="http://schemas.openxmlformats.org/officeDocument/2006/customXml" ds:itemID="{E4B54B87-3DFF-409D-BE26-D426DA3FA7D7}"/>
</file>

<file path=customXml/itemProps4.xml><?xml version="1.0" encoding="utf-8"?>
<ds:datastoreItem xmlns:ds="http://schemas.openxmlformats.org/officeDocument/2006/customXml" ds:itemID="{6E196609-7295-4933-88A8-86839DD9181C}"/>
</file>

<file path=docProps/app.xml><?xml version="1.0" encoding="utf-8"?>
<Properties xmlns="http://schemas.openxmlformats.org/officeDocument/2006/extended-properties" xmlns:vt="http://schemas.openxmlformats.org/officeDocument/2006/docPropsVTypes">
  <Template>Normal.dotm</Template>
  <TotalTime>2</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skristja;NegaWatt;msim</dc:creator>
  <cp:lastModifiedBy>Bo</cp:lastModifiedBy>
  <cp:revision>4</cp:revision>
  <cp:lastPrinted>2017-01-05T21:47:00Z</cp:lastPrinted>
  <dcterms:created xsi:type="dcterms:W3CDTF">2017-01-06T20:18:00Z</dcterms:created>
  <dcterms:modified xsi:type="dcterms:W3CDTF">2017-01-06T21:33:00Z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