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8C17C" w14:textId="77777777" w:rsidR="00417825" w:rsidRPr="005033B5" w:rsidRDefault="00417825" w:rsidP="00417825">
      <w:pPr>
        <w:jc w:val="center"/>
        <w:rPr>
          <w:b/>
          <w:sz w:val="24"/>
          <w:szCs w:val="24"/>
        </w:rPr>
      </w:pPr>
      <w:r w:rsidRPr="005033B5">
        <w:rPr>
          <w:b/>
          <w:sz w:val="24"/>
          <w:szCs w:val="24"/>
        </w:rPr>
        <w:t>MEMORANDUM</w:t>
      </w:r>
    </w:p>
    <w:p w14:paraId="74F37601" w14:textId="12D31EA3" w:rsidR="00EB2C9C" w:rsidRPr="005033B5" w:rsidRDefault="008105C1">
      <w:pPr>
        <w:rPr>
          <w:b/>
          <w:sz w:val="24"/>
          <w:szCs w:val="24"/>
        </w:rPr>
      </w:pPr>
      <w:r w:rsidRPr="005033B5">
        <w:rPr>
          <w:b/>
          <w:sz w:val="24"/>
          <w:szCs w:val="24"/>
        </w:rPr>
        <w:t>TO:</w:t>
      </w:r>
      <w:r w:rsidRPr="005033B5">
        <w:rPr>
          <w:b/>
          <w:sz w:val="24"/>
          <w:szCs w:val="24"/>
        </w:rPr>
        <w:tab/>
      </w:r>
      <w:r w:rsidR="005033B5" w:rsidRPr="005033B5">
        <w:rPr>
          <w:b/>
          <w:sz w:val="24"/>
          <w:szCs w:val="24"/>
        </w:rPr>
        <w:tab/>
      </w:r>
      <w:r w:rsidR="003D0F1F">
        <w:rPr>
          <w:b/>
          <w:sz w:val="24"/>
          <w:szCs w:val="24"/>
        </w:rPr>
        <w:t xml:space="preserve">Sue Kristjansson and A.Y. Ahmed, </w:t>
      </w:r>
      <w:r w:rsidR="00042CFA">
        <w:rPr>
          <w:b/>
          <w:sz w:val="24"/>
          <w:szCs w:val="24"/>
        </w:rPr>
        <w:t xml:space="preserve">Southern California </w:t>
      </w:r>
      <w:r w:rsidR="000B4066">
        <w:rPr>
          <w:b/>
          <w:sz w:val="24"/>
          <w:szCs w:val="24"/>
        </w:rPr>
        <w:t>SoCalGas</w:t>
      </w:r>
    </w:p>
    <w:p w14:paraId="3B02FAE7" w14:textId="77777777" w:rsidR="008105C1" w:rsidRPr="005033B5" w:rsidRDefault="008105C1">
      <w:pPr>
        <w:rPr>
          <w:b/>
          <w:sz w:val="24"/>
          <w:szCs w:val="24"/>
        </w:rPr>
      </w:pPr>
      <w:r w:rsidRPr="005033B5">
        <w:rPr>
          <w:b/>
          <w:sz w:val="24"/>
          <w:szCs w:val="24"/>
        </w:rPr>
        <w:t>FR</w:t>
      </w:r>
      <w:r w:rsidR="0099732F">
        <w:rPr>
          <w:b/>
          <w:sz w:val="24"/>
          <w:szCs w:val="24"/>
        </w:rPr>
        <w:t>OM</w:t>
      </w:r>
      <w:r w:rsidRPr="005033B5">
        <w:rPr>
          <w:b/>
          <w:sz w:val="24"/>
          <w:szCs w:val="24"/>
        </w:rPr>
        <w:t>:</w:t>
      </w:r>
      <w:r w:rsidRPr="005033B5">
        <w:rPr>
          <w:b/>
          <w:sz w:val="24"/>
          <w:szCs w:val="24"/>
        </w:rPr>
        <w:tab/>
      </w:r>
      <w:r w:rsidR="005033B5" w:rsidRPr="005033B5">
        <w:rPr>
          <w:b/>
          <w:sz w:val="24"/>
          <w:szCs w:val="24"/>
        </w:rPr>
        <w:tab/>
      </w:r>
      <w:r w:rsidR="003C12D3">
        <w:rPr>
          <w:b/>
          <w:sz w:val="24"/>
          <w:szCs w:val="24"/>
        </w:rPr>
        <w:t>Rob</w:t>
      </w:r>
      <w:r w:rsidR="00CB71F5">
        <w:rPr>
          <w:b/>
          <w:sz w:val="24"/>
          <w:szCs w:val="24"/>
        </w:rPr>
        <w:t xml:space="preserve"> Hammon</w:t>
      </w:r>
      <w:r w:rsidR="0099732F">
        <w:rPr>
          <w:b/>
          <w:sz w:val="24"/>
          <w:szCs w:val="24"/>
        </w:rPr>
        <w:t>, Ph.D.</w:t>
      </w:r>
      <w:r w:rsidR="00CB71F5">
        <w:rPr>
          <w:b/>
          <w:sz w:val="24"/>
          <w:szCs w:val="24"/>
        </w:rPr>
        <w:t xml:space="preserve">, President, </w:t>
      </w:r>
      <w:proofErr w:type="spellStart"/>
      <w:r w:rsidR="00CB71F5">
        <w:rPr>
          <w:b/>
          <w:sz w:val="24"/>
          <w:szCs w:val="24"/>
        </w:rPr>
        <w:t>BIRAenergy</w:t>
      </w:r>
      <w:proofErr w:type="spellEnd"/>
      <w:r w:rsidR="0099732F">
        <w:rPr>
          <w:b/>
          <w:sz w:val="24"/>
          <w:szCs w:val="24"/>
        </w:rPr>
        <w:t>;</w:t>
      </w:r>
      <w:r w:rsidR="00CB71F5">
        <w:rPr>
          <w:b/>
          <w:sz w:val="24"/>
          <w:szCs w:val="24"/>
        </w:rPr>
        <w:t xml:space="preserve"> Marc </w:t>
      </w:r>
      <w:proofErr w:type="spellStart"/>
      <w:r w:rsidR="00CB71F5">
        <w:rPr>
          <w:b/>
          <w:sz w:val="24"/>
          <w:szCs w:val="24"/>
        </w:rPr>
        <w:t>Esser</w:t>
      </w:r>
      <w:proofErr w:type="spellEnd"/>
      <w:r w:rsidR="00CB71F5">
        <w:rPr>
          <w:b/>
          <w:sz w:val="24"/>
          <w:szCs w:val="24"/>
        </w:rPr>
        <w:t xml:space="preserve">, President, </w:t>
      </w:r>
      <w:proofErr w:type="spellStart"/>
      <w:r w:rsidR="00CB71F5">
        <w:rPr>
          <w:b/>
          <w:sz w:val="24"/>
          <w:szCs w:val="24"/>
        </w:rPr>
        <w:t>Negawatt</w:t>
      </w:r>
      <w:proofErr w:type="spellEnd"/>
      <w:r w:rsidR="00CB71F5">
        <w:rPr>
          <w:b/>
          <w:sz w:val="24"/>
          <w:szCs w:val="24"/>
        </w:rPr>
        <w:tab/>
      </w:r>
      <w:r w:rsidR="00CB71F5">
        <w:rPr>
          <w:b/>
          <w:sz w:val="24"/>
          <w:szCs w:val="24"/>
        </w:rPr>
        <w:tab/>
      </w:r>
      <w:r w:rsidR="00CB71F5">
        <w:rPr>
          <w:b/>
          <w:sz w:val="24"/>
          <w:szCs w:val="24"/>
        </w:rPr>
        <w:tab/>
        <w:t>Consulting</w:t>
      </w:r>
      <w:r w:rsidR="0099732F">
        <w:rPr>
          <w:b/>
          <w:sz w:val="24"/>
          <w:szCs w:val="24"/>
        </w:rPr>
        <w:t>;</w:t>
      </w:r>
      <w:r w:rsidR="00CB71F5">
        <w:rPr>
          <w:b/>
          <w:sz w:val="24"/>
          <w:szCs w:val="24"/>
        </w:rPr>
        <w:t xml:space="preserve"> and George </w:t>
      </w:r>
      <w:proofErr w:type="spellStart"/>
      <w:r w:rsidR="00CB71F5">
        <w:rPr>
          <w:b/>
          <w:sz w:val="24"/>
          <w:szCs w:val="24"/>
        </w:rPr>
        <w:t>Burmeister</w:t>
      </w:r>
      <w:proofErr w:type="spellEnd"/>
      <w:r w:rsidR="00CB71F5">
        <w:rPr>
          <w:b/>
          <w:sz w:val="24"/>
          <w:szCs w:val="24"/>
        </w:rPr>
        <w:t>, President, Colorado Energy Group, Inc.</w:t>
      </w:r>
    </w:p>
    <w:p w14:paraId="7C60312D" w14:textId="77777777" w:rsidR="008105C1" w:rsidRPr="005033B5" w:rsidRDefault="009A19A4">
      <w:pPr>
        <w:rPr>
          <w:b/>
          <w:sz w:val="24"/>
          <w:szCs w:val="24"/>
        </w:rPr>
      </w:pPr>
      <w:r w:rsidRPr="005033B5">
        <w:rPr>
          <w:b/>
          <w:sz w:val="24"/>
          <w:szCs w:val="24"/>
        </w:rPr>
        <w:t xml:space="preserve">IN </w:t>
      </w:r>
      <w:r w:rsidR="008105C1" w:rsidRPr="005033B5">
        <w:rPr>
          <w:b/>
          <w:sz w:val="24"/>
          <w:szCs w:val="24"/>
        </w:rPr>
        <w:t>RE:</w:t>
      </w:r>
      <w:r w:rsidR="008105C1" w:rsidRPr="005033B5">
        <w:rPr>
          <w:b/>
          <w:sz w:val="24"/>
          <w:szCs w:val="24"/>
        </w:rPr>
        <w:tab/>
      </w:r>
      <w:r w:rsidR="005033B5" w:rsidRPr="005033B5">
        <w:rPr>
          <w:b/>
          <w:sz w:val="24"/>
          <w:szCs w:val="24"/>
        </w:rPr>
        <w:tab/>
      </w:r>
      <w:r w:rsidR="00CB71F5">
        <w:rPr>
          <w:b/>
          <w:sz w:val="24"/>
          <w:szCs w:val="24"/>
        </w:rPr>
        <w:t xml:space="preserve">U.S. Department of Energy Proposed Increase in Efficiency Standards for Gas </w:t>
      </w:r>
      <w:r w:rsidR="00CB71F5">
        <w:rPr>
          <w:b/>
          <w:sz w:val="24"/>
          <w:szCs w:val="24"/>
        </w:rPr>
        <w:tab/>
      </w:r>
      <w:r w:rsidR="00CB71F5">
        <w:rPr>
          <w:b/>
          <w:sz w:val="24"/>
          <w:szCs w:val="24"/>
        </w:rPr>
        <w:tab/>
      </w:r>
      <w:r w:rsidR="00CB71F5">
        <w:rPr>
          <w:b/>
          <w:sz w:val="24"/>
          <w:szCs w:val="24"/>
        </w:rPr>
        <w:tab/>
      </w:r>
      <w:r w:rsidR="008105C1" w:rsidRPr="005033B5">
        <w:rPr>
          <w:b/>
          <w:sz w:val="24"/>
          <w:szCs w:val="24"/>
        </w:rPr>
        <w:t>Furnace</w:t>
      </w:r>
      <w:r w:rsidR="00151785">
        <w:rPr>
          <w:b/>
          <w:sz w:val="24"/>
          <w:szCs w:val="24"/>
        </w:rPr>
        <w:t>s</w:t>
      </w:r>
    </w:p>
    <w:p w14:paraId="114B9392" w14:textId="60F7A246" w:rsidR="003A2B72" w:rsidRDefault="00417825" w:rsidP="00417825">
      <w:pPr>
        <w:pBdr>
          <w:bottom w:val="single" w:sz="6" w:space="1" w:color="auto"/>
        </w:pBdr>
        <w:rPr>
          <w:b/>
          <w:sz w:val="24"/>
          <w:szCs w:val="24"/>
        </w:rPr>
      </w:pPr>
      <w:r w:rsidRPr="005033B5">
        <w:rPr>
          <w:b/>
          <w:sz w:val="24"/>
          <w:szCs w:val="24"/>
        </w:rPr>
        <w:t>DATE:</w:t>
      </w:r>
      <w:r w:rsidRPr="005033B5">
        <w:rPr>
          <w:b/>
          <w:sz w:val="24"/>
          <w:szCs w:val="24"/>
        </w:rPr>
        <w:tab/>
      </w:r>
      <w:r w:rsidR="005033B5" w:rsidRPr="005033B5">
        <w:rPr>
          <w:b/>
          <w:sz w:val="24"/>
          <w:szCs w:val="24"/>
        </w:rPr>
        <w:tab/>
      </w:r>
      <w:r w:rsidR="00042CFA">
        <w:rPr>
          <w:b/>
          <w:sz w:val="24"/>
          <w:szCs w:val="24"/>
        </w:rPr>
        <w:t xml:space="preserve">April </w:t>
      </w:r>
      <w:r w:rsidR="003D0F1F">
        <w:rPr>
          <w:b/>
          <w:sz w:val="24"/>
          <w:szCs w:val="24"/>
        </w:rPr>
        <w:t>6</w:t>
      </w:r>
      <w:r w:rsidRPr="005033B5">
        <w:rPr>
          <w:b/>
          <w:sz w:val="24"/>
          <w:szCs w:val="24"/>
        </w:rPr>
        <w:t>, 2014</w:t>
      </w:r>
      <w:r w:rsidR="003D0F1F">
        <w:rPr>
          <w:b/>
          <w:sz w:val="24"/>
          <w:szCs w:val="24"/>
        </w:rPr>
        <w:t>, Version C</w:t>
      </w:r>
    </w:p>
    <w:p w14:paraId="1B690436" w14:textId="77777777" w:rsidR="00653DAD" w:rsidRDefault="00DE4FF1" w:rsidP="00DE4FF1">
      <w:pPr>
        <w:rPr>
          <w:sz w:val="24"/>
          <w:szCs w:val="24"/>
        </w:rPr>
      </w:pPr>
      <w:r w:rsidRPr="00DE4FF1">
        <w:rPr>
          <w:sz w:val="24"/>
          <w:szCs w:val="24"/>
        </w:rPr>
        <w:t xml:space="preserve">Southern California </w:t>
      </w:r>
      <w:r w:rsidR="000B4066">
        <w:rPr>
          <w:sz w:val="24"/>
          <w:szCs w:val="24"/>
        </w:rPr>
        <w:t>Gas Company</w:t>
      </w:r>
      <w:r w:rsidRPr="00DE4FF1">
        <w:rPr>
          <w:sz w:val="24"/>
          <w:szCs w:val="24"/>
        </w:rPr>
        <w:t xml:space="preserve"> (</w:t>
      </w:r>
      <w:r w:rsidR="000B4066">
        <w:rPr>
          <w:sz w:val="24"/>
          <w:szCs w:val="24"/>
        </w:rPr>
        <w:t>SoCalGas</w:t>
      </w:r>
      <w:r w:rsidRPr="00DE4FF1">
        <w:rPr>
          <w:sz w:val="24"/>
          <w:szCs w:val="24"/>
        </w:rPr>
        <w:t xml:space="preserve">) </w:t>
      </w:r>
      <w:r w:rsidR="0099732F">
        <w:rPr>
          <w:sz w:val="24"/>
          <w:szCs w:val="24"/>
        </w:rPr>
        <w:t>tasked</w:t>
      </w:r>
      <w:r w:rsidRPr="00DE4FF1">
        <w:rPr>
          <w:sz w:val="24"/>
          <w:szCs w:val="24"/>
        </w:rPr>
        <w:t xml:space="preserve">, </w:t>
      </w:r>
      <w:proofErr w:type="spellStart"/>
      <w:r w:rsidRPr="00DE4FF1">
        <w:rPr>
          <w:sz w:val="24"/>
          <w:szCs w:val="24"/>
        </w:rPr>
        <w:t>BIRAenergy</w:t>
      </w:r>
      <w:proofErr w:type="spellEnd"/>
      <w:r w:rsidRPr="00DE4FF1">
        <w:rPr>
          <w:sz w:val="24"/>
          <w:szCs w:val="24"/>
        </w:rPr>
        <w:t xml:space="preserve"> and </w:t>
      </w:r>
      <w:proofErr w:type="spellStart"/>
      <w:r w:rsidRPr="00DE4FF1">
        <w:rPr>
          <w:sz w:val="24"/>
          <w:szCs w:val="24"/>
        </w:rPr>
        <w:t>Negawatt</w:t>
      </w:r>
      <w:proofErr w:type="spellEnd"/>
      <w:r w:rsidRPr="00DE4FF1">
        <w:rPr>
          <w:sz w:val="24"/>
          <w:szCs w:val="24"/>
        </w:rPr>
        <w:t xml:space="preserve"> Consulting </w:t>
      </w:r>
      <w:r w:rsidR="0099732F">
        <w:rPr>
          <w:sz w:val="24"/>
          <w:szCs w:val="24"/>
        </w:rPr>
        <w:t>to research and</w:t>
      </w:r>
      <w:r w:rsidRPr="00DE4FF1">
        <w:rPr>
          <w:sz w:val="24"/>
          <w:szCs w:val="24"/>
        </w:rPr>
        <w:t xml:space="preserve"> </w:t>
      </w:r>
      <w:r w:rsidR="0099732F">
        <w:rPr>
          <w:sz w:val="24"/>
          <w:szCs w:val="24"/>
        </w:rPr>
        <w:t>evaluate</w:t>
      </w:r>
      <w:r w:rsidR="0064314D">
        <w:rPr>
          <w:sz w:val="24"/>
          <w:szCs w:val="24"/>
        </w:rPr>
        <w:t xml:space="preserve"> the potential impacts </w:t>
      </w:r>
      <w:r w:rsidR="0099732F">
        <w:rPr>
          <w:sz w:val="24"/>
          <w:szCs w:val="24"/>
        </w:rPr>
        <w:t xml:space="preserve">to the </w:t>
      </w:r>
      <w:r w:rsidR="000B4066">
        <w:rPr>
          <w:sz w:val="24"/>
          <w:szCs w:val="24"/>
        </w:rPr>
        <w:t>SoCalGas</w:t>
      </w:r>
      <w:r w:rsidR="0099732F">
        <w:rPr>
          <w:sz w:val="24"/>
          <w:szCs w:val="24"/>
        </w:rPr>
        <w:t xml:space="preserve"> of </w:t>
      </w:r>
      <w:r w:rsidRPr="00DE4FF1">
        <w:rPr>
          <w:sz w:val="24"/>
          <w:szCs w:val="24"/>
        </w:rPr>
        <w:t>current U.S. Department of Energy (DOE)</w:t>
      </w:r>
      <w:r w:rsidR="0099732F">
        <w:rPr>
          <w:sz w:val="24"/>
          <w:szCs w:val="24"/>
        </w:rPr>
        <w:t xml:space="preserve"> proceedings regarding</w:t>
      </w:r>
      <w:r w:rsidR="0064314D">
        <w:rPr>
          <w:sz w:val="24"/>
          <w:szCs w:val="24"/>
        </w:rPr>
        <w:t xml:space="preserve"> </w:t>
      </w:r>
      <w:r w:rsidRPr="00DE4FF1">
        <w:rPr>
          <w:sz w:val="24"/>
          <w:szCs w:val="24"/>
        </w:rPr>
        <w:t xml:space="preserve"> </w:t>
      </w:r>
      <w:hyperlink r:id="rId9" w:anchor="!documentDetail;D=EERE-2014-BT-STD-0031-0032" w:history="1">
        <w:r w:rsidR="00A24C97" w:rsidRPr="00373311">
          <w:rPr>
            <w:rStyle w:val="Hyperlink"/>
            <w:sz w:val="24"/>
            <w:szCs w:val="24"/>
          </w:rPr>
          <w:t xml:space="preserve">Energy Conservation Standards for Residential Furnaces </w:t>
        </w:r>
      </w:hyperlink>
      <w:r w:rsidRPr="00DE4FF1">
        <w:rPr>
          <w:sz w:val="24"/>
          <w:szCs w:val="24"/>
        </w:rPr>
        <w:t xml:space="preserve"> </w:t>
      </w:r>
      <w:r w:rsidR="0064314D">
        <w:rPr>
          <w:sz w:val="24"/>
          <w:szCs w:val="24"/>
        </w:rPr>
        <w:t>(</w:t>
      </w:r>
      <w:r w:rsidRPr="00DE4FF1">
        <w:rPr>
          <w:sz w:val="24"/>
          <w:szCs w:val="24"/>
        </w:rPr>
        <w:t xml:space="preserve">Notice of Proposed Rulemaking </w:t>
      </w:r>
      <w:r w:rsidR="0064314D">
        <w:rPr>
          <w:sz w:val="24"/>
          <w:szCs w:val="24"/>
        </w:rPr>
        <w:t>[</w:t>
      </w:r>
      <w:r w:rsidRPr="00DE4FF1">
        <w:rPr>
          <w:sz w:val="24"/>
          <w:szCs w:val="24"/>
        </w:rPr>
        <w:t>NOPR</w:t>
      </w:r>
      <w:r w:rsidR="0064314D">
        <w:rPr>
          <w:sz w:val="24"/>
          <w:szCs w:val="24"/>
        </w:rPr>
        <w:t>]</w:t>
      </w:r>
      <w:r w:rsidRPr="00DE4FF1">
        <w:rPr>
          <w:sz w:val="24"/>
          <w:szCs w:val="24"/>
        </w:rPr>
        <w:t xml:space="preserve"> for non-weatherized </w:t>
      </w:r>
      <w:r w:rsidR="0064314D">
        <w:rPr>
          <w:sz w:val="24"/>
          <w:szCs w:val="24"/>
        </w:rPr>
        <w:t>[</w:t>
      </w:r>
      <w:r w:rsidRPr="00DE4FF1">
        <w:rPr>
          <w:sz w:val="24"/>
          <w:szCs w:val="24"/>
        </w:rPr>
        <w:t>indoor</w:t>
      </w:r>
      <w:r>
        <w:rPr>
          <w:sz w:val="24"/>
          <w:szCs w:val="24"/>
        </w:rPr>
        <w:t xml:space="preserve"> installations</w:t>
      </w:r>
      <w:r w:rsidR="0064314D">
        <w:rPr>
          <w:sz w:val="24"/>
          <w:szCs w:val="24"/>
        </w:rPr>
        <w:t>]</w:t>
      </w:r>
      <w:r w:rsidRPr="00DE4FF1">
        <w:rPr>
          <w:sz w:val="24"/>
          <w:szCs w:val="24"/>
        </w:rPr>
        <w:t xml:space="preserve"> and mobile home gas furnaces</w:t>
      </w:r>
      <w:r w:rsidR="0064314D">
        <w:rPr>
          <w:sz w:val="24"/>
          <w:szCs w:val="24"/>
        </w:rPr>
        <w:t>) that could impact minimum efficiency requirements for California and nationwide.</w:t>
      </w:r>
      <w:r w:rsidRPr="00DE4FF1">
        <w:rPr>
          <w:sz w:val="24"/>
          <w:szCs w:val="24"/>
        </w:rPr>
        <w:t xml:space="preserve"> </w:t>
      </w:r>
      <w:r w:rsidR="004E3803">
        <w:rPr>
          <w:sz w:val="24"/>
          <w:szCs w:val="24"/>
        </w:rPr>
        <w:t xml:space="preserve">Based on </w:t>
      </w:r>
      <w:r w:rsidR="006842CB">
        <w:rPr>
          <w:sz w:val="24"/>
          <w:szCs w:val="24"/>
        </w:rPr>
        <w:t xml:space="preserve">experience </w:t>
      </w:r>
      <w:r w:rsidR="004E3803">
        <w:rPr>
          <w:sz w:val="24"/>
          <w:szCs w:val="24"/>
        </w:rPr>
        <w:t>working inside</w:t>
      </w:r>
      <w:r w:rsidR="006842CB">
        <w:rPr>
          <w:sz w:val="24"/>
          <w:szCs w:val="24"/>
        </w:rPr>
        <w:t xml:space="preserve"> the DOE</w:t>
      </w:r>
      <w:r w:rsidR="0064314D">
        <w:rPr>
          <w:sz w:val="24"/>
          <w:szCs w:val="24"/>
        </w:rPr>
        <w:t xml:space="preserve">, their understanding of national policies and processes for policy development, as well as their experience working in </w:t>
      </w:r>
      <w:r w:rsidR="00CA7E74">
        <w:rPr>
          <w:sz w:val="24"/>
          <w:szCs w:val="24"/>
        </w:rPr>
        <w:t>California</w:t>
      </w:r>
      <w:r w:rsidR="0064314D">
        <w:rPr>
          <w:sz w:val="24"/>
          <w:szCs w:val="24"/>
        </w:rPr>
        <w:t xml:space="preserve"> on residential</w:t>
      </w:r>
      <w:r w:rsidR="00CA7E74">
        <w:rPr>
          <w:sz w:val="24"/>
          <w:szCs w:val="24"/>
        </w:rPr>
        <w:t xml:space="preserve"> </w:t>
      </w:r>
      <w:r w:rsidR="004E3803">
        <w:rPr>
          <w:sz w:val="24"/>
          <w:szCs w:val="24"/>
        </w:rPr>
        <w:t xml:space="preserve">energy efficiency </w:t>
      </w:r>
      <w:r w:rsidR="0064314D">
        <w:rPr>
          <w:sz w:val="24"/>
          <w:szCs w:val="24"/>
        </w:rPr>
        <w:t>programs, both development and implementation</w:t>
      </w:r>
      <w:r w:rsidR="00CA7E74">
        <w:rPr>
          <w:sz w:val="24"/>
          <w:szCs w:val="24"/>
        </w:rPr>
        <w:t xml:space="preserve">, Colorado Energy Group, Inc. was </w:t>
      </w:r>
      <w:r w:rsidR="0064314D">
        <w:rPr>
          <w:sz w:val="24"/>
          <w:szCs w:val="24"/>
        </w:rPr>
        <w:t xml:space="preserve">instructed by </w:t>
      </w:r>
      <w:proofErr w:type="spellStart"/>
      <w:r w:rsidR="0064314D">
        <w:rPr>
          <w:sz w:val="24"/>
          <w:szCs w:val="24"/>
        </w:rPr>
        <w:t>BIRAenergy</w:t>
      </w:r>
      <w:proofErr w:type="spellEnd"/>
      <w:r w:rsidR="0064314D">
        <w:rPr>
          <w:sz w:val="24"/>
          <w:szCs w:val="24"/>
        </w:rPr>
        <w:t xml:space="preserve"> to perform in-depth research and evaluation of the on-going NOPR</w:t>
      </w:r>
      <w:r w:rsidR="00E43437">
        <w:rPr>
          <w:sz w:val="24"/>
          <w:szCs w:val="24"/>
        </w:rPr>
        <w:t>.</w:t>
      </w:r>
      <w:r w:rsidR="0099732F">
        <w:rPr>
          <w:sz w:val="24"/>
          <w:szCs w:val="24"/>
        </w:rPr>
        <w:t xml:space="preserve">  This memo summarizes the NOPR, key elements on its history that have resulted in the current status of the NOPR; we also suggest potential strategies for the </w:t>
      </w:r>
      <w:r w:rsidR="000B4066">
        <w:rPr>
          <w:sz w:val="24"/>
          <w:szCs w:val="24"/>
        </w:rPr>
        <w:t>SoCalGas</w:t>
      </w:r>
      <w:r w:rsidR="0099732F">
        <w:rPr>
          <w:sz w:val="24"/>
          <w:szCs w:val="24"/>
        </w:rPr>
        <w:t xml:space="preserve">, should they decide to alter the course of the NOPR. </w:t>
      </w:r>
    </w:p>
    <w:p w14:paraId="26D339A0" w14:textId="77777777" w:rsidR="00367E36" w:rsidRDefault="00BA6EBB" w:rsidP="00DE4FF1">
      <w:pPr>
        <w:rPr>
          <w:sz w:val="24"/>
          <w:szCs w:val="24"/>
        </w:rPr>
      </w:pPr>
      <w:r>
        <w:rPr>
          <w:sz w:val="24"/>
          <w:szCs w:val="24"/>
        </w:rPr>
        <w:t>This NOPR</w:t>
      </w:r>
      <w:r w:rsidR="00B60E24">
        <w:rPr>
          <w:sz w:val="24"/>
          <w:szCs w:val="24"/>
        </w:rPr>
        <w:t>, dated March 11, 2015,</w:t>
      </w:r>
      <w:r w:rsidR="00DE4FF1" w:rsidRPr="00DE4FF1">
        <w:rPr>
          <w:sz w:val="24"/>
          <w:szCs w:val="24"/>
        </w:rPr>
        <w:t xml:space="preserve"> </w:t>
      </w:r>
      <w:r w:rsidR="00B60E24">
        <w:rPr>
          <w:sz w:val="24"/>
          <w:szCs w:val="24"/>
        </w:rPr>
        <w:t>the latest in a series</w:t>
      </w:r>
      <w:r w:rsidR="00B60E24" w:rsidRPr="00B60E24">
        <w:rPr>
          <w:sz w:val="24"/>
          <w:szCs w:val="24"/>
        </w:rPr>
        <w:t xml:space="preserve"> </w:t>
      </w:r>
      <w:r w:rsidR="00B60E24">
        <w:rPr>
          <w:sz w:val="24"/>
          <w:szCs w:val="24"/>
        </w:rPr>
        <w:t>that have</w:t>
      </w:r>
      <w:r w:rsidR="00B60E24" w:rsidRPr="00DE4FF1">
        <w:rPr>
          <w:sz w:val="24"/>
          <w:szCs w:val="24"/>
        </w:rPr>
        <w:t xml:space="preserve"> circulat</w:t>
      </w:r>
      <w:r w:rsidR="00B60E24">
        <w:rPr>
          <w:sz w:val="24"/>
          <w:szCs w:val="24"/>
        </w:rPr>
        <w:t>e</w:t>
      </w:r>
      <w:r w:rsidR="006F3BFF">
        <w:rPr>
          <w:sz w:val="24"/>
          <w:szCs w:val="24"/>
        </w:rPr>
        <w:t>d</w:t>
      </w:r>
      <w:r w:rsidR="00B60E24" w:rsidRPr="00DE4FF1">
        <w:rPr>
          <w:sz w:val="24"/>
          <w:szCs w:val="24"/>
        </w:rPr>
        <w:t xml:space="preserve"> through the DOE </w:t>
      </w:r>
      <w:r w:rsidR="00B60E24">
        <w:rPr>
          <w:sz w:val="24"/>
          <w:szCs w:val="24"/>
        </w:rPr>
        <w:t>rulemaking process for a number of years,</w:t>
      </w:r>
      <w:r w:rsidR="00B60E24" w:rsidRPr="00DE4FF1">
        <w:rPr>
          <w:sz w:val="24"/>
          <w:szCs w:val="24"/>
        </w:rPr>
        <w:t xml:space="preserve"> is </w:t>
      </w:r>
      <w:r w:rsidR="00B60E24">
        <w:rPr>
          <w:sz w:val="24"/>
          <w:szCs w:val="24"/>
        </w:rPr>
        <w:t xml:space="preserve">to </w:t>
      </w:r>
      <w:r w:rsidR="00DE4FF1" w:rsidRPr="00DE4FF1">
        <w:rPr>
          <w:sz w:val="24"/>
          <w:szCs w:val="24"/>
        </w:rPr>
        <w:t xml:space="preserve">set a </w:t>
      </w:r>
      <w:r w:rsidR="00B60E24">
        <w:rPr>
          <w:sz w:val="24"/>
          <w:szCs w:val="24"/>
        </w:rPr>
        <w:t xml:space="preserve">new </w:t>
      </w:r>
      <w:r w:rsidR="00B34B30">
        <w:rPr>
          <w:sz w:val="24"/>
          <w:szCs w:val="24"/>
        </w:rPr>
        <w:t xml:space="preserve">nationwide </w:t>
      </w:r>
      <w:r w:rsidR="00DE4FF1" w:rsidRPr="00DE4FF1">
        <w:rPr>
          <w:sz w:val="24"/>
          <w:szCs w:val="24"/>
        </w:rPr>
        <w:t xml:space="preserve">minimum energy efficiency standard for these residential gas furnaces at an </w:t>
      </w:r>
      <w:r w:rsidR="0025402A" w:rsidRPr="0025402A">
        <w:rPr>
          <w:sz w:val="24"/>
          <w:szCs w:val="24"/>
        </w:rPr>
        <w:t xml:space="preserve">Annual Fuel Utilization Efficiency </w:t>
      </w:r>
      <w:r w:rsidR="0025402A">
        <w:rPr>
          <w:sz w:val="24"/>
          <w:szCs w:val="24"/>
        </w:rPr>
        <w:t>(</w:t>
      </w:r>
      <w:r w:rsidR="00DE4FF1" w:rsidRPr="00DE4FF1">
        <w:rPr>
          <w:sz w:val="24"/>
          <w:szCs w:val="24"/>
        </w:rPr>
        <w:t>AFUE</w:t>
      </w:r>
      <w:r w:rsidR="0025402A">
        <w:rPr>
          <w:sz w:val="24"/>
          <w:szCs w:val="24"/>
        </w:rPr>
        <w:t>)</w:t>
      </w:r>
      <w:r w:rsidR="00DE4FF1" w:rsidRPr="00DE4FF1">
        <w:rPr>
          <w:sz w:val="24"/>
          <w:szCs w:val="24"/>
        </w:rPr>
        <w:t xml:space="preserve"> of 92%.</w:t>
      </w:r>
      <w:r w:rsidR="0025402A">
        <w:rPr>
          <w:sz w:val="24"/>
          <w:szCs w:val="24"/>
        </w:rPr>
        <w:t xml:space="preserve"> T</w:t>
      </w:r>
      <w:r w:rsidR="0025402A" w:rsidRPr="0025402A">
        <w:rPr>
          <w:sz w:val="24"/>
          <w:szCs w:val="24"/>
        </w:rPr>
        <w:t xml:space="preserve">he </w:t>
      </w:r>
      <w:r w:rsidR="0025402A">
        <w:rPr>
          <w:sz w:val="24"/>
          <w:szCs w:val="24"/>
        </w:rPr>
        <w:t xml:space="preserve">current national </w:t>
      </w:r>
      <w:r w:rsidR="005C0616">
        <w:rPr>
          <w:sz w:val="24"/>
          <w:szCs w:val="24"/>
        </w:rPr>
        <w:t xml:space="preserve">minimum </w:t>
      </w:r>
      <w:r w:rsidR="0025402A">
        <w:rPr>
          <w:sz w:val="24"/>
          <w:szCs w:val="24"/>
        </w:rPr>
        <w:t>standard is 78% AFUE and</w:t>
      </w:r>
      <w:r w:rsidR="0025402A" w:rsidRPr="0025402A">
        <w:rPr>
          <w:sz w:val="24"/>
          <w:szCs w:val="24"/>
        </w:rPr>
        <w:t xml:space="preserve"> the market standard is 80</w:t>
      </w:r>
      <w:r w:rsidR="0025402A">
        <w:rPr>
          <w:sz w:val="24"/>
          <w:szCs w:val="24"/>
        </w:rPr>
        <w:t>% AFUE.</w:t>
      </w:r>
      <w:r w:rsidR="00DE4FF1" w:rsidRPr="00DE4FF1">
        <w:rPr>
          <w:sz w:val="24"/>
          <w:szCs w:val="24"/>
        </w:rPr>
        <w:t xml:space="preserve"> Our team was tasked with providing a history of </w:t>
      </w:r>
      <w:r w:rsidR="006F3BFF">
        <w:rPr>
          <w:sz w:val="24"/>
          <w:szCs w:val="24"/>
        </w:rPr>
        <w:t>the processes and events leading</w:t>
      </w:r>
      <w:r w:rsidR="00DE4FF1" w:rsidRPr="00DE4FF1">
        <w:rPr>
          <w:sz w:val="24"/>
          <w:szCs w:val="24"/>
        </w:rPr>
        <w:t xml:space="preserve"> to this</w:t>
      </w:r>
      <w:r w:rsidR="006F3BFF">
        <w:rPr>
          <w:sz w:val="24"/>
          <w:szCs w:val="24"/>
        </w:rPr>
        <w:t xml:space="preserve"> NOPR and</w:t>
      </w:r>
      <w:r w:rsidR="00DE4FF1" w:rsidRPr="00DE4FF1">
        <w:rPr>
          <w:sz w:val="24"/>
          <w:szCs w:val="24"/>
        </w:rPr>
        <w:t xml:space="preserve"> </w:t>
      </w:r>
      <w:r w:rsidR="006F3BFF">
        <w:rPr>
          <w:sz w:val="24"/>
          <w:szCs w:val="24"/>
        </w:rPr>
        <w:t xml:space="preserve">its </w:t>
      </w:r>
      <w:r w:rsidR="00DE4FF1" w:rsidRPr="00DE4FF1">
        <w:rPr>
          <w:sz w:val="24"/>
          <w:szCs w:val="24"/>
        </w:rPr>
        <w:t xml:space="preserve">proposed standard, </w:t>
      </w:r>
      <w:r w:rsidR="006F3BFF">
        <w:rPr>
          <w:sz w:val="24"/>
          <w:szCs w:val="24"/>
        </w:rPr>
        <w:t xml:space="preserve">to </w:t>
      </w:r>
      <w:r w:rsidR="00FE0580">
        <w:rPr>
          <w:sz w:val="24"/>
          <w:szCs w:val="24"/>
        </w:rPr>
        <w:t xml:space="preserve">identify some of the major issues that warrant the </w:t>
      </w:r>
      <w:proofErr w:type="spellStart"/>
      <w:r w:rsidR="000B4066">
        <w:rPr>
          <w:sz w:val="24"/>
          <w:szCs w:val="24"/>
        </w:rPr>
        <w:t>SoCalGas</w:t>
      </w:r>
      <w:r w:rsidR="00FE0580">
        <w:rPr>
          <w:sz w:val="24"/>
          <w:szCs w:val="24"/>
        </w:rPr>
        <w:t>’s</w:t>
      </w:r>
      <w:proofErr w:type="spellEnd"/>
      <w:r w:rsidR="00FE0580">
        <w:rPr>
          <w:sz w:val="24"/>
          <w:szCs w:val="24"/>
        </w:rPr>
        <w:t xml:space="preserve"> attention</w:t>
      </w:r>
      <w:r w:rsidR="006F3BFF">
        <w:rPr>
          <w:sz w:val="24"/>
          <w:szCs w:val="24"/>
        </w:rPr>
        <w:t xml:space="preserve"> regarding this NOPR</w:t>
      </w:r>
      <w:r w:rsidR="00FE0580">
        <w:rPr>
          <w:sz w:val="24"/>
          <w:szCs w:val="24"/>
        </w:rPr>
        <w:t xml:space="preserve">, </w:t>
      </w:r>
      <w:r w:rsidR="006F3BFF">
        <w:rPr>
          <w:sz w:val="24"/>
          <w:szCs w:val="24"/>
        </w:rPr>
        <w:t xml:space="preserve">to </w:t>
      </w:r>
      <w:r w:rsidR="00DE4FF1" w:rsidRPr="00DE4FF1">
        <w:rPr>
          <w:sz w:val="24"/>
          <w:szCs w:val="24"/>
        </w:rPr>
        <w:t>execut</w:t>
      </w:r>
      <w:r w:rsidR="006F3BFF">
        <w:rPr>
          <w:sz w:val="24"/>
          <w:szCs w:val="24"/>
        </w:rPr>
        <w:t>e</w:t>
      </w:r>
      <w:r w:rsidR="00DE4FF1" w:rsidRPr="00DE4FF1">
        <w:rPr>
          <w:sz w:val="24"/>
          <w:szCs w:val="24"/>
        </w:rPr>
        <w:t xml:space="preserve"> </w:t>
      </w:r>
      <w:r w:rsidR="006F3BFF">
        <w:rPr>
          <w:sz w:val="24"/>
          <w:szCs w:val="24"/>
        </w:rPr>
        <w:t xml:space="preserve">an </w:t>
      </w:r>
      <w:r w:rsidR="00DE4FF1" w:rsidRPr="00DE4FF1">
        <w:rPr>
          <w:sz w:val="24"/>
          <w:szCs w:val="24"/>
        </w:rPr>
        <w:t xml:space="preserve">analysis </w:t>
      </w:r>
      <w:r w:rsidR="006F3BFF">
        <w:rPr>
          <w:sz w:val="24"/>
          <w:szCs w:val="24"/>
        </w:rPr>
        <w:t>of</w:t>
      </w:r>
      <w:r w:rsidR="00BD5F94">
        <w:rPr>
          <w:sz w:val="24"/>
          <w:szCs w:val="24"/>
        </w:rPr>
        <w:t xml:space="preserve"> the DOE’s life cycle cost </w:t>
      </w:r>
      <w:r w:rsidR="00DE4FF1" w:rsidRPr="00DE4FF1">
        <w:rPr>
          <w:sz w:val="24"/>
          <w:szCs w:val="24"/>
        </w:rPr>
        <w:t>(LCC) analysis, and</w:t>
      </w:r>
      <w:r w:rsidR="006F3BFF">
        <w:rPr>
          <w:sz w:val="24"/>
          <w:szCs w:val="24"/>
        </w:rPr>
        <w:t xml:space="preserve"> to</w:t>
      </w:r>
      <w:r w:rsidR="00DE4FF1" w:rsidRPr="00DE4FF1">
        <w:rPr>
          <w:sz w:val="24"/>
          <w:szCs w:val="24"/>
        </w:rPr>
        <w:t xml:space="preserve"> evaluat</w:t>
      </w:r>
      <w:r w:rsidR="006F3BFF">
        <w:rPr>
          <w:sz w:val="24"/>
          <w:szCs w:val="24"/>
        </w:rPr>
        <w:t>e</w:t>
      </w:r>
      <w:r w:rsidR="00DE4FF1" w:rsidRPr="00DE4FF1">
        <w:rPr>
          <w:sz w:val="24"/>
          <w:szCs w:val="24"/>
        </w:rPr>
        <w:t xml:space="preserve"> some of the potential retrofit and new construction costs</w:t>
      </w:r>
      <w:r w:rsidR="00BD5F94">
        <w:rPr>
          <w:sz w:val="24"/>
          <w:szCs w:val="24"/>
        </w:rPr>
        <w:t xml:space="preserve"> impacts </w:t>
      </w:r>
      <w:r w:rsidR="00DE4FF1" w:rsidRPr="00DE4FF1">
        <w:rPr>
          <w:sz w:val="24"/>
          <w:szCs w:val="24"/>
        </w:rPr>
        <w:t>associated with moving to this new standard.</w:t>
      </w:r>
      <w:r w:rsidR="00242DC8">
        <w:rPr>
          <w:sz w:val="24"/>
          <w:szCs w:val="24"/>
        </w:rPr>
        <w:t xml:space="preserve"> This</w:t>
      </w:r>
      <w:r w:rsidR="00EB004F">
        <w:rPr>
          <w:sz w:val="24"/>
          <w:szCs w:val="24"/>
        </w:rPr>
        <w:t xml:space="preserve"> </w:t>
      </w:r>
      <w:r w:rsidR="007E5802">
        <w:rPr>
          <w:sz w:val="24"/>
          <w:szCs w:val="24"/>
        </w:rPr>
        <w:t xml:space="preserve">new </w:t>
      </w:r>
      <w:r w:rsidR="00242DC8">
        <w:rPr>
          <w:sz w:val="24"/>
          <w:szCs w:val="24"/>
        </w:rPr>
        <w:t xml:space="preserve">information </w:t>
      </w:r>
      <w:r w:rsidR="00EB004F">
        <w:rPr>
          <w:sz w:val="24"/>
          <w:szCs w:val="24"/>
        </w:rPr>
        <w:t>was requested</w:t>
      </w:r>
      <w:r w:rsidR="00242DC8">
        <w:rPr>
          <w:sz w:val="24"/>
          <w:szCs w:val="24"/>
        </w:rPr>
        <w:t xml:space="preserve"> to</w:t>
      </w:r>
      <w:r w:rsidR="00EB004F">
        <w:rPr>
          <w:sz w:val="24"/>
          <w:szCs w:val="24"/>
        </w:rPr>
        <w:t xml:space="preserve"> supplement DOE-provided information and</w:t>
      </w:r>
      <w:r w:rsidR="007E5802">
        <w:rPr>
          <w:sz w:val="24"/>
          <w:szCs w:val="24"/>
        </w:rPr>
        <w:t xml:space="preserve"> </w:t>
      </w:r>
      <w:r w:rsidR="00EB004F">
        <w:rPr>
          <w:sz w:val="24"/>
          <w:szCs w:val="24"/>
        </w:rPr>
        <w:t>to</w:t>
      </w:r>
      <w:r w:rsidR="00242DC8">
        <w:rPr>
          <w:sz w:val="24"/>
          <w:szCs w:val="24"/>
        </w:rPr>
        <w:t xml:space="preserve"> help the </w:t>
      </w:r>
      <w:r w:rsidR="000B4066">
        <w:rPr>
          <w:sz w:val="24"/>
          <w:szCs w:val="24"/>
        </w:rPr>
        <w:t>SoCalGas</w:t>
      </w:r>
      <w:r w:rsidR="00242DC8">
        <w:rPr>
          <w:sz w:val="24"/>
          <w:szCs w:val="24"/>
        </w:rPr>
        <w:t xml:space="preserve"> establish </w:t>
      </w:r>
      <w:r w:rsidR="00EB004F">
        <w:rPr>
          <w:sz w:val="24"/>
          <w:szCs w:val="24"/>
        </w:rPr>
        <w:t>a formal position on the standard.</w:t>
      </w:r>
      <w:r w:rsidR="007E5802">
        <w:rPr>
          <w:sz w:val="24"/>
          <w:szCs w:val="24"/>
        </w:rPr>
        <w:t xml:space="preserve"> </w:t>
      </w:r>
      <w:r w:rsidR="006F3BFF">
        <w:rPr>
          <w:sz w:val="24"/>
          <w:szCs w:val="24"/>
        </w:rPr>
        <w:t>Our team contends that t</w:t>
      </w:r>
      <w:r w:rsidR="007E5802">
        <w:rPr>
          <w:sz w:val="24"/>
          <w:szCs w:val="24"/>
        </w:rPr>
        <w:t>he potential impact of the standard</w:t>
      </w:r>
      <w:r w:rsidR="002E674F">
        <w:rPr>
          <w:sz w:val="24"/>
          <w:szCs w:val="24"/>
        </w:rPr>
        <w:t xml:space="preserve"> upon gas and product sales, and the </w:t>
      </w:r>
      <w:proofErr w:type="spellStart"/>
      <w:r w:rsidR="000B4066">
        <w:rPr>
          <w:sz w:val="24"/>
          <w:szCs w:val="24"/>
        </w:rPr>
        <w:t>SoCalGas</w:t>
      </w:r>
      <w:r w:rsidR="002E674F">
        <w:rPr>
          <w:sz w:val="24"/>
          <w:szCs w:val="24"/>
        </w:rPr>
        <w:t>’</w:t>
      </w:r>
      <w:r w:rsidR="007F514B">
        <w:rPr>
          <w:sz w:val="24"/>
          <w:szCs w:val="24"/>
        </w:rPr>
        <w:t>s</w:t>
      </w:r>
      <w:proofErr w:type="spellEnd"/>
      <w:r w:rsidR="007F514B">
        <w:rPr>
          <w:sz w:val="24"/>
          <w:szCs w:val="24"/>
        </w:rPr>
        <w:t xml:space="preserve"> energy efficiency program portfolio</w:t>
      </w:r>
      <w:r w:rsidR="002E674F">
        <w:rPr>
          <w:sz w:val="24"/>
          <w:szCs w:val="24"/>
        </w:rPr>
        <w:t xml:space="preserve"> is significant.</w:t>
      </w:r>
    </w:p>
    <w:p w14:paraId="105676D6" w14:textId="77777777" w:rsidR="00367E36" w:rsidRPr="00DE4FF1" w:rsidRDefault="006F3BFF" w:rsidP="00DE4FF1">
      <w:pPr>
        <w:rPr>
          <w:sz w:val="24"/>
          <w:szCs w:val="24"/>
        </w:rPr>
      </w:pPr>
      <w:r>
        <w:rPr>
          <w:sz w:val="24"/>
          <w:szCs w:val="24"/>
        </w:rPr>
        <w:t>T</w:t>
      </w:r>
      <w:r w:rsidR="00653DAD">
        <w:rPr>
          <w:sz w:val="24"/>
          <w:szCs w:val="24"/>
        </w:rPr>
        <w:t xml:space="preserve">his is an </w:t>
      </w:r>
      <w:r w:rsidR="00653DAD" w:rsidRPr="00DB137A">
        <w:rPr>
          <w:i/>
          <w:sz w:val="24"/>
          <w:szCs w:val="24"/>
        </w:rPr>
        <w:t>interim</w:t>
      </w:r>
      <w:r>
        <w:rPr>
          <w:i/>
          <w:sz w:val="24"/>
          <w:szCs w:val="24"/>
        </w:rPr>
        <w:t>, internal</w:t>
      </w:r>
      <w:r w:rsidR="00653DAD" w:rsidRPr="00DB137A">
        <w:rPr>
          <w:i/>
          <w:sz w:val="24"/>
          <w:szCs w:val="24"/>
        </w:rPr>
        <w:t xml:space="preserve"> memo</w:t>
      </w:r>
      <w:r w:rsidR="00653DAD">
        <w:rPr>
          <w:sz w:val="24"/>
          <w:szCs w:val="24"/>
        </w:rPr>
        <w:t xml:space="preserve"> designed to </w:t>
      </w:r>
      <w:r w:rsidR="00142598">
        <w:rPr>
          <w:sz w:val="24"/>
          <w:szCs w:val="24"/>
        </w:rPr>
        <w:t>g</w:t>
      </w:r>
      <w:r w:rsidR="00653DAD">
        <w:rPr>
          <w:sz w:val="24"/>
          <w:szCs w:val="24"/>
        </w:rPr>
        <w:t xml:space="preserve">ive the </w:t>
      </w:r>
      <w:r w:rsidR="000B4066">
        <w:rPr>
          <w:sz w:val="24"/>
          <w:szCs w:val="24"/>
        </w:rPr>
        <w:t>SoCalGas</w:t>
      </w:r>
      <w:r w:rsidR="00653DAD">
        <w:rPr>
          <w:sz w:val="24"/>
          <w:szCs w:val="24"/>
        </w:rPr>
        <w:t xml:space="preserve"> </w:t>
      </w:r>
      <w:r w:rsidR="00DB137A">
        <w:rPr>
          <w:sz w:val="24"/>
          <w:szCs w:val="24"/>
        </w:rPr>
        <w:t xml:space="preserve">quick, </w:t>
      </w:r>
      <w:r w:rsidR="00142598">
        <w:rPr>
          <w:sz w:val="24"/>
          <w:szCs w:val="24"/>
        </w:rPr>
        <w:t xml:space="preserve">general </w:t>
      </w:r>
      <w:r w:rsidR="00653DAD">
        <w:rPr>
          <w:sz w:val="24"/>
          <w:szCs w:val="24"/>
        </w:rPr>
        <w:t>guidance while other ongoi</w:t>
      </w:r>
      <w:r w:rsidR="00142598">
        <w:rPr>
          <w:sz w:val="24"/>
          <w:szCs w:val="24"/>
        </w:rPr>
        <w:t xml:space="preserve">ng technical tasks </w:t>
      </w:r>
      <w:r w:rsidR="00E560F2">
        <w:rPr>
          <w:sz w:val="24"/>
          <w:szCs w:val="24"/>
        </w:rPr>
        <w:t xml:space="preserve">related to this NOPR </w:t>
      </w:r>
      <w:r w:rsidR="00142598">
        <w:rPr>
          <w:sz w:val="24"/>
          <w:szCs w:val="24"/>
        </w:rPr>
        <w:t>are completed</w:t>
      </w:r>
      <w:r w:rsidR="00DB137A">
        <w:rPr>
          <w:sz w:val="24"/>
          <w:szCs w:val="24"/>
        </w:rPr>
        <w:t xml:space="preserve"> in the near future</w:t>
      </w:r>
      <w:r w:rsidR="00142598">
        <w:rPr>
          <w:sz w:val="24"/>
          <w:szCs w:val="24"/>
        </w:rPr>
        <w:t>.</w:t>
      </w:r>
      <w:r>
        <w:rPr>
          <w:sz w:val="24"/>
          <w:szCs w:val="24"/>
        </w:rPr>
        <w:t xml:space="preserve">  In addition to the historical and process review of this NOPR contained within, the </w:t>
      </w:r>
      <w:r w:rsidR="000B4066">
        <w:rPr>
          <w:sz w:val="24"/>
          <w:szCs w:val="24"/>
        </w:rPr>
        <w:t>SoCalGas</w:t>
      </w:r>
      <w:r>
        <w:rPr>
          <w:sz w:val="24"/>
          <w:szCs w:val="24"/>
        </w:rPr>
        <w:t xml:space="preserve"> was </w:t>
      </w:r>
      <w:r>
        <w:rPr>
          <w:sz w:val="24"/>
          <w:szCs w:val="24"/>
        </w:rPr>
        <w:lastRenderedPageBreak/>
        <w:t xml:space="preserve">also interested in </w:t>
      </w:r>
      <w:r w:rsidR="001E2DE0">
        <w:rPr>
          <w:sz w:val="24"/>
          <w:szCs w:val="24"/>
        </w:rPr>
        <w:t>an exhaustive review of the Crystal B</w:t>
      </w:r>
      <w:r w:rsidR="00142598">
        <w:rPr>
          <w:sz w:val="24"/>
          <w:szCs w:val="24"/>
        </w:rPr>
        <w:t>all software used by the DOE</w:t>
      </w:r>
      <w:r w:rsidR="00DB137A">
        <w:rPr>
          <w:sz w:val="24"/>
          <w:szCs w:val="24"/>
        </w:rPr>
        <w:t xml:space="preserve"> </w:t>
      </w:r>
      <w:r>
        <w:rPr>
          <w:sz w:val="24"/>
          <w:szCs w:val="24"/>
        </w:rPr>
        <w:t>as part of the analysis behind their NOPR.  A</w:t>
      </w:r>
      <w:r w:rsidR="00142598">
        <w:rPr>
          <w:sz w:val="24"/>
          <w:szCs w:val="24"/>
        </w:rPr>
        <w:t xml:space="preserve">n expert </w:t>
      </w:r>
      <w:r w:rsidR="00DB137A">
        <w:rPr>
          <w:sz w:val="24"/>
          <w:szCs w:val="24"/>
        </w:rPr>
        <w:t>at the Gas Technology Institute (GTI)</w:t>
      </w:r>
      <w:r w:rsidR="00142598">
        <w:rPr>
          <w:sz w:val="24"/>
          <w:szCs w:val="24"/>
        </w:rPr>
        <w:t xml:space="preserve"> </w:t>
      </w:r>
      <w:r w:rsidR="00EA5BB2">
        <w:rPr>
          <w:sz w:val="24"/>
          <w:szCs w:val="24"/>
        </w:rPr>
        <w:t>familiar with the Crystal Ball</w:t>
      </w:r>
      <w:r>
        <w:rPr>
          <w:sz w:val="24"/>
          <w:szCs w:val="24"/>
        </w:rPr>
        <w:t xml:space="preserve"> software </w:t>
      </w:r>
      <w:r w:rsidR="00EA5BB2">
        <w:rPr>
          <w:sz w:val="24"/>
          <w:szCs w:val="24"/>
        </w:rPr>
        <w:t>was contacted by</w:t>
      </w:r>
      <w:r w:rsidR="00E560F2">
        <w:rPr>
          <w:sz w:val="24"/>
          <w:szCs w:val="24"/>
        </w:rPr>
        <w:t xml:space="preserve"> this team</w:t>
      </w:r>
      <w:r w:rsidR="00EA5BB2">
        <w:rPr>
          <w:sz w:val="24"/>
          <w:szCs w:val="24"/>
        </w:rPr>
        <w:t xml:space="preserve"> and</w:t>
      </w:r>
      <w:r w:rsidR="00EA5BB2" w:rsidRPr="00EA5BB2">
        <w:rPr>
          <w:sz w:val="24"/>
          <w:szCs w:val="24"/>
        </w:rPr>
        <w:t xml:space="preserve"> </w:t>
      </w:r>
      <w:r w:rsidR="00EA5BB2">
        <w:rPr>
          <w:sz w:val="24"/>
          <w:szCs w:val="24"/>
        </w:rPr>
        <w:t xml:space="preserve">suggested to </w:t>
      </w:r>
      <w:r w:rsidR="000B4066">
        <w:rPr>
          <w:sz w:val="24"/>
          <w:szCs w:val="24"/>
        </w:rPr>
        <w:t>SoCalGas</w:t>
      </w:r>
      <w:r w:rsidR="00EA5BB2">
        <w:rPr>
          <w:sz w:val="24"/>
          <w:szCs w:val="24"/>
        </w:rPr>
        <w:t xml:space="preserve"> officials to forgo analysis of Crystal Ball because </w:t>
      </w:r>
      <w:r w:rsidR="00DB137A">
        <w:rPr>
          <w:sz w:val="24"/>
          <w:szCs w:val="24"/>
        </w:rPr>
        <w:t>such</w:t>
      </w:r>
      <w:r w:rsidR="00142598">
        <w:rPr>
          <w:sz w:val="24"/>
          <w:szCs w:val="24"/>
        </w:rPr>
        <w:t xml:space="preserve"> analysis would take three months or more, </w:t>
      </w:r>
      <w:r w:rsidR="00367E36">
        <w:rPr>
          <w:sz w:val="24"/>
          <w:szCs w:val="24"/>
        </w:rPr>
        <w:t xml:space="preserve">and anything less than that </w:t>
      </w:r>
      <w:r w:rsidR="00EA5BB2">
        <w:rPr>
          <w:sz w:val="24"/>
          <w:szCs w:val="24"/>
        </w:rPr>
        <w:t>could</w:t>
      </w:r>
      <w:r w:rsidR="00367E36">
        <w:rPr>
          <w:sz w:val="24"/>
          <w:szCs w:val="24"/>
        </w:rPr>
        <w:t xml:space="preserve"> expose the </w:t>
      </w:r>
      <w:r w:rsidR="000B4066">
        <w:rPr>
          <w:sz w:val="24"/>
          <w:szCs w:val="24"/>
        </w:rPr>
        <w:t>SoCalGas</w:t>
      </w:r>
      <w:r w:rsidR="00367E36">
        <w:rPr>
          <w:sz w:val="24"/>
          <w:szCs w:val="24"/>
        </w:rPr>
        <w:t xml:space="preserve"> </w:t>
      </w:r>
      <w:r w:rsidR="00EA5BB2">
        <w:rPr>
          <w:sz w:val="24"/>
          <w:szCs w:val="24"/>
        </w:rPr>
        <w:t xml:space="preserve">due </w:t>
      </w:r>
      <w:r w:rsidR="00367E36">
        <w:rPr>
          <w:sz w:val="24"/>
          <w:szCs w:val="24"/>
        </w:rPr>
        <w:t>to</w:t>
      </w:r>
      <w:r w:rsidR="00EA5BB2">
        <w:rPr>
          <w:sz w:val="24"/>
          <w:szCs w:val="24"/>
        </w:rPr>
        <w:t xml:space="preserve"> incorrect results from</w:t>
      </w:r>
      <w:r w:rsidR="00367E36">
        <w:rPr>
          <w:sz w:val="24"/>
          <w:szCs w:val="24"/>
        </w:rPr>
        <w:t xml:space="preserve"> incomplete or incorrect data and assumptions</w:t>
      </w:r>
      <w:r w:rsidR="00EA5BB2">
        <w:rPr>
          <w:sz w:val="24"/>
          <w:szCs w:val="24"/>
        </w:rPr>
        <w:t xml:space="preserve">.  Thus, </w:t>
      </w:r>
      <w:r w:rsidR="00367E36">
        <w:rPr>
          <w:sz w:val="24"/>
          <w:szCs w:val="24"/>
        </w:rPr>
        <w:t>the short-term scope</w:t>
      </w:r>
      <w:r w:rsidR="00EA5BB2">
        <w:rPr>
          <w:sz w:val="24"/>
          <w:szCs w:val="24"/>
        </w:rPr>
        <w:t xml:space="preserve"> of this effort</w:t>
      </w:r>
      <w:r w:rsidR="00367E36">
        <w:rPr>
          <w:sz w:val="24"/>
          <w:szCs w:val="24"/>
        </w:rPr>
        <w:t xml:space="preserve"> was </w:t>
      </w:r>
      <w:r w:rsidR="00EA5BB2">
        <w:rPr>
          <w:sz w:val="24"/>
          <w:szCs w:val="24"/>
        </w:rPr>
        <w:t>limited</w:t>
      </w:r>
      <w:r w:rsidR="00367E36">
        <w:rPr>
          <w:sz w:val="24"/>
          <w:szCs w:val="24"/>
        </w:rPr>
        <w:t xml:space="preserve"> to focus on </w:t>
      </w:r>
      <w:r w:rsidR="002B122B">
        <w:rPr>
          <w:sz w:val="24"/>
          <w:szCs w:val="24"/>
        </w:rPr>
        <w:t>an</w:t>
      </w:r>
      <w:r w:rsidR="00367E36">
        <w:rPr>
          <w:sz w:val="24"/>
          <w:szCs w:val="24"/>
        </w:rPr>
        <w:t xml:space="preserve"> analysis</w:t>
      </w:r>
      <w:r w:rsidR="00DB137A">
        <w:rPr>
          <w:sz w:val="24"/>
          <w:szCs w:val="24"/>
        </w:rPr>
        <w:t xml:space="preserve"> </w:t>
      </w:r>
      <w:r w:rsidR="002B122B">
        <w:rPr>
          <w:sz w:val="24"/>
          <w:szCs w:val="24"/>
        </w:rPr>
        <w:t xml:space="preserve">of the process and its immediate implications to the </w:t>
      </w:r>
      <w:r w:rsidR="000B4066">
        <w:rPr>
          <w:sz w:val="24"/>
          <w:szCs w:val="24"/>
        </w:rPr>
        <w:t>SoCalGas</w:t>
      </w:r>
      <w:r w:rsidR="002B122B">
        <w:rPr>
          <w:sz w:val="24"/>
          <w:szCs w:val="24"/>
        </w:rPr>
        <w:t xml:space="preserve">, which are contained </w:t>
      </w:r>
      <w:r w:rsidR="00DB137A">
        <w:rPr>
          <w:sz w:val="24"/>
          <w:szCs w:val="24"/>
        </w:rPr>
        <w:t xml:space="preserve">within this memorandum. The </w:t>
      </w:r>
      <w:r w:rsidR="000B4066">
        <w:rPr>
          <w:sz w:val="24"/>
          <w:szCs w:val="24"/>
        </w:rPr>
        <w:t>SoCalGas</w:t>
      </w:r>
      <w:r w:rsidR="00DB137A">
        <w:rPr>
          <w:sz w:val="24"/>
          <w:szCs w:val="24"/>
        </w:rPr>
        <w:t xml:space="preserve"> </w:t>
      </w:r>
      <w:r w:rsidR="009E4A5B">
        <w:rPr>
          <w:sz w:val="24"/>
          <w:szCs w:val="24"/>
        </w:rPr>
        <w:t>may wis</w:t>
      </w:r>
      <w:r w:rsidR="002B122B">
        <w:rPr>
          <w:sz w:val="24"/>
          <w:szCs w:val="24"/>
        </w:rPr>
        <w:t>h to</w:t>
      </w:r>
      <w:r w:rsidR="00DB137A">
        <w:rPr>
          <w:sz w:val="24"/>
          <w:szCs w:val="24"/>
        </w:rPr>
        <w:t xml:space="preserve"> follow</w:t>
      </w:r>
      <w:r w:rsidR="00367E36">
        <w:rPr>
          <w:sz w:val="24"/>
          <w:szCs w:val="24"/>
        </w:rPr>
        <w:t xml:space="preserve"> </w:t>
      </w:r>
      <w:r w:rsidR="00DB137A">
        <w:rPr>
          <w:sz w:val="24"/>
          <w:szCs w:val="24"/>
        </w:rPr>
        <w:t>this</w:t>
      </w:r>
      <w:r w:rsidR="00666179">
        <w:rPr>
          <w:sz w:val="24"/>
          <w:szCs w:val="24"/>
        </w:rPr>
        <w:t xml:space="preserve"> memorandum</w:t>
      </w:r>
      <w:r w:rsidR="00DB137A">
        <w:rPr>
          <w:sz w:val="24"/>
          <w:szCs w:val="24"/>
        </w:rPr>
        <w:t xml:space="preserve"> with </w:t>
      </w:r>
      <w:r w:rsidR="00367E36">
        <w:rPr>
          <w:sz w:val="24"/>
          <w:szCs w:val="24"/>
        </w:rPr>
        <w:t>a</w:t>
      </w:r>
      <w:r w:rsidR="00DB137A">
        <w:rPr>
          <w:sz w:val="24"/>
          <w:szCs w:val="24"/>
        </w:rPr>
        <w:t xml:space="preserve"> more detailed</w:t>
      </w:r>
      <w:r w:rsidR="00367E36">
        <w:rPr>
          <w:sz w:val="24"/>
          <w:szCs w:val="24"/>
        </w:rPr>
        <w:t xml:space="preserve"> regional (C</w:t>
      </w:r>
      <w:r w:rsidR="001E2DE0">
        <w:rPr>
          <w:sz w:val="24"/>
          <w:szCs w:val="24"/>
        </w:rPr>
        <w:t xml:space="preserve">alifornia-specific) </w:t>
      </w:r>
      <w:r w:rsidR="002B122B">
        <w:rPr>
          <w:sz w:val="24"/>
          <w:szCs w:val="24"/>
        </w:rPr>
        <w:t>review and analysis</w:t>
      </w:r>
      <w:r w:rsidR="001E2DE0">
        <w:rPr>
          <w:sz w:val="24"/>
          <w:szCs w:val="24"/>
        </w:rPr>
        <w:t xml:space="preserve"> of the Crystal B</w:t>
      </w:r>
      <w:r w:rsidR="00367E36">
        <w:rPr>
          <w:sz w:val="24"/>
          <w:szCs w:val="24"/>
        </w:rPr>
        <w:t>all software—which DOE has not done to date.</w:t>
      </w:r>
      <w:r w:rsidR="0049552D">
        <w:rPr>
          <w:sz w:val="24"/>
          <w:szCs w:val="24"/>
        </w:rPr>
        <w:t xml:space="preserve"> </w:t>
      </w:r>
    </w:p>
    <w:p w14:paraId="60199CB3" w14:textId="77777777" w:rsidR="00AA0447" w:rsidRPr="0008105F" w:rsidRDefault="00AA0447" w:rsidP="00AA0447">
      <w:pPr>
        <w:spacing w:after="0" w:line="240" w:lineRule="auto"/>
        <w:rPr>
          <w:b/>
          <w:sz w:val="24"/>
          <w:szCs w:val="24"/>
        </w:rPr>
      </w:pPr>
      <w:r w:rsidRPr="0008105F">
        <w:rPr>
          <w:b/>
          <w:sz w:val="24"/>
          <w:szCs w:val="24"/>
        </w:rPr>
        <w:t>This</w:t>
      </w:r>
      <w:r w:rsidR="00D742A2" w:rsidRPr="0008105F">
        <w:rPr>
          <w:b/>
          <w:sz w:val="24"/>
          <w:szCs w:val="24"/>
        </w:rPr>
        <w:t xml:space="preserve"> memorandum is organized across </w:t>
      </w:r>
      <w:r w:rsidR="006A3F49">
        <w:rPr>
          <w:b/>
          <w:sz w:val="24"/>
          <w:szCs w:val="24"/>
        </w:rPr>
        <w:t>four</w:t>
      </w:r>
      <w:r w:rsidR="006A3F49" w:rsidRPr="0008105F">
        <w:rPr>
          <w:b/>
          <w:sz w:val="24"/>
          <w:szCs w:val="24"/>
        </w:rPr>
        <w:t xml:space="preserve"> </w:t>
      </w:r>
      <w:r w:rsidRPr="0008105F">
        <w:rPr>
          <w:b/>
          <w:sz w:val="24"/>
          <w:szCs w:val="24"/>
        </w:rPr>
        <w:t>primary areas:</w:t>
      </w:r>
    </w:p>
    <w:p w14:paraId="519D5844" w14:textId="77777777" w:rsidR="00AA0447" w:rsidRDefault="00AA0447" w:rsidP="00AA0447">
      <w:pPr>
        <w:spacing w:after="0" w:line="240" w:lineRule="auto"/>
        <w:rPr>
          <w:sz w:val="24"/>
          <w:szCs w:val="24"/>
        </w:rPr>
      </w:pPr>
    </w:p>
    <w:p w14:paraId="1C500F5B" w14:textId="77777777" w:rsidR="00691E22" w:rsidRPr="00870826" w:rsidRDefault="000801BC" w:rsidP="00870826">
      <w:pPr>
        <w:pStyle w:val="ListParagraph"/>
        <w:numPr>
          <w:ilvl w:val="0"/>
          <w:numId w:val="8"/>
        </w:numPr>
        <w:spacing w:after="0" w:line="240" w:lineRule="auto"/>
        <w:rPr>
          <w:b/>
          <w:sz w:val="24"/>
          <w:szCs w:val="24"/>
        </w:rPr>
      </w:pPr>
      <w:r w:rsidRPr="00870826">
        <w:rPr>
          <w:b/>
          <w:sz w:val="24"/>
          <w:szCs w:val="24"/>
        </w:rPr>
        <w:t>Executive Summary</w:t>
      </w:r>
    </w:p>
    <w:p w14:paraId="4669EA0E" w14:textId="77777777" w:rsidR="00AA0447" w:rsidRPr="00870826" w:rsidRDefault="00AA0447" w:rsidP="00666179">
      <w:pPr>
        <w:pStyle w:val="ListParagraph"/>
        <w:numPr>
          <w:ilvl w:val="0"/>
          <w:numId w:val="8"/>
        </w:numPr>
        <w:spacing w:after="0" w:line="240" w:lineRule="auto"/>
        <w:rPr>
          <w:b/>
          <w:sz w:val="24"/>
          <w:szCs w:val="24"/>
        </w:rPr>
      </w:pPr>
      <w:r w:rsidRPr="00870826">
        <w:rPr>
          <w:b/>
          <w:sz w:val="24"/>
          <w:szCs w:val="24"/>
        </w:rPr>
        <w:t>Important History and Background Information of the NOPR</w:t>
      </w:r>
    </w:p>
    <w:p w14:paraId="6844E650" w14:textId="77777777" w:rsidR="00AA0447" w:rsidRPr="00870826" w:rsidRDefault="00AA0447" w:rsidP="00AA0447">
      <w:pPr>
        <w:pStyle w:val="ListParagraph"/>
        <w:numPr>
          <w:ilvl w:val="0"/>
          <w:numId w:val="8"/>
        </w:numPr>
        <w:spacing w:after="0" w:line="240" w:lineRule="auto"/>
        <w:rPr>
          <w:b/>
          <w:sz w:val="24"/>
          <w:szCs w:val="24"/>
        </w:rPr>
      </w:pPr>
      <w:r w:rsidRPr="00870826">
        <w:rPr>
          <w:b/>
          <w:sz w:val="24"/>
          <w:szCs w:val="24"/>
        </w:rPr>
        <w:t>Life</w:t>
      </w:r>
      <w:r w:rsidR="007170C4" w:rsidRPr="00870826">
        <w:rPr>
          <w:b/>
          <w:sz w:val="24"/>
          <w:szCs w:val="24"/>
        </w:rPr>
        <w:t xml:space="preserve"> C</w:t>
      </w:r>
      <w:r w:rsidRPr="00870826">
        <w:rPr>
          <w:b/>
          <w:sz w:val="24"/>
          <w:szCs w:val="24"/>
        </w:rPr>
        <w:t>yc</w:t>
      </w:r>
      <w:r w:rsidR="00645AAD">
        <w:rPr>
          <w:b/>
          <w:sz w:val="24"/>
          <w:szCs w:val="24"/>
        </w:rPr>
        <w:t xml:space="preserve">le Cost </w:t>
      </w:r>
      <w:r w:rsidR="007170C4" w:rsidRPr="00870826">
        <w:rPr>
          <w:b/>
          <w:sz w:val="24"/>
          <w:szCs w:val="24"/>
        </w:rPr>
        <w:t>(LCC)</w:t>
      </w:r>
      <w:r w:rsidR="00645AAD">
        <w:rPr>
          <w:b/>
          <w:sz w:val="24"/>
          <w:szCs w:val="24"/>
        </w:rPr>
        <w:t xml:space="preserve"> Summary Comments</w:t>
      </w:r>
    </w:p>
    <w:p w14:paraId="364472FD" w14:textId="77777777" w:rsidR="006A3F49" w:rsidRPr="00870826" w:rsidRDefault="00AA0447" w:rsidP="00691E22">
      <w:pPr>
        <w:pStyle w:val="ListParagraph"/>
        <w:numPr>
          <w:ilvl w:val="0"/>
          <w:numId w:val="8"/>
        </w:numPr>
        <w:spacing w:after="0" w:line="240" w:lineRule="auto"/>
        <w:rPr>
          <w:b/>
          <w:sz w:val="24"/>
          <w:szCs w:val="24"/>
        </w:rPr>
      </w:pPr>
      <w:r w:rsidRPr="00870826">
        <w:rPr>
          <w:b/>
          <w:sz w:val="24"/>
          <w:szCs w:val="24"/>
        </w:rPr>
        <w:t>Summary Thoughts and Recommendations</w:t>
      </w:r>
    </w:p>
    <w:p w14:paraId="7AFC2B46" w14:textId="77777777" w:rsidR="006A3F49" w:rsidRPr="0008105F" w:rsidRDefault="006A3F49" w:rsidP="0008105F">
      <w:pPr>
        <w:spacing w:after="0" w:line="240" w:lineRule="auto"/>
        <w:rPr>
          <w:b/>
          <w:sz w:val="24"/>
          <w:szCs w:val="24"/>
        </w:rPr>
      </w:pPr>
    </w:p>
    <w:p w14:paraId="371514B1" w14:textId="77777777" w:rsidR="006A3F49" w:rsidRDefault="006A3F49" w:rsidP="0008105F">
      <w:r>
        <w:rPr>
          <w:b/>
          <w:sz w:val="24"/>
          <w:szCs w:val="24"/>
        </w:rPr>
        <w:t>Additional detail is provided in attached appendices:</w:t>
      </w:r>
    </w:p>
    <w:p w14:paraId="3EC7924F" w14:textId="77777777" w:rsidR="00645AAD" w:rsidRDefault="00F9565F" w:rsidP="00666179">
      <w:pPr>
        <w:pStyle w:val="ListParagraph"/>
        <w:spacing w:after="0" w:line="240" w:lineRule="auto"/>
        <w:rPr>
          <w:b/>
          <w:sz w:val="24"/>
          <w:szCs w:val="24"/>
        </w:rPr>
      </w:pPr>
      <w:r>
        <w:rPr>
          <w:b/>
          <w:sz w:val="24"/>
          <w:szCs w:val="24"/>
        </w:rPr>
        <w:t>A</w:t>
      </w:r>
      <w:r w:rsidR="00666179" w:rsidRPr="00870826">
        <w:rPr>
          <w:b/>
          <w:sz w:val="24"/>
          <w:szCs w:val="24"/>
        </w:rPr>
        <w:t xml:space="preserve">) </w:t>
      </w:r>
      <w:r w:rsidR="00645AAD">
        <w:rPr>
          <w:b/>
          <w:sz w:val="24"/>
          <w:szCs w:val="24"/>
        </w:rPr>
        <w:t>Life Cycle Cost (LCC) Analysis and Comments</w:t>
      </w:r>
    </w:p>
    <w:p w14:paraId="0944A988" w14:textId="77777777" w:rsidR="00666179" w:rsidRPr="00870826" w:rsidRDefault="00F9565F" w:rsidP="00666179">
      <w:pPr>
        <w:pStyle w:val="ListParagraph"/>
        <w:spacing w:after="0" w:line="240" w:lineRule="auto"/>
        <w:rPr>
          <w:b/>
          <w:sz w:val="24"/>
          <w:szCs w:val="24"/>
        </w:rPr>
      </w:pPr>
      <w:r>
        <w:rPr>
          <w:b/>
          <w:sz w:val="24"/>
          <w:szCs w:val="24"/>
        </w:rPr>
        <w:t>B</w:t>
      </w:r>
      <w:r w:rsidR="00645AAD">
        <w:rPr>
          <w:b/>
          <w:sz w:val="24"/>
          <w:szCs w:val="24"/>
        </w:rPr>
        <w:t xml:space="preserve">) </w:t>
      </w:r>
      <w:r w:rsidR="00666179" w:rsidRPr="00870826">
        <w:rPr>
          <w:b/>
          <w:sz w:val="24"/>
          <w:szCs w:val="24"/>
        </w:rPr>
        <w:t xml:space="preserve">Major </w:t>
      </w:r>
      <w:r w:rsidR="000B4066">
        <w:rPr>
          <w:b/>
          <w:sz w:val="24"/>
          <w:szCs w:val="24"/>
        </w:rPr>
        <w:t>SoCalGas</w:t>
      </w:r>
      <w:r w:rsidR="00666179" w:rsidRPr="00870826">
        <w:rPr>
          <w:b/>
          <w:sz w:val="24"/>
          <w:szCs w:val="24"/>
        </w:rPr>
        <w:t xml:space="preserve"> Issues in 2011 and 2015</w:t>
      </w:r>
    </w:p>
    <w:p w14:paraId="2A288F2A" w14:textId="77777777" w:rsidR="00645AAD" w:rsidRDefault="00F9565F" w:rsidP="00757E45">
      <w:pPr>
        <w:pStyle w:val="ListParagraph"/>
        <w:spacing w:after="0" w:line="240" w:lineRule="auto"/>
        <w:rPr>
          <w:b/>
          <w:sz w:val="24"/>
          <w:szCs w:val="24"/>
        </w:rPr>
      </w:pPr>
      <w:r>
        <w:rPr>
          <w:b/>
          <w:sz w:val="24"/>
          <w:szCs w:val="24"/>
        </w:rPr>
        <w:t>C</w:t>
      </w:r>
      <w:r w:rsidR="00666179" w:rsidRPr="00870826">
        <w:rPr>
          <w:b/>
          <w:sz w:val="24"/>
          <w:szCs w:val="24"/>
        </w:rPr>
        <w:t>) Stakeholder Involvement in 2011 and 2015</w:t>
      </w:r>
    </w:p>
    <w:p w14:paraId="7109000B" w14:textId="77777777" w:rsidR="00F9565F" w:rsidRDefault="00F9565F" w:rsidP="00757E45">
      <w:pPr>
        <w:pStyle w:val="ListParagraph"/>
        <w:spacing w:after="0" w:line="240" w:lineRule="auto"/>
        <w:rPr>
          <w:b/>
          <w:sz w:val="24"/>
          <w:szCs w:val="24"/>
        </w:rPr>
      </w:pPr>
      <w:r>
        <w:rPr>
          <w:b/>
          <w:sz w:val="24"/>
          <w:szCs w:val="24"/>
        </w:rPr>
        <w:t xml:space="preserve">D) DOE Criticism </w:t>
      </w:r>
      <w:r w:rsidR="00E217B2">
        <w:rPr>
          <w:b/>
          <w:sz w:val="24"/>
          <w:szCs w:val="24"/>
        </w:rPr>
        <w:t xml:space="preserve">in </w:t>
      </w:r>
      <w:r>
        <w:rPr>
          <w:b/>
          <w:sz w:val="24"/>
          <w:szCs w:val="24"/>
        </w:rPr>
        <w:t>2011 and 2015</w:t>
      </w:r>
    </w:p>
    <w:p w14:paraId="01539246" w14:textId="77777777" w:rsidR="00797F0D" w:rsidRDefault="00797F0D" w:rsidP="00757E45">
      <w:pPr>
        <w:pStyle w:val="ListParagraph"/>
        <w:spacing w:after="0" w:line="240" w:lineRule="auto"/>
        <w:rPr>
          <w:b/>
          <w:sz w:val="24"/>
          <w:szCs w:val="24"/>
        </w:rPr>
      </w:pPr>
      <w:r>
        <w:rPr>
          <w:b/>
          <w:sz w:val="24"/>
          <w:szCs w:val="24"/>
        </w:rPr>
        <w:t>E) Additional DOE Documents of Interest</w:t>
      </w:r>
    </w:p>
    <w:p w14:paraId="7E1F26AC" w14:textId="77777777" w:rsidR="00332E89" w:rsidRPr="00870826" w:rsidRDefault="00332E89" w:rsidP="00757E45">
      <w:pPr>
        <w:pStyle w:val="ListParagraph"/>
        <w:spacing w:after="0" w:line="240" w:lineRule="auto"/>
        <w:rPr>
          <w:b/>
          <w:sz w:val="24"/>
          <w:szCs w:val="24"/>
        </w:rPr>
      </w:pPr>
      <w:r>
        <w:rPr>
          <w:b/>
          <w:sz w:val="24"/>
          <w:szCs w:val="24"/>
        </w:rPr>
        <w:t>F) References</w:t>
      </w:r>
    </w:p>
    <w:p w14:paraId="0C1B8AE0" w14:textId="77777777" w:rsidR="00757E45" w:rsidRPr="00757E45" w:rsidRDefault="00757E45" w:rsidP="00757E45">
      <w:pPr>
        <w:pStyle w:val="ListParagraph"/>
        <w:spacing w:after="0" w:line="240" w:lineRule="auto"/>
        <w:rPr>
          <w:sz w:val="24"/>
          <w:szCs w:val="24"/>
        </w:rPr>
      </w:pPr>
    </w:p>
    <w:p w14:paraId="17AB7218" w14:textId="77777777" w:rsidR="000801BC" w:rsidRDefault="00F11E98" w:rsidP="00DE4FF1">
      <w:pPr>
        <w:rPr>
          <w:b/>
          <w:sz w:val="24"/>
          <w:szCs w:val="24"/>
        </w:rPr>
      </w:pPr>
      <w:r>
        <w:rPr>
          <w:b/>
          <w:sz w:val="24"/>
          <w:szCs w:val="24"/>
        </w:rPr>
        <w:t>I</w:t>
      </w:r>
      <w:r w:rsidR="00691E22" w:rsidRPr="00F11E98">
        <w:rPr>
          <w:b/>
          <w:sz w:val="24"/>
          <w:szCs w:val="24"/>
        </w:rPr>
        <w:t xml:space="preserve">. </w:t>
      </w:r>
      <w:r w:rsidR="000801BC">
        <w:rPr>
          <w:b/>
          <w:sz w:val="24"/>
          <w:szCs w:val="24"/>
        </w:rPr>
        <w:t>Executive Summary</w:t>
      </w:r>
    </w:p>
    <w:p w14:paraId="2744B778" w14:textId="77777777" w:rsidR="002B122B" w:rsidRDefault="005D29B0" w:rsidP="00DE4FF1">
      <w:pPr>
        <w:rPr>
          <w:sz w:val="24"/>
          <w:szCs w:val="24"/>
        </w:rPr>
      </w:pPr>
      <w:r>
        <w:rPr>
          <w:sz w:val="24"/>
          <w:szCs w:val="24"/>
        </w:rPr>
        <w:t>As evidenced in the timeline</w:t>
      </w:r>
      <w:r w:rsidR="00364B24">
        <w:rPr>
          <w:sz w:val="24"/>
          <w:szCs w:val="24"/>
        </w:rPr>
        <w:t xml:space="preserve"> on page 8</w:t>
      </w:r>
      <w:r>
        <w:rPr>
          <w:sz w:val="24"/>
          <w:szCs w:val="24"/>
        </w:rPr>
        <w:t xml:space="preserve"> the </w:t>
      </w:r>
      <w:r w:rsidR="00957420">
        <w:rPr>
          <w:sz w:val="24"/>
          <w:szCs w:val="24"/>
        </w:rPr>
        <w:t>U.S. Department of Energy (</w:t>
      </w:r>
      <w:r>
        <w:rPr>
          <w:sz w:val="24"/>
          <w:szCs w:val="24"/>
        </w:rPr>
        <w:t>DOE</w:t>
      </w:r>
      <w:r w:rsidR="00957420">
        <w:rPr>
          <w:sz w:val="24"/>
          <w:szCs w:val="24"/>
        </w:rPr>
        <w:t>)</w:t>
      </w:r>
      <w:r>
        <w:rPr>
          <w:sz w:val="24"/>
          <w:szCs w:val="24"/>
        </w:rPr>
        <w:t xml:space="preserve"> NOPR has been underway since 2007, roughly eight years. C</w:t>
      </w:r>
      <w:r w:rsidRPr="005D29B0">
        <w:rPr>
          <w:sz w:val="24"/>
          <w:szCs w:val="24"/>
        </w:rPr>
        <w:t xml:space="preserve">omments on the </w:t>
      </w:r>
      <w:r w:rsidR="00115C5E">
        <w:rPr>
          <w:sz w:val="24"/>
          <w:szCs w:val="24"/>
        </w:rPr>
        <w:t xml:space="preserve">most recent </w:t>
      </w:r>
      <w:r w:rsidRPr="005D29B0">
        <w:rPr>
          <w:sz w:val="24"/>
          <w:szCs w:val="24"/>
        </w:rPr>
        <w:t>proposed standard are due to DOE from</w:t>
      </w:r>
      <w:r w:rsidR="00115C5E">
        <w:rPr>
          <w:sz w:val="24"/>
          <w:szCs w:val="24"/>
        </w:rPr>
        <w:t xml:space="preserve"> interested parties, potentially including</w:t>
      </w:r>
      <w:r w:rsidRPr="005D29B0">
        <w:rPr>
          <w:sz w:val="24"/>
          <w:szCs w:val="24"/>
        </w:rPr>
        <w:t xml:space="preserve"> the </w:t>
      </w:r>
      <w:r w:rsidR="000B4066">
        <w:rPr>
          <w:sz w:val="24"/>
          <w:szCs w:val="24"/>
        </w:rPr>
        <w:t>SoCalGas</w:t>
      </w:r>
      <w:r w:rsidR="00115C5E">
        <w:rPr>
          <w:sz w:val="24"/>
          <w:szCs w:val="24"/>
        </w:rPr>
        <w:t>,</w:t>
      </w:r>
      <w:r w:rsidRPr="005D29B0">
        <w:rPr>
          <w:sz w:val="24"/>
          <w:szCs w:val="24"/>
        </w:rPr>
        <w:t xml:space="preserve"> by </w:t>
      </w:r>
      <w:r w:rsidR="000F31BF">
        <w:rPr>
          <w:sz w:val="24"/>
          <w:szCs w:val="24"/>
        </w:rPr>
        <w:t>June 10</w:t>
      </w:r>
      <w:r>
        <w:rPr>
          <w:sz w:val="24"/>
          <w:szCs w:val="24"/>
        </w:rPr>
        <w:t xml:space="preserve">, 2015. </w:t>
      </w:r>
    </w:p>
    <w:p w14:paraId="123F4BA4" w14:textId="77777777" w:rsidR="002515D2" w:rsidRDefault="00115C5E" w:rsidP="00DE4FF1">
      <w:pPr>
        <w:rPr>
          <w:sz w:val="24"/>
          <w:szCs w:val="24"/>
        </w:rPr>
      </w:pPr>
      <w:r>
        <w:rPr>
          <w:sz w:val="24"/>
          <w:szCs w:val="24"/>
        </w:rPr>
        <w:t>S</w:t>
      </w:r>
      <w:r w:rsidR="005D29B0" w:rsidRPr="005D29B0">
        <w:rPr>
          <w:sz w:val="24"/>
          <w:szCs w:val="24"/>
        </w:rPr>
        <w:t>um</w:t>
      </w:r>
      <w:r>
        <w:rPr>
          <w:sz w:val="24"/>
          <w:szCs w:val="24"/>
        </w:rPr>
        <w:t>marizing</w:t>
      </w:r>
      <w:r w:rsidR="005D29B0" w:rsidRPr="005D29B0">
        <w:rPr>
          <w:sz w:val="24"/>
          <w:szCs w:val="24"/>
        </w:rPr>
        <w:t xml:space="preserve"> the status of the NOPR today</w:t>
      </w:r>
      <w:r w:rsidR="00883628">
        <w:rPr>
          <w:sz w:val="24"/>
          <w:szCs w:val="24"/>
        </w:rPr>
        <w:t xml:space="preserve"> after eight years</w:t>
      </w:r>
      <w:r w:rsidR="002515D2">
        <w:rPr>
          <w:sz w:val="24"/>
          <w:szCs w:val="24"/>
        </w:rPr>
        <w:t xml:space="preserve"> of negotiations</w:t>
      </w:r>
      <w:r w:rsidR="00883628">
        <w:rPr>
          <w:sz w:val="24"/>
          <w:szCs w:val="24"/>
        </w:rPr>
        <w:t>: T</w:t>
      </w:r>
      <w:r w:rsidR="005D29B0" w:rsidRPr="005D29B0">
        <w:rPr>
          <w:sz w:val="24"/>
          <w:szCs w:val="24"/>
        </w:rPr>
        <w:t>he DOE points to their analys</w:t>
      </w:r>
      <w:r>
        <w:rPr>
          <w:sz w:val="24"/>
          <w:szCs w:val="24"/>
        </w:rPr>
        <w:t>e</w:t>
      </w:r>
      <w:r w:rsidR="005D29B0" w:rsidRPr="005D29B0">
        <w:rPr>
          <w:sz w:val="24"/>
          <w:szCs w:val="24"/>
        </w:rPr>
        <w:t xml:space="preserve">s, spreadsheets and models saying </w:t>
      </w:r>
      <w:r w:rsidR="005D29B0">
        <w:rPr>
          <w:sz w:val="24"/>
          <w:szCs w:val="24"/>
        </w:rPr>
        <w:t xml:space="preserve">that </w:t>
      </w:r>
      <w:r w:rsidR="005D29B0" w:rsidRPr="005D29B0">
        <w:rPr>
          <w:sz w:val="24"/>
          <w:szCs w:val="24"/>
        </w:rPr>
        <w:t xml:space="preserve">the national benefits </w:t>
      </w:r>
      <w:r w:rsidR="00364B24">
        <w:rPr>
          <w:sz w:val="24"/>
          <w:szCs w:val="24"/>
        </w:rPr>
        <w:t xml:space="preserve">of increasing the efficiency standard </w:t>
      </w:r>
      <w:r w:rsidR="005D29B0" w:rsidRPr="005D29B0">
        <w:rPr>
          <w:sz w:val="24"/>
          <w:szCs w:val="24"/>
        </w:rPr>
        <w:t>outweigh the costs overall</w:t>
      </w:r>
      <w:r w:rsidR="005D29B0">
        <w:rPr>
          <w:sz w:val="24"/>
          <w:szCs w:val="24"/>
        </w:rPr>
        <w:t>,</w:t>
      </w:r>
      <w:r w:rsidR="005D29B0" w:rsidRPr="005D29B0">
        <w:rPr>
          <w:sz w:val="24"/>
          <w:szCs w:val="24"/>
        </w:rPr>
        <w:t xml:space="preserve"> acknowledging a few will be hurt economically</w:t>
      </w:r>
      <w:r w:rsidR="002B122B">
        <w:rPr>
          <w:sz w:val="24"/>
          <w:szCs w:val="24"/>
        </w:rPr>
        <w:t>;</w:t>
      </w:r>
      <w:r w:rsidR="005D29B0" w:rsidRPr="005D29B0">
        <w:rPr>
          <w:sz w:val="24"/>
          <w:szCs w:val="24"/>
        </w:rPr>
        <w:t xml:space="preserve"> many in the gas and furnace industries say DOE has </w:t>
      </w:r>
      <w:r w:rsidR="00D44A84">
        <w:rPr>
          <w:sz w:val="24"/>
          <w:szCs w:val="24"/>
        </w:rPr>
        <w:t xml:space="preserve">not been transparent during the </w:t>
      </w:r>
      <w:r w:rsidR="005D29B0" w:rsidRPr="005D29B0">
        <w:rPr>
          <w:sz w:val="24"/>
          <w:szCs w:val="24"/>
        </w:rPr>
        <w:t>process (as required in a recent settlement agreement),</w:t>
      </w:r>
      <w:r w:rsidR="002B122B">
        <w:rPr>
          <w:sz w:val="24"/>
          <w:szCs w:val="24"/>
        </w:rPr>
        <w:t xml:space="preserve"> </w:t>
      </w:r>
      <w:r w:rsidR="005D29B0" w:rsidRPr="005D29B0">
        <w:rPr>
          <w:sz w:val="24"/>
          <w:szCs w:val="24"/>
        </w:rPr>
        <w:t xml:space="preserve">suggesting </w:t>
      </w:r>
      <w:r w:rsidR="002515D2">
        <w:rPr>
          <w:sz w:val="24"/>
          <w:szCs w:val="24"/>
        </w:rPr>
        <w:t xml:space="preserve">also </w:t>
      </w:r>
      <w:r w:rsidR="005D29B0" w:rsidRPr="005D29B0">
        <w:rPr>
          <w:sz w:val="24"/>
          <w:szCs w:val="24"/>
        </w:rPr>
        <w:t>that DOE is over-estimating the benefits of the</w:t>
      </w:r>
      <w:r w:rsidR="002B122B">
        <w:rPr>
          <w:sz w:val="24"/>
          <w:szCs w:val="24"/>
        </w:rPr>
        <w:t xml:space="preserve"> </w:t>
      </w:r>
      <w:r w:rsidR="005D29B0" w:rsidRPr="005D29B0">
        <w:rPr>
          <w:sz w:val="24"/>
          <w:szCs w:val="24"/>
        </w:rPr>
        <w:t xml:space="preserve">proposed standard and underestimating the costs, </w:t>
      </w:r>
      <w:r w:rsidR="005D29B0">
        <w:rPr>
          <w:sz w:val="24"/>
          <w:szCs w:val="24"/>
        </w:rPr>
        <w:t xml:space="preserve">while </w:t>
      </w:r>
      <w:r w:rsidR="005D29B0" w:rsidRPr="005D29B0">
        <w:rPr>
          <w:sz w:val="24"/>
          <w:szCs w:val="24"/>
        </w:rPr>
        <w:t>using a</w:t>
      </w:r>
      <w:r w:rsidR="005D29B0">
        <w:rPr>
          <w:sz w:val="24"/>
          <w:szCs w:val="24"/>
        </w:rPr>
        <w:t xml:space="preserve"> complicated, </w:t>
      </w:r>
      <w:r w:rsidR="00450BA6">
        <w:rPr>
          <w:sz w:val="24"/>
          <w:szCs w:val="24"/>
        </w:rPr>
        <w:t xml:space="preserve">unwieldy </w:t>
      </w:r>
      <w:r w:rsidR="005D29B0" w:rsidRPr="005D29B0">
        <w:rPr>
          <w:sz w:val="24"/>
          <w:szCs w:val="24"/>
        </w:rPr>
        <w:t xml:space="preserve"> “black box” model </w:t>
      </w:r>
      <w:r w:rsidR="005D29B0">
        <w:rPr>
          <w:sz w:val="24"/>
          <w:szCs w:val="24"/>
        </w:rPr>
        <w:t xml:space="preserve">(the </w:t>
      </w:r>
      <w:r w:rsidR="00844F60">
        <w:rPr>
          <w:sz w:val="24"/>
          <w:szCs w:val="24"/>
        </w:rPr>
        <w:t>C</w:t>
      </w:r>
      <w:r w:rsidR="005D29B0">
        <w:rPr>
          <w:sz w:val="24"/>
          <w:szCs w:val="24"/>
        </w:rPr>
        <w:t xml:space="preserve">rystal </w:t>
      </w:r>
      <w:r w:rsidR="00844F60">
        <w:rPr>
          <w:sz w:val="24"/>
          <w:szCs w:val="24"/>
        </w:rPr>
        <w:t>B</w:t>
      </w:r>
      <w:r w:rsidR="005D29B0">
        <w:rPr>
          <w:sz w:val="24"/>
          <w:szCs w:val="24"/>
        </w:rPr>
        <w:t xml:space="preserve">all software) </w:t>
      </w:r>
      <w:r w:rsidR="005D29B0" w:rsidRPr="005D29B0">
        <w:rPr>
          <w:i/>
          <w:sz w:val="24"/>
          <w:szCs w:val="24"/>
        </w:rPr>
        <w:t>with a brand new methodology</w:t>
      </w:r>
      <w:r w:rsidR="005D29B0">
        <w:rPr>
          <w:sz w:val="24"/>
          <w:szCs w:val="24"/>
        </w:rPr>
        <w:t xml:space="preserve"> </w:t>
      </w:r>
      <w:r w:rsidR="005D29B0" w:rsidRPr="005D29B0">
        <w:rPr>
          <w:sz w:val="24"/>
          <w:szCs w:val="24"/>
        </w:rPr>
        <w:t>and relying on, and</w:t>
      </w:r>
      <w:r w:rsidR="00D44A84">
        <w:rPr>
          <w:sz w:val="24"/>
          <w:szCs w:val="24"/>
        </w:rPr>
        <w:t xml:space="preserve"> not sharing, </w:t>
      </w:r>
      <w:r w:rsidR="00844F60">
        <w:rPr>
          <w:sz w:val="24"/>
          <w:szCs w:val="24"/>
        </w:rPr>
        <w:t xml:space="preserve">costly </w:t>
      </w:r>
      <w:r w:rsidR="00D44A84">
        <w:rPr>
          <w:sz w:val="24"/>
          <w:szCs w:val="24"/>
        </w:rPr>
        <w:t>proprietary data</w:t>
      </w:r>
      <w:r w:rsidR="00844F60">
        <w:rPr>
          <w:sz w:val="24"/>
          <w:szCs w:val="24"/>
        </w:rPr>
        <w:t xml:space="preserve"> developed by the electric industry and others</w:t>
      </w:r>
      <w:r w:rsidR="00D44A84">
        <w:rPr>
          <w:sz w:val="24"/>
          <w:szCs w:val="24"/>
        </w:rPr>
        <w:t>.</w:t>
      </w:r>
      <w:r w:rsidR="00957420">
        <w:rPr>
          <w:sz w:val="24"/>
          <w:szCs w:val="24"/>
        </w:rPr>
        <w:t xml:space="preserve"> </w:t>
      </w:r>
    </w:p>
    <w:p w14:paraId="21458C46" w14:textId="77777777" w:rsidR="005D29B0" w:rsidRDefault="00957420" w:rsidP="00DE4FF1">
      <w:pPr>
        <w:rPr>
          <w:sz w:val="24"/>
          <w:szCs w:val="24"/>
        </w:rPr>
      </w:pPr>
      <w:r w:rsidRPr="00BF4C94">
        <w:rPr>
          <w:sz w:val="24"/>
          <w:szCs w:val="24"/>
        </w:rPr>
        <w:lastRenderedPageBreak/>
        <w:t>O</w:t>
      </w:r>
      <w:r w:rsidR="005D29B0" w:rsidRPr="00BF4C94">
        <w:rPr>
          <w:sz w:val="24"/>
          <w:szCs w:val="24"/>
        </w:rPr>
        <w:t>ne exasperated industry repres</w:t>
      </w:r>
      <w:r w:rsidR="002515D2" w:rsidRPr="00BF4C94">
        <w:rPr>
          <w:sz w:val="24"/>
          <w:szCs w:val="24"/>
        </w:rPr>
        <w:t>entative</w:t>
      </w:r>
      <w:r w:rsidR="00762A25" w:rsidRPr="00BF4C94">
        <w:rPr>
          <w:sz w:val="24"/>
          <w:szCs w:val="24"/>
        </w:rPr>
        <w:t xml:space="preserve"> (Mark Krebs, The Laclede Group)</w:t>
      </w:r>
      <w:r w:rsidR="002515D2" w:rsidRPr="00BF4C94">
        <w:rPr>
          <w:sz w:val="24"/>
          <w:szCs w:val="24"/>
        </w:rPr>
        <w:t xml:space="preserve"> </w:t>
      </w:r>
      <w:r w:rsidR="003B0D04" w:rsidRPr="00BF4C94">
        <w:rPr>
          <w:sz w:val="24"/>
          <w:szCs w:val="24"/>
        </w:rPr>
        <w:t>was heard to</w:t>
      </w:r>
      <w:r w:rsidR="003B0D04">
        <w:rPr>
          <w:sz w:val="24"/>
          <w:szCs w:val="24"/>
        </w:rPr>
        <w:t xml:space="preserve"> </w:t>
      </w:r>
      <w:r w:rsidR="002515D2">
        <w:rPr>
          <w:sz w:val="24"/>
          <w:szCs w:val="24"/>
        </w:rPr>
        <w:t xml:space="preserve">comment </w:t>
      </w:r>
      <w:r>
        <w:rPr>
          <w:sz w:val="24"/>
          <w:szCs w:val="24"/>
        </w:rPr>
        <w:t>during a day-long hearing on the subject on March 27, 2015</w:t>
      </w:r>
      <w:r w:rsidR="005D29B0" w:rsidRPr="005D29B0">
        <w:rPr>
          <w:sz w:val="24"/>
          <w:szCs w:val="24"/>
        </w:rPr>
        <w:t>, “Why can’t you (DOE) use a simple pay-back method on the standard instead of issuing a confusing 1,000 page NOPR which includes</w:t>
      </w:r>
      <w:r w:rsidR="0089085C">
        <w:rPr>
          <w:sz w:val="24"/>
          <w:szCs w:val="24"/>
        </w:rPr>
        <w:t xml:space="preserve"> a new</w:t>
      </w:r>
      <w:r w:rsidR="005D29B0" w:rsidRPr="005D29B0">
        <w:rPr>
          <w:sz w:val="24"/>
          <w:szCs w:val="24"/>
        </w:rPr>
        <w:t xml:space="preserve"> life cycle costing methodology that very few can understand. You’ve added complexity to what should be easier to understand.</w:t>
      </w:r>
      <w:r w:rsidR="002515D2">
        <w:rPr>
          <w:sz w:val="24"/>
          <w:szCs w:val="24"/>
        </w:rPr>
        <w:t xml:space="preserve"> </w:t>
      </w:r>
      <w:r w:rsidR="00E15D46">
        <w:rPr>
          <w:sz w:val="24"/>
          <w:szCs w:val="24"/>
        </w:rPr>
        <w:t>This process</w:t>
      </w:r>
      <w:r w:rsidR="002515D2">
        <w:rPr>
          <w:sz w:val="24"/>
          <w:szCs w:val="24"/>
        </w:rPr>
        <w:t xml:space="preserve"> is anything but transparent.</w:t>
      </w:r>
      <w:r w:rsidR="005D29B0" w:rsidRPr="005D29B0">
        <w:rPr>
          <w:sz w:val="24"/>
          <w:szCs w:val="24"/>
        </w:rPr>
        <w:t>”</w:t>
      </w:r>
    </w:p>
    <w:p w14:paraId="04232E07" w14:textId="77777777" w:rsidR="00E243F4" w:rsidRDefault="00115C5E" w:rsidP="0008105F">
      <w:pPr>
        <w:pStyle w:val="SCGMemo"/>
      </w:pPr>
      <w:r>
        <w:t xml:space="preserve">The purpose of </w:t>
      </w:r>
      <w:r w:rsidR="00D95F8E">
        <w:t>this short memorandum</w:t>
      </w:r>
      <w:r>
        <w:t xml:space="preserve">, and the work upon which it is based, </w:t>
      </w:r>
      <w:r w:rsidR="00897890">
        <w:t>is to provide objective analysis</w:t>
      </w:r>
      <w:r>
        <w:t xml:space="preserve"> of the process and data,</w:t>
      </w:r>
      <w:r w:rsidR="00D95F8E">
        <w:t xml:space="preserve"> </w:t>
      </w:r>
      <w:r>
        <w:t>and to</w:t>
      </w:r>
      <w:r w:rsidR="0083067F">
        <w:t xml:space="preserve"> identify areas where </w:t>
      </w:r>
      <w:r w:rsidR="00D95F8E">
        <w:t xml:space="preserve">the </w:t>
      </w:r>
      <w:r w:rsidR="000B4066">
        <w:t>SoCalGas</w:t>
      </w:r>
      <w:r w:rsidR="00D95F8E">
        <w:t xml:space="preserve"> </w:t>
      </w:r>
      <w:r>
        <w:t>and/</w:t>
      </w:r>
      <w:r w:rsidR="00D95F8E">
        <w:t>or California</w:t>
      </w:r>
      <w:r w:rsidR="0083067F">
        <w:t xml:space="preserve"> consumers</w:t>
      </w:r>
      <w:r w:rsidR="00D95F8E">
        <w:t xml:space="preserve"> </w:t>
      </w:r>
      <w:r w:rsidR="00C5476A">
        <w:t xml:space="preserve">would be </w:t>
      </w:r>
      <w:r w:rsidR="0083067F">
        <w:t>impacted negatively</w:t>
      </w:r>
      <w:r w:rsidR="00C5476A">
        <w:t xml:space="preserve"> by the </w:t>
      </w:r>
      <w:r w:rsidR="003B0D04">
        <w:t xml:space="preserve">current </w:t>
      </w:r>
      <w:r w:rsidR="00C5476A">
        <w:t>proposal from DOE</w:t>
      </w:r>
      <w:r w:rsidR="00897890">
        <w:t xml:space="preserve">. </w:t>
      </w:r>
      <w:r w:rsidR="00C5476A">
        <w:t>Based on our research,</w:t>
      </w:r>
      <w:r w:rsidR="00E243F4">
        <w:t xml:space="preserve"> we can report that</w:t>
      </w:r>
      <w:r w:rsidR="00897890">
        <w:t xml:space="preserve"> the DOE has done an admirable job at</w:t>
      </w:r>
      <w:r w:rsidR="00E243F4">
        <w:t xml:space="preserve"> involving stakeholders in this process</w:t>
      </w:r>
      <w:r w:rsidR="00897890">
        <w:t xml:space="preserve">. </w:t>
      </w:r>
      <w:r w:rsidR="00E243F4" w:rsidRPr="00E243F4">
        <w:t xml:space="preserve">During this multiyear furnace standards process DOE has worked with industry leaders including the </w:t>
      </w:r>
      <w:r w:rsidR="000B4066">
        <w:t>SoCalGas</w:t>
      </w:r>
      <w:r w:rsidR="00E243F4" w:rsidRPr="00E243F4">
        <w:t xml:space="preserve">, the California Energy Commission (CEC),  the American Gas Association, the American Heating and Refrigeration Institute (AHRI), the Air Conditioning Contractors </w:t>
      </w:r>
      <w:r w:rsidR="00C5476A">
        <w:t>of America</w:t>
      </w:r>
      <w:r w:rsidR="00C5476A" w:rsidRPr="00E243F4">
        <w:t xml:space="preserve"> </w:t>
      </w:r>
      <w:r w:rsidR="00E243F4" w:rsidRPr="00E243F4">
        <w:t xml:space="preserve">(ACCA), the Gas Technology Institute (GTI), the American Public Gas Association (APGA), manufacturers including </w:t>
      </w:r>
      <w:proofErr w:type="spellStart"/>
      <w:r w:rsidR="00E243F4" w:rsidRPr="00E243F4">
        <w:t>Rheem</w:t>
      </w:r>
      <w:proofErr w:type="spellEnd"/>
      <w:r w:rsidR="00E243F4" w:rsidRPr="00E243F4">
        <w:t>, Lennox, Trane, and many others, along with energy efficiency advocacy organizations</w:t>
      </w:r>
      <w:r w:rsidR="00C5476A">
        <w:t xml:space="preserve">, notably </w:t>
      </w:r>
      <w:r w:rsidR="00E243F4" w:rsidRPr="00E243F4">
        <w:t>the American Council for Energy Efficient Economy (ACEEE), and environmental groups</w:t>
      </w:r>
      <w:r w:rsidR="00C5476A">
        <w:t>, notably</w:t>
      </w:r>
      <w:r w:rsidR="00E243F4" w:rsidRPr="00E243F4">
        <w:t xml:space="preserve"> the Natural Resources Defense Council (NRDC). DOE’s stakeholder involvement to date has been satisfactory</w:t>
      </w:r>
      <w:r w:rsidR="00C5476A">
        <w:rPr>
          <w:i/>
        </w:rPr>
        <w:t xml:space="preserve"> (a relatively</w:t>
      </w:r>
      <w:r w:rsidR="00E243F4" w:rsidRPr="00E243F4">
        <w:rPr>
          <w:i/>
        </w:rPr>
        <w:t xml:space="preserve"> compr</w:t>
      </w:r>
      <w:r w:rsidR="009E4A5B">
        <w:rPr>
          <w:i/>
        </w:rPr>
        <w:t>ehensive list is attached in</w:t>
      </w:r>
      <w:r w:rsidR="00E243F4" w:rsidRPr="00E243F4">
        <w:rPr>
          <w:i/>
        </w:rPr>
        <w:t xml:space="preserve"> Appendix</w:t>
      </w:r>
      <w:r w:rsidR="009E4A5B">
        <w:rPr>
          <w:i/>
        </w:rPr>
        <w:t xml:space="preserve"> C</w:t>
      </w:r>
      <w:r w:rsidR="00E243F4" w:rsidRPr="00E243F4">
        <w:rPr>
          <w:i/>
        </w:rPr>
        <w:t>.)</w:t>
      </w:r>
      <w:r w:rsidR="00E243F4" w:rsidRPr="00897890">
        <w:t xml:space="preserve"> </w:t>
      </w:r>
      <w:r w:rsidR="00E243F4" w:rsidRPr="00E243F4">
        <w:t xml:space="preserve">However, the data </w:t>
      </w:r>
      <w:r w:rsidR="00E243F4">
        <w:t xml:space="preserve">obscured or </w:t>
      </w:r>
      <w:r w:rsidR="00E243F4" w:rsidRPr="00E243F4">
        <w:t>not shared with</w:t>
      </w:r>
      <w:r w:rsidR="00E243F4">
        <w:t xml:space="preserve"> many of</w:t>
      </w:r>
      <w:r w:rsidR="00E243F4" w:rsidRPr="00E243F4">
        <w:t xml:space="preserve"> these stakeholders during the process has been a major issue</w:t>
      </w:r>
      <w:r w:rsidR="00E243F4">
        <w:t>—especially recently</w:t>
      </w:r>
      <w:r w:rsidR="00E243F4" w:rsidRPr="00E243F4">
        <w:t>.</w:t>
      </w:r>
      <w:r w:rsidR="00E243F4">
        <w:t xml:space="preserve"> For example, the APGA told us</w:t>
      </w:r>
      <w:r w:rsidR="00C5476A">
        <w:t xml:space="preserve"> that to </w:t>
      </w:r>
      <w:r w:rsidR="00064D8D">
        <w:t>be more fully informed of the data, analyses and results</w:t>
      </w:r>
      <w:r w:rsidR="003B0D04">
        <w:t xml:space="preserve"> relied upon by DOE</w:t>
      </w:r>
      <w:r w:rsidR="00064D8D">
        <w:t>,</w:t>
      </w:r>
      <w:r w:rsidR="00E243F4">
        <w:t xml:space="preserve"> they were forced to </w:t>
      </w:r>
      <w:r w:rsidR="00064D8D">
        <w:t>purchase</w:t>
      </w:r>
      <w:r w:rsidR="00E243F4">
        <w:t xml:space="preserve"> two proprietary reports for $15,000 </w:t>
      </w:r>
      <w:r w:rsidR="006118CE">
        <w:t xml:space="preserve">simply </w:t>
      </w:r>
      <w:r w:rsidR="00E243F4">
        <w:t>to</w:t>
      </w:r>
      <w:r w:rsidR="006118CE">
        <w:t xml:space="preserve"> be able to interpret some of the </w:t>
      </w:r>
      <w:r w:rsidR="001E4331">
        <w:t>DOE Crystal B</w:t>
      </w:r>
      <w:r w:rsidR="00E243F4">
        <w:t>all analys</w:t>
      </w:r>
      <w:r w:rsidR="003B0D04">
        <w:t>e</w:t>
      </w:r>
      <w:r w:rsidR="00E243F4">
        <w:t>s.</w:t>
      </w:r>
      <w:r w:rsidR="00064D8D">
        <w:t xml:space="preserve">  In addition, the proprietary nature of the reports precludes them from sharing with other interested parties, who otherwise could benefit the process,</w:t>
      </w:r>
      <w:r w:rsidR="003B0D04">
        <w:t xml:space="preserve"> including</w:t>
      </w:r>
      <w:r w:rsidR="00064D8D">
        <w:t xml:space="preserve"> </w:t>
      </w:r>
      <w:r w:rsidR="00321F09">
        <w:t xml:space="preserve">the </w:t>
      </w:r>
      <w:r w:rsidR="000B4066">
        <w:t>SoCalGas</w:t>
      </w:r>
      <w:r w:rsidR="00064D8D">
        <w:t xml:space="preserve"> and its customers.</w:t>
      </w:r>
    </w:p>
    <w:p w14:paraId="54A978CA" w14:textId="77777777" w:rsidR="003B0D04" w:rsidRDefault="00897890" w:rsidP="00255A8A">
      <w:pPr>
        <w:rPr>
          <w:sz w:val="24"/>
          <w:szCs w:val="24"/>
        </w:rPr>
      </w:pPr>
      <w:r w:rsidRPr="00D43968">
        <w:rPr>
          <w:sz w:val="24"/>
          <w:szCs w:val="24"/>
        </w:rPr>
        <w:t xml:space="preserve">The DOE was criticized for a number of </w:t>
      </w:r>
      <w:r w:rsidR="00A51A5C" w:rsidRPr="00D43968">
        <w:rPr>
          <w:sz w:val="24"/>
          <w:szCs w:val="24"/>
        </w:rPr>
        <w:t xml:space="preserve">other </w:t>
      </w:r>
      <w:r w:rsidRPr="00D43968">
        <w:rPr>
          <w:sz w:val="24"/>
          <w:szCs w:val="24"/>
        </w:rPr>
        <w:t>things during this process</w:t>
      </w:r>
      <w:r w:rsidR="00064D8D" w:rsidRPr="00D43968">
        <w:rPr>
          <w:sz w:val="24"/>
          <w:szCs w:val="24"/>
        </w:rPr>
        <w:t xml:space="preserve">, which </w:t>
      </w:r>
      <w:r w:rsidR="00227C14" w:rsidRPr="00D43968">
        <w:rPr>
          <w:sz w:val="24"/>
          <w:szCs w:val="24"/>
        </w:rPr>
        <w:t xml:space="preserve">added to the delay in the </w:t>
      </w:r>
      <w:r w:rsidR="00064D8D" w:rsidRPr="00D43968">
        <w:rPr>
          <w:sz w:val="24"/>
          <w:szCs w:val="24"/>
        </w:rPr>
        <w:t xml:space="preserve">DOE process, </w:t>
      </w:r>
      <w:r w:rsidR="00227C14" w:rsidRPr="00D43968">
        <w:rPr>
          <w:sz w:val="24"/>
          <w:szCs w:val="24"/>
        </w:rPr>
        <w:t xml:space="preserve">largely </w:t>
      </w:r>
      <w:r w:rsidR="00064D8D" w:rsidRPr="00D43968">
        <w:rPr>
          <w:sz w:val="24"/>
          <w:szCs w:val="24"/>
        </w:rPr>
        <w:t>based on legal filings from industry members</w:t>
      </w:r>
      <w:r w:rsidRPr="00D43968">
        <w:rPr>
          <w:sz w:val="24"/>
          <w:szCs w:val="24"/>
        </w:rPr>
        <w:t xml:space="preserve"> in 2011</w:t>
      </w:r>
      <w:r w:rsidR="00A51A5C" w:rsidRPr="00D43968">
        <w:rPr>
          <w:sz w:val="24"/>
          <w:szCs w:val="24"/>
        </w:rPr>
        <w:t xml:space="preserve">. </w:t>
      </w:r>
      <w:r w:rsidR="00064D8D" w:rsidRPr="00D43968">
        <w:rPr>
          <w:sz w:val="24"/>
          <w:szCs w:val="24"/>
        </w:rPr>
        <w:t>Recently</w:t>
      </w:r>
      <w:r w:rsidR="00456BD1">
        <w:rPr>
          <w:sz w:val="24"/>
          <w:szCs w:val="24"/>
        </w:rPr>
        <w:t>,</w:t>
      </w:r>
      <w:r w:rsidR="00255A8A" w:rsidRPr="00D43968">
        <w:rPr>
          <w:sz w:val="24"/>
          <w:szCs w:val="24"/>
        </w:rPr>
        <w:t xml:space="preserve"> </w:t>
      </w:r>
      <w:r w:rsidR="00BF59FE" w:rsidRPr="00D43968">
        <w:rPr>
          <w:sz w:val="24"/>
          <w:szCs w:val="24"/>
        </w:rPr>
        <w:t>during a day-long hearing</w:t>
      </w:r>
      <w:r w:rsidR="00456BD1">
        <w:rPr>
          <w:sz w:val="24"/>
          <w:szCs w:val="24"/>
        </w:rPr>
        <w:t xml:space="preserve"> on March 27, 2015</w:t>
      </w:r>
      <w:r w:rsidR="00064D8D" w:rsidRPr="00D43968">
        <w:rPr>
          <w:sz w:val="24"/>
          <w:szCs w:val="24"/>
        </w:rPr>
        <w:t>,</w:t>
      </w:r>
      <w:r w:rsidR="00255A8A" w:rsidRPr="00D43968">
        <w:rPr>
          <w:sz w:val="24"/>
          <w:szCs w:val="24"/>
        </w:rPr>
        <w:t xml:space="preserve"> the DOE was criticized for</w:t>
      </w:r>
      <w:r w:rsidR="00456BD1">
        <w:rPr>
          <w:sz w:val="24"/>
          <w:szCs w:val="24"/>
        </w:rPr>
        <w:t xml:space="preserve"> </w:t>
      </w:r>
      <w:r w:rsidR="00456BD1" w:rsidRPr="005E495E">
        <w:rPr>
          <w:sz w:val="24"/>
          <w:szCs w:val="24"/>
        </w:rPr>
        <w:t>overestimating product lifetimes (AGL Resources and AGA), overestimating the size of the affected market (effectively making the cost-bene</w:t>
      </w:r>
      <w:r w:rsidR="00456BD1">
        <w:rPr>
          <w:sz w:val="24"/>
          <w:szCs w:val="24"/>
        </w:rPr>
        <w:t xml:space="preserve">fit analysis look more “rosy”; </w:t>
      </w:r>
      <w:r w:rsidR="00456BD1" w:rsidRPr="005E495E">
        <w:rPr>
          <w:sz w:val="24"/>
          <w:szCs w:val="24"/>
        </w:rPr>
        <w:t>AGL Resources, AGA, APGA, and The Laclede Group), using unexplained and inconsistent installation costs and payback periods in its Life Cycle Cost (LCC)</w:t>
      </w:r>
      <w:r w:rsidR="00456BD1">
        <w:rPr>
          <w:sz w:val="24"/>
          <w:szCs w:val="24"/>
        </w:rPr>
        <w:t xml:space="preserve"> analysis (AGA and  APGA), low </w:t>
      </w:r>
      <w:r w:rsidR="00456BD1" w:rsidRPr="005E495E">
        <w:rPr>
          <w:sz w:val="24"/>
          <w:szCs w:val="24"/>
        </w:rPr>
        <w:t xml:space="preserve">estimates </w:t>
      </w:r>
      <w:r w:rsidR="00420BB8">
        <w:rPr>
          <w:sz w:val="24"/>
          <w:szCs w:val="24"/>
        </w:rPr>
        <w:t xml:space="preserve">of the </w:t>
      </w:r>
      <w:r w:rsidR="00456BD1" w:rsidRPr="005E495E">
        <w:rPr>
          <w:sz w:val="24"/>
          <w:szCs w:val="24"/>
        </w:rPr>
        <w:t>amount of fuel switching (AGL Resources, AGA, APGA and The Laclede Group), and for not considering the performance characteristics of (higher efficiency) non-condensing furnaces (AGL Resou</w:t>
      </w:r>
      <w:r w:rsidR="00420BB8">
        <w:rPr>
          <w:sz w:val="24"/>
          <w:szCs w:val="24"/>
        </w:rPr>
        <w:t>rces, AGA, and APGA) which indicate</w:t>
      </w:r>
      <w:r w:rsidR="00456BD1" w:rsidRPr="005E495E">
        <w:rPr>
          <w:sz w:val="24"/>
          <w:szCs w:val="24"/>
        </w:rPr>
        <w:t xml:space="preserve"> that they should be considered</w:t>
      </w:r>
      <w:r w:rsidR="00420BB8">
        <w:rPr>
          <w:sz w:val="24"/>
          <w:szCs w:val="24"/>
        </w:rPr>
        <w:t xml:space="preserve"> as</w:t>
      </w:r>
      <w:r w:rsidR="00456BD1" w:rsidRPr="005E495E">
        <w:rPr>
          <w:sz w:val="24"/>
          <w:szCs w:val="24"/>
        </w:rPr>
        <w:t xml:space="preserve"> a separate product ca</w:t>
      </w:r>
      <w:r w:rsidR="00420BB8">
        <w:rPr>
          <w:sz w:val="24"/>
          <w:szCs w:val="24"/>
        </w:rPr>
        <w:t xml:space="preserve">tegory from condensing furnaces (see list of issues in Appendix D) </w:t>
      </w:r>
      <w:r w:rsidR="00255A8A" w:rsidRPr="00D43968">
        <w:rPr>
          <w:sz w:val="24"/>
          <w:szCs w:val="24"/>
        </w:rPr>
        <w:t>.</w:t>
      </w:r>
    </w:p>
    <w:p w14:paraId="048BCAB5" w14:textId="77777777" w:rsidR="00A51A5C" w:rsidRPr="00A51A5C" w:rsidRDefault="00A51A5C" w:rsidP="00DE4FF1">
      <w:pPr>
        <w:rPr>
          <w:b/>
          <w:i/>
          <w:sz w:val="24"/>
          <w:szCs w:val="24"/>
        </w:rPr>
      </w:pPr>
      <w:r w:rsidRPr="00A51A5C">
        <w:rPr>
          <w:b/>
          <w:i/>
          <w:sz w:val="24"/>
          <w:szCs w:val="24"/>
        </w:rPr>
        <w:lastRenderedPageBreak/>
        <w:t xml:space="preserve">Highlight of </w:t>
      </w:r>
      <w:r w:rsidR="000B4066">
        <w:rPr>
          <w:b/>
          <w:i/>
          <w:sz w:val="24"/>
          <w:szCs w:val="24"/>
        </w:rPr>
        <w:t>SoCalGas</w:t>
      </w:r>
      <w:r w:rsidRPr="00A51A5C">
        <w:rPr>
          <w:b/>
          <w:i/>
          <w:sz w:val="24"/>
          <w:szCs w:val="24"/>
        </w:rPr>
        <w:t>-related Issues</w:t>
      </w:r>
      <w:r>
        <w:rPr>
          <w:b/>
          <w:i/>
          <w:sz w:val="24"/>
          <w:szCs w:val="24"/>
        </w:rPr>
        <w:t>….</w:t>
      </w:r>
    </w:p>
    <w:p w14:paraId="01EC35C2" w14:textId="77777777" w:rsidR="00897890" w:rsidRDefault="00897890" w:rsidP="00DE4FF1">
      <w:pPr>
        <w:rPr>
          <w:sz w:val="24"/>
          <w:szCs w:val="24"/>
        </w:rPr>
      </w:pPr>
      <w:r>
        <w:rPr>
          <w:sz w:val="24"/>
          <w:szCs w:val="24"/>
        </w:rPr>
        <w:t>In addition to t</w:t>
      </w:r>
      <w:r w:rsidR="00FD7EFB">
        <w:rPr>
          <w:sz w:val="24"/>
          <w:szCs w:val="24"/>
        </w:rPr>
        <w:t xml:space="preserve">he </w:t>
      </w:r>
      <w:r w:rsidR="00DB6554">
        <w:rPr>
          <w:sz w:val="24"/>
          <w:szCs w:val="24"/>
        </w:rPr>
        <w:t>issues</w:t>
      </w:r>
      <w:r w:rsidR="00FD7EFB">
        <w:rPr>
          <w:sz w:val="24"/>
          <w:szCs w:val="24"/>
        </w:rPr>
        <w:t xml:space="preserve"> highlighted above there </w:t>
      </w:r>
      <w:proofErr w:type="gramStart"/>
      <w:r w:rsidR="003D2C3C">
        <w:rPr>
          <w:sz w:val="24"/>
          <w:szCs w:val="24"/>
        </w:rPr>
        <w:t>are</w:t>
      </w:r>
      <w:proofErr w:type="gramEnd"/>
      <w:r w:rsidR="00FD7EFB">
        <w:rPr>
          <w:sz w:val="24"/>
          <w:szCs w:val="24"/>
        </w:rPr>
        <w:t xml:space="preserve"> numerous</w:t>
      </w:r>
      <w:r w:rsidR="003D2C3C">
        <w:rPr>
          <w:sz w:val="24"/>
          <w:szCs w:val="24"/>
        </w:rPr>
        <w:t xml:space="preserve"> noteworthy </w:t>
      </w:r>
      <w:r w:rsidR="000B4066">
        <w:rPr>
          <w:sz w:val="24"/>
          <w:szCs w:val="24"/>
        </w:rPr>
        <w:t>SoCalGas</w:t>
      </w:r>
      <w:r w:rsidR="003D2C3C">
        <w:rPr>
          <w:sz w:val="24"/>
          <w:szCs w:val="24"/>
        </w:rPr>
        <w:t xml:space="preserve">-related policy and technology-related issues </w:t>
      </w:r>
      <w:r>
        <w:rPr>
          <w:sz w:val="24"/>
          <w:szCs w:val="24"/>
        </w:rPr>
        <w:t xml:space="preserve">that we </w:t>
      </w:r>
      <w:r w:rsidR="0092021E">
        <w:rPr>
          <w:sz w:val="24"/>
          <w:szCs w:val="24"/>
        </w:rPr>
        <w:t>believe that the DOE process or analysis may be vulnerable and where</w:t>
      </w:r>
      <w:r>
        <w:rPr>
          <w:sz w:val="24"/>
          <w:szCs w:val="24"/>
        </w:rPr>
        <w:t xml:space="preserve"> </w:t>
      </w:r>
      <w:r w:rsidR="000B4066">
        <w:rPr>
          <w:sz w:val="24"/>
          <w:szCs w:val="24"/>
        </w:rPr>
        <w:t>SoCalGas</w:t>
      </w:r>
      <w:r>
        <w:rPr>
          <w:sz w:val="24"/>
          <w:szCs w:val="24"/>
        </w:rPr>
        <w:t xml:space="preserve"> resources </w:t>
      </w:r>
      <w:r w:rsidR="00073531">
        <w:rPr>
          <w:sz w:val="24"/>
          <w:szCs w:val="24"/>
        </w:rPr>
        <w:t>c</w:t>
      </w:r>
      <w:r>
        <w:rPr>
          <w:sz w:val="24"/>
          <w:szCs w:val="24"/>
        </w:rPr>
        <w:t>ould be</w:t>
      </w:r>
      <w:r w:rsidR="00073531">
        <w:rPr>
          <w:sz w:val="24"/>
          <w:szCs w:val="24"/>
        </w:rPr>
        <w:t>st be spent</w:t>
      </w:r>
      <w:r>
        <w:rPr>
          <w:sz w:val="24"/>
          <w:szCs w:val="24"/>
        </w:rPr>
        <w:t xml:space="preserve"> analyzing</w:t>
      </w:r>
      <w:r w:rsidR="00073531">
        <w:rPr>
          <w:sz w:val="24"/>
          <w:szCs w:val="24"/>
        </w:rPr>
        <w:t xml:space="preserve"> data and analytical procedures</w:t>
      </w:r>
      <w:r w:rsidR="00AF67DF">
        <w:rPr>
          <w:sz w:val="24"/>
          <w:szCs w:val="24"/>
        </w:rPr>
        <w:t xml:space="preserve">. </w:t>
      </w:r>
      <w:r w:rsidR="00073531">
        <w:rPr>
          <w:sz w:val="24"/>
          <w:szCs w:val="24"/>
        </w:rPr>
        <w:t>Recommendation</w:t>
      </w:r>
      <w:r w:rsidR="00AF67DF">
        <w:rPr>
          <w:sz w:val="24"/>
          <w:szCs w:val="24"/>
        </w:rPr>
        <w:t>s</w:t>
      </w:r>
      <w:r w:rsidR="00073531">
        <w:rPr>
          <w:sz w:val="24"/>
          <w:szCs w:val="24"/>
        </w:rPr>
        <w:t xml:space="preserve"> are provided here in the</w:t>
      </w:r>
      <w:r w:rsidR="00AF67DF">
        <w:rPr>
          <w:sz w:val="24"/>
          <w:szCs w:val="24"/>
        </w:rPr>
        <w:t xml:space="preserve"> Executive Summary, and again later in Section IV. Summary Thoughts and Recommendations</w:t>
      </w:r>
      <w:r w:rsidR="00DB6554">
        <w:rPr>
          <w:sz w:val="24"/>
          <w:szCs w:val="24"/>
        </w:rPr>
        <w:t>:</w:t>
      </w:r>
    </w:p>
    <w:p w14:paraId="5DD70933" w14:textId="77777777" w:rsidR="00957420" w:rsidRDefault="00897890" w:rsidP="00F40169">
      <w:pPr>
        <w:pStyle w:val="ListParagraph"/>
        <w:numPr>
          <w:ilvl w:val="0"/>
          <w:numId w:val="25"/>
        </w:numPr>
        <w:rPr>
          <w:sz w:val="24"/>
          <w:szCs w:val="24"/>
        </w:rPr>
      </w:pPr>
      <w:r w:rsidRPr="00A20FE5">
        <w:rPr>
          <w:sz w:val="24"/>
          <w:szCs w:val="24"/>
        </w:rPr>
        <w:t xml:space="preserve">The market </w:t>
      </w:r>
      <w:r w:rsidR="00073531">
        <w:rPr>
          <w:sz w:val="24"/>
          <w:szCs w:val="24"/>
        </w:rPr>
        <w:t xml:space="preserve">has moved substantially toward </w:t>
      </w:r>
      <w:r w:rsidR="00C52157" w:rsidRPr="00A20FE5">
        <w:rPr>
          <w:sz w:val="24"/>
          <w:szCs w:val="24"/>
        </w:rPr>
        <w:t>the</w:t>
      </w:r>
      <w:r w:rsidRPr="00A20FE5">
        <w:rPr>
          <w:sz w:val="24"/>
          <w:szCs w:val="24"/>
        </w:rPr>
        <w:t xml:space="preserve"> proposed 92% AFUE </w:t>
      </w:r>
      <w:r w:rsidR="00073531">
        <w:rPr>
          <w:sz w:val="24"/>
          <w:szCs w:val="24"/>
        </w:rPr>
        <w:t xml:space="preserve">level without it being mandated by </w:t>
      </w:r>
      <w:r w:rsidR="00E7433F">
        <w:rPr>
          <w:sz w:val="24"/>
          <w:szCs w:val="24"/>
        </w:rPr>
        <w:t xml:space="preserve">the </w:t>
      </w:r>
      <w:r w:rsidRPr="00A20FE5">
        <w:rPr>
          <w:sz w:val="24"/>
          <w:szCs w:val="24"/>
        </w:rPr>
        <w:t>standard.</w:t>
      </w:r>
      <w:r>
        <w:rPr>
          <w:sz w:val="24"/>
          <w:szCs w:val="24"/>
        </w:rPr>
        <w:t xml:space="preserve"> </w:t>
      </w:r>
      <w:r w:rsidR="00C52157">
        <w:rPr>
          <w:sz w:val="24"/>
          <w:szCs w:val="24"/>
        </w:rPr>
        <w:t>Our analysis shows that m</w:t>
      </w:r>
      <w:r>
        <w:rPr>
          <w:sz w:val="24"/>
          <w:szCs w:val="24"/>
        </w:rPr>
        <w:t>ore than 50-percent of gas furnaces on the</w:t>
      </w:r>
      <w:r w:rsidR="00073531">
        <w:rPr>
          <w:sz w:val="24"/>
          <w:szCs w:val="24"/>
        </w:rPr>
        <w:t xml:space="preserve"> national </w:t>
      </w:r>
      <w:r>
        <w:rPr>
          <w:sz w:val="24"/>
          <w:szCs w:val="24"/>
        </w:rPr>
        <w:t xml:space="preserve">market </w:t>
      </w:r>
      <w:r w:rsidR="00D944A1">
        <w:rPr>
          <w:sz w:val="24"/>
          <w:szCs w:val="24"/>
        </w:rPr>
        <w:t>are already above 90% AFUE, 42-percent of which are</w:t>
      </w:r>
      <w:r>
        <w:rPr>
          <w:sz w:val="24"/>
          <w:szCs w:val="24"/>
        </w:rPr>
        <w:t xml:space="preserve"> above 92% AFUE</w:t>
      </w:r>
      <w:r w:rsidR="00FD0404">
        <w:rPr>
          <w:sz w:val="24"/>
          <w:szCs w:val="24"/>
        </w:rPr>
        <w:t xml:space="preserve"> (</w:t>
      </w:r>
      <w:r w:rsidR="0066419D">
        <w:rPr>
          <w:sz w:val="24"/>
          <w:szCs w:val="24"/>
        </w:rPr>
        <w:t>US EIA;</w:t>
      </w:r>
      <w:r w:rsidR="00FD0404">
        <w:rPr>
          <w:sz w:val="24"/>
          <w:szCs w:val="24"/>
        </w:rPr>
        <w:t xml:space="preserve"> Appendix</w:t>
      </w:r>
      <w:r w:rsidR="0066419D">
        <w:rPr>
          <w:sz w:val="24"/>
          <w:szCs w:val="24"/>
        </w:rPr>
        <w:t xml:space="preserve"> E</w:t>
      </w:r>
      <w:r w:rsidR="00FD0404">
        <w:rPr>
          <w:sz w:val="24"/>
          <w:szCs w:val="24"/>
        </w:rPr>
        <w:t>)</w:t>
      </w:r>
      <w:r>
        <w:rPr>
          <w:sz w:val="24"/>
          <w:szCs w:val="24"/>
        </w:rPr>
        <w:t>.</w:t>
      </w:r>
      <w:r w:rsidR="00073531">
        <w:rPr>
          <w:sz w:val="24"/>
          <w:szCs w:val="24"/>
        </w:rPr>
        <w:t xml:space="preserve"> These data can support the position</w:t>
      </w:r>
      <w:r w:rsidR="0091033B">
        <w:rPr>
          <w:sz w:val="24"/>
          <w:szCs w:val="24"/>
        </w:rPr>
        <w:t xml:space="preserve"> that th</w:t>
      </w:r>
      <w:r w:rsidR="00E04112">
        <w:rPr>
          <w:sz w:val="24"/>
          <w:szCs w:val="24"/>
        </w:rPr>
        <w:t>e standard is not needed</w:t>
      </w:r>
      <w:r w:rsidR="00E7433F">
        <w:rPr>
          <w:sz w:val="24"/>
          <w:szCs w:val="24"/>
        </w:rPr>
        <w:t>:</w:t>
      </w:r>
      <w:r w:rsidR="00E04112">
        <w:rPr>
          <w:sz w:val="24"/>
          <w:szCs w:val="24"/>
        </w:rPr>
        <w:t xml:space="preserve"> t</w:t>
      </w:r>
      <w:r w:rsidR="004972EE">
        <w:rPr>
          <w:sz w:val="24"/>
          <w:szCs w:val="24"/>
        </w:rPr>
        <w:t>he market is alr</w:t>
      </w:r>
      <w:r w:rsidR="00056950">
        <w:rPr>
          <w:sz w:val="24"/>
          <w:szCs w:val="24"/>
        </w:rPr>
        <w:t xml:space="preserve">eady working as evidenced in the </w:t>
      </w:r>
      <w:r w:rsidR="004972EE">
        <w:rPr>
          <w:sz w:val="24"/>
          <w:szCs w:val="24"/>
        </w:rPr>
        <w:t>produc</w:t>
      </w:r>
      <w:r w:rsidR="00E04112">
        <w:rPr>
          <w:sz w:val="24"/>
          <w:szCs w:val="24"/>
        </w:rPr>
        <w:t>ts available to consumers</w:t>
      </w:r>
      <w:r w:rsidR="00073531">
        <w:rPr>
          <w:sz w:val="24"/>
          <w:szCs w:val="24"/>
        </w:rPr>
        <w:t xml:space="preserve"> and their uptake</w:t>
      </w:r>
      <w:r w:rsidR="00E04112">
        <w:rPr>
          <w:sz w:val="24"/>
          <w:szCs w:val="24"/>
        </w:rPr>
        <w:t xml:space="preserve">, </w:t>
      </w:r>
      <w:r w:rsidR="00073531">
        <w:rPr>
          <w:sz w:val="24"/>
          <w:szCs w:val="24"/>
        </w:rPr>
        <w:t>making</w:t>
      </w:r>
      <w:r w:rsidR="00E04112">
        <w:rPr>
          <w:sz w:val="24"/>
          <w:szCs w:val="24"/>
        </w:rPr>
        <w:t xml:space="preserve"> government intervention </w:t>
      </w:r>
      <w:r w:rsidR="00073531">
        <w:rPr>
          <w:sz w:val="24"/>
          <w:szCs w:val="24"/>
        </w:rPr>
        <w:t>both</w:t>
      </w:r>
      <w:r w:rsidR="00E04112">
        <w:rPr>
          <w:sz w:val="24"/>
          <w:szCs w:val="24"/>
        </w:rPr>
        <w:t xml:space="preserve"> unnecessary </w:t>
      </w:r>
      <w:r w:rsidR="00056950">
        <w:rPr>
          <w:sz w:val="24"/>
          <w:szCs w:val="24"/>
        </w:rPr>
        <w:t xml:space="preserve">and </w:t>
      </w:r>
      <w:r w:rsidR="00073531">
        <w:rPr>
          <w:sz w:val="24"/>
          <w:szCs w:val="24"/>
        </w:rPr>
        <w:t xml:space="preserve">potentially disruptive </w:t>
      </w:r>
      <w:r w:rsidR="00E04112">
        <w:rPr>
          <w:sz w:val="24"/>
          <w:szCs w:val="24"/>
        </w:rPr>
        <w:t>at this time.</w:t>
      </w:r>
    </w:p>
    <w:p w14:paraId="1D88CC70" w14:textId="77777777" w:rsidR="00306EF8" w:rsidRDefault="00306EF8" w:rsidP="00306EF8">
      <w:pPr>
        <w:pStyle w:val="ListParagraph"/>
        <w:ind w:left="828"/>
        <w:rPr>
          <w:sz w:val="24"/>
          <w:szCs w:val="24"/>
        </w:rPr>
      </w:pPr>
    </w:p>
    <w:p w14:paraId="2417A62D" w14:textId="77777777" w:rsidR="00C52157" w:rsidRDefault="00A20FE5" w:rsidP="00F40169">
      <w:pPr>
        <w:pStyle w:val="ListParagraph"/>
        <w:numPr>
          <w:ilvl w:val="0"/>
          <w:numId w:val="25"/>
        </w:numPr>
        <w:rPr>
          <w:sz w:val="24"/>
          <w:szCs w:val="24"/>
        </w:rPr>
      </w:pPr>
      <w:r>
        <w:rPr>
          <w:sz w:val="24"/>
          <w:szCs w:val="24"/>
        </w:rPr>
        <w:t>A</w:t>
      </w:r>
      <w:r w:rsidRPr="00BE155F">
        <w:rPr>
          <w:sz w:val="24"/>
          <w:szCs w:val="24"/>
        </w:rPr>
        <w:t xml:space="preserve"> lack of product differentiation</w:t>
      </w:r>
      <w:r>
        <w:rPr>
          <w:sz w:val="24"/>
          <w:szCs w:val="24"/>
        </w:rPr>
        <w:t xml:space="preserve"> </w:t>
      </w:r>
      <w:r w:rsidR="00094BFF">
        <w:rPr>
          <w:sz w:val="24"/>
          <w:szCs w:val="24"/>
        </w:rPr>
        <w:t xml:space="preserve">and consumer choice </w:t>
      </w:r>
      <w:r>
        <w:rPr>
          <w:sz w:val="24"/>
          <w:szCs w:val="24"/>
        </w:rPr>
        <w:t>occurs a</w:t>
      </w:r>
      <w:r w:rsidR="00746F73" w:rsidRPr="00BE155F">
        <w:rPr>
          <w:sz w:val="24"/>
          <w:szCs w:val="24"/>
        </w:rPr>
        <w:t>s the range of efficie</w:t>
      </w:r>
      <w:r w:rsidR="00746F73">
        <w:rPr>
          <w:sz w:val="24"/>
          <w:szCs w:val="24"/>
        </w:rPr>
        <w:t xml:space="preserve">ncy improvements narrow above 90% AFUE. </w:t>
      </w:r>
      <w:r w:rsidR="004972EE">
        <w:rPr>
          <w:sz w:val="24"/>
          <w:szCs w:val="24"/>
        </w:rPr>
        <w:t>A case can be made tha</w:t>
      </w:r>
      <w:r w:rsidR="00746F73">
        <w:rPr>
          <w:sz w:val="24"/>
          <w:szCs w:val="24"/>
        </w:rPr>
        <w:t>t the</w:t>
      </w:r>
      <w:r w:rsidR="004972EE">
        <w:rPr>
          <w:sz w:val="24"/>
          <w:szCs w:val="24"/>
        </w:rPr>
        <w:t xml:space="preserve"> proposed standard is limiting</w:t>
      </w:r>
      <w:r w:rsidR="00746F73">
        <w:rPr>
          <w:sz w:val="24"/>
          <w:szCs w:val="24"/>
        </w:rPr>
        <w:t xml:space="preserve"> the furnace</w:t>
      </w:r>
      <w:r w:rsidR="004972EE">
        <w:rPr>
          <w:sz w:val="24"/>
          <w:szCs w:val="24"/>
        </w:rPr>
        <w:t xml:space="preserve"> prod</w:t>
      </w:r>
      <w:r w:rsidR="00746F73">
        <w:rPr>
          <w:sz w:val="24"/>
          <w:szCs w:val="24"/>
        </w:rPr>
        <w:t xml:space="preserve">ucts offered to U.S. consumers and in fact, while well-intentioned the DOE may be inadvertently </w:t>
      </w:r>
      <w:r w:rsidR="004972EE">
        <w:rPr>
          <w:sz w:val="24"/>
          <w:szCs w:val="24"/>
        </w:rPr>
        <w:t xml:space="preserve">picking </w:t>
      </w:r>
      <w:r w:rsidR="00746F73">
        <w:rPr>
          <w:sz w:val="24"/>
          <w:szCs w:val="24"/>
        </w:rPr>
        <w:t>winners and losers</w:t>
      </w:r>
      <w:r w:rsidR="004972EE">
        <w:rPr>
          <w:sz w:val="24"/>
          <w:szCs w:val="24"/>
        </w:rPr>
        <w:t xml:space="preserve">. </w:t>
      </w:r>
      <w:r w:rsidR="00746F73">
        <w:rPr>
          <w:sz w:val="24"/>
          <w:szCs w:val="24"/>
        </w:rPr>
        <w:t xml:space="preserve">This issue was a major concern to </w:t>
      </w:r>
      <w:r w:rsidR="00C52157" w:rsidRPr="00BE155F">
        <w:rPr>
          <w:sz w:val="24"/>
          <w:szCs w:val="24"/>
        </w:rPr>
        <w:t>industry when Canada raised their minimum stand</w:t>
      </w:r>
      <w:r w:rsidR="00174AF7">
        <w:rPr>
          <w:sz w:val="24"/>
          <w:szCs w:val="24"/>
        </w:rPr>
        <w:t>ard from 78% AFUE to 90% AFUE effective 2012</w:t>
      </w:r>
      <w:r w:rsidR="00746F73">
        <w:rPr>
          <w:sz w:val="24"/>
          <w:szCs w:val="24"/>
        </w:rPr>
        <w:t xml:space="preserve">. </w:t>
      </w:r>
      <w:r w:rsidR="00C52157" w:rsidRPr="00BE155F">
        <w:rPr>
          <w:sz w:val="24"/>
          <w:szCs w:val="24"/>
        </w:rPr>
        <w:t>Canadian industry was worr</w:t>
      </w:r>
      <w:r w:rsidR="00C52157">
        <w:rPr>
          <w:sz w:val="24"/>
          <w:szCs w:val="24"/>
        </w:rPr>
        <w:t xml:space="preserve">ied </w:t>
      </w:r>
      <w:r w:rsidR="00746F73">
        <w:rPr>
          <w:sz w:val="24"/>
          <w:szCs w:val="24"/>
        </w:rPr>
        <w:t xml:space="preserve">then </w:t>
      </w:r>
      <w:r w:rsidR="00C52157">
        <w:rPr>
          <w:sz w:val="24"/>
          <w:szCs w:val="24"/>
        </w:rPr>
        <w:t>that the product itself would</w:t>
      </w:r>
      <w:r w:rsidR="00C52157" w:rsidRPr="00BE155F">
        <w:rPr>
          <w:sz w:val="24"/>
          <w:szCs w:val="24"/>
        </w:rPr>
        <w:t xml:space="preserve"> start to bec</w:t>
      </w:r>
      <w:r w:rsidR="00C52157">
        <w:rPr>
          <w:sz w:val="24"/>
          <w:szCs w:val="24"/>
        </w:rPr>
        <w:t xml:space="preserve">ome a commodity to the consumer </w:t>
      </w:r>
      <w:r w:rsidR="00C52157" w:rsidRPr="00BE155F">
        <w:rPr>
          <w:sz w:val="24"/>
          <w:szCs w:val="24"/>
        </w:rPr>
        <w:t>and as a result, many smal</w:t>
      </w:r>
      <w:r w:rsidR="00746F73">
        <w:rPr>
          <w:sz w:val="24"/>
          <w:szCs w:val="24"/>
        </w:rPr>
        <w:t xml:space="preserve">l- and medium-sized </w:t>
      </w:r>
      <w:r w:rsidR="00C52157">
        <w:rPr>
          <w:sz w:val="24"/>
          <w:szCs w:val="24"/>
        </w:rPr>
        <w:t>furnace manufacturers would</w:t>
      </w:r>
      <w:r w:rsidR="00C52157" w:rsidRPr="00BE155F">
        <w:rPr>
          <w:sz w:val="24"/>
          <w:szCs w:val="24"/>
        </w:rPr>
        <w:t xml:space="preserve"> go out of business.</w:t>
      </w:r>
      <w:r w:rsidR="00094BFF">
        <w:rPr>
          <w:sz w:val="24"/>
          <w:szCs w:val="24"/>
        </w:rPr>
        <w:t xml:space="preserve"> </w:t>
      </w:r>
      <w:r w:rsidR="00C52157" w:rsidRPr="00BE155F">
        <w:rPr>
          <w:sz w:val="24"/>
          <w:szCs w:val="24"/>
        </w:rPr>
        <w:t xml:space="preserve">Despite the climatic difference, </w:t>
      </w:r>
      <w:r w:rsidR="00094BFF">
        <w:rPr>
          <w:sz w:val="24"/>
          <w:szCs w:val="24"/>
        </w:rPr>
        <w:t>it could be fruitful for</w:t>
      </w:r>
      <w:r w:rsidR="00C52157" w:rsidRPr="00BE155F">
        <w:rPr>
          <w:sz w:val="24"/>
          <w:szCs w:val="24"/>
        </w:rPr>
        <w:t xml:space="preserve"> the </w:t>
      </w:r>
      <w:r w:rsidR="000B4066">
        <w:rPr>
          <w:sz w:val="24"/>
          <w:szCs w:val="24"/>
        </w:rPr>
        <w:t>SoCalGas</w:t>
      </w:r>
      <w:r w:rsidR="00C52157" w:rsidRPr="00BE155F">
        <w:rPr>
          <w:sz w:val="24"/>
          <w:szCs w:val="24"/>
        </w:rPr>
        <w:t xml:space="preserve"> </w:t>
      </w:r>
      <w:r w:rsidR="00094BFF">
        <w:rPr>
          <w:sz w:val="24"/>
          <w:szCs w:val="24"/>
        </w:rPr>
        <w:t>to</w:t>
      </w:r>
      <w:r w:rsidR="00C52157" w:rsidRPr="00BE155F">
        <w:rPr>
          <w:sz w:val="24"/>
          <w:szCs w:val="24"/>
        </w:rPr>
        <w:t xml:space="preserve"> research</w:t>
      </w:r>
      <w:r w:rsidR="00C52157">
        <w:rPr>
          <w:sz w:val="24"/>
          <w:szCs w:val="24"/>
        </w:rPr>
        <w:t xml:space="preserve"> </w:t>
      </w:r>
      <w:r w:rsidR="00094BFF">
        <w:rPr>
          <w:sz w:val="24"/>
          <w:szCs w:val="24"/>
        </w:rPr>
        <w:t xml:space="preserve">the </w:t>
      </w:r>
      <w:r w:rsidR="001D1450">
        <w:rPr>
          <w:sz w:val="24"/>
          <w:szCs w:val="24"/>
        </w:rPr>
        <w:t>actual</w:t>
      </w:r>
      <w:r w:rsidR="00094BFF">
        <w:rPr>
          <w:sz w:val="24"/>
          <w:szCs w:val="24"/>
        </w:rPr>
        <w:t xml:space="preserve"> effects on the</w:t>
      </w:r>
      <w:r w:rsidR="00C52157">
        <w:rPr>
          <w:sz w:val="24"/>
          <w:szCs w:val="24"/>
        </w:rPr>
        <w:t xml:space="preserve"> Canadian</w:t>
      </w:r>
      <w:r w:rsidR="00C52157" w:rsidRPr="00BE155F">
        <w:rPr>
          <w:sz w:val="24"/>
          <w:szCs w:val="24"/>
        </w:rPr>
        <w:t xml:space="preserve"> market since </w:t>
      </w:r>
      <w:r w:rsidR="00AB5349">
        <w:rPr>
          <w:sz w:val="24"/>
          <w:szCs w:val="24"/>
        </w:rPr>
        <w:t xml:space="preserve">the standards bloomed into full debate in </w:t>
      </w:r>
      <w:r w:rsidR="00C52157" w:rsidRPr="00BE155F">
        <w:rPr>
          <w:sz w:val="24"/>
          <w:szCs w:val="24"/>
        </w:rPr>
        <w:t>2010.</w:t>
      </w:r>
      <w:r w:rsidR="001D1450">
        <w:rPr>
          <w:sz w:val="24"/>
          <w:szCs w:val="24"/>
        </w:rPr>
        <w:t xml:space="preserve"> This information c</w:t>
      </w:r>
      <w:r w:rsidR="00094BFF">
        <w:rPr>
          <w:sz w:val="24"/>
          <w:szCs w:val="24"/>
        </w:rPr>
        <w:t>ould</w:t>
      </w:r>
      <w:r w:rsidR="001D1450">
        <w:rPr>
          <w:sz w:val="24"/>
          <w:szCs w:val="24"/>
        </w:rPr>
        <w:t xml:space="preserve"> inform the</w:t>
      </w:r>
      <w:r w:rsidR="00094BFF">
        <w:rPr>
          <w:sz w:val="24"/>
          <w:szCs w:val="24"/>
        </w:rPr>
        <w:t xml:space="preserve"> parallel</w:t>
      </w:r>
      <w:r w:rsidR="001D1450">
        <w:rPr>
          <w:sz w:val="24"/>
          <w:szCs w:val="24"/>
        </w:rPr>
        <w:t xml:space="preserve"> process underway</w:t>
      </w:r>
      <w:r w:rsidR="00094BFF">
        <w:rPr>
          <w:sz w:val="24"/>
          <w:szCs w:val="24"/>
        </w:rPr>
        <w:t xml:space="preserve"> in this DOE NOPR</w:t>
      </w:r>
      <w:r w:rsidR="001D1450">
        <w:rPr>
          <w:sz w:val="24"/>
          <w:szCs w:val="24"/>
        </w:rPr>
        <w:t>.</w:t>
      </w:r>
    </w:p>
    <w:p w14:paraId="3A4EDCBF" w14:textId="77777777" w:rsidR="001D1450" w:rsidRPr="00BE155F" w:rsidRDefault="001D1450" w:rsidP="001D1450">
      <w:pPr>
        <w:pStyle w:val="ListParagraph"/>
        <w:ind w:left="828"/>
        <w:rPr>
          <w:sz w:val="24"/>
          <w:szCs w:val="24"/>
        </w:rPr>
      </w:pPr>
    </w:p>
    <w:p w14:paraId="7E776167" w14:textId="77777777" w:rsidR="00B542FA" w:rsidRDefault="00094BFF" w:rsidP="00F40169">
      <w:pPr>
        <w:pStyle w:val="ListParagraph"/>
        <w:numPr>
          <w:ilvl w:val="0"/>
          <w:numId w:val="25"/>
        </w:numPr>
        <w:rPr>
          <w:sz w:val="24"/>
          <w:szCs w:val="24"/>
        </w:rPr>
      </w:pPr>
      <w:r w:rsidRPr="00B17BFC">
        <w:rPr>
          <w:sz w:val="24"/>
          <w:szCs w:val="24"/>
          <w:highlight w:val="yellow"/>
        </w:rPr>
        <w:t>Increased costs of minimum efficiency gas furnaces, particularly in the retrofit market where the switch from non-condensing to condensing furnaces require changing the flue, make fuel-switching a potentially attractive alternative to consumers on a cost, rather than performance basis.</w:t>
      </w:r>
      <w:r>
        <w:rPr>
          <w:sz w:val="24"/>
          <w:szCs w:val="24"/>
        </w:rPr>
        <w:t xml:space="preserve">   </w:t>
      </w:r>
      <w:r w:rsidR="00BA509D">
        <w:rPr>
          <w:sz w:val="24"/>
          <w:szCs w:val="24"/>
        </w:rPr>
        <w:t>The fuel-switching issue is a potentially huge issue</w:t>
      </w:r>
      <w:r w:rsidR="00306EF8">
        <w:rPr>
          <w:sz w:val="24"/>
          <w:szCs w:val="24"/>
        </w:rPr>
        <w:t xml:space="preserve"> for California</w:t>
      </w:r>
      <w:r w:rsidR="00BA509D">
        <w:rPr>
          <w:sz w:val="24"/>
          <w:szCs w:val="24"/>
        </w:rPr>
        <w:t>, despite DOE comments</w:t>
      </w:r>
      <w:r w:rsidR="00AF2D78">
        <w:rPr>
          <w:sz w:val="24"/>
          <w:szCs w:val="24"/>
        </w:rPr>
        <w:t xml:space="preserve"> and analys</w:t>
      </w:r>
      <w:r w:rsidR="006D2E36">
        <w:rPr>
          <w:sz w:val="24"/>
          <w:szCs w:val="24"/>
        </w:rPr>
        <w:t>e</w:t>
      </w:r>
      <w:r w:rsidR="00AF2D78">
        <w:rPr>
          <w:sz w:val="24"/>
          <w:szCs w:val="24"/>
        </w:rPr>
        <w:t>s</w:t>
      </w:r>
      <w:r w:rsidR="00BA509D">
        <w:rPr>
          <w:sz w:val="24"/>
          <w:szCs w:val="24"/>
        </w:rPr>
        <w:t xml:space="preserve"> to the contrary. The fact is that </w:t>
      </w:r>
      <w:r w:rsidR="000E2371">
        <w:rPr>
          <w:sz w:val="24"/>
          <w:szCs w:val="24"/>
        </w:rPr>
        <w:t xml:space="preserve">some </w:t>
      </w:r>
      <w:r w:rsidR="00BA509D">
        <w:rPr>
          <w:sz w:val="24"/>
          <w:szCs w:val="24"/>
        </w:rPr>
        <w:t>fuel switching will occur</w:t>
      </w:r>
      <w:r w:rsidR="00996C80">
        <w:rPr>
          <w:sz w:val="24"/>
          <w:szCs w:val="24"/>
        </w:rPr>
        <w:t xml:space="preserve">, and this </w:t>
      </w:r>
      <w:r w:rsidR="00996C80" w:rsidRPr="0008105F">
        <w:rPr>
          <w:i/>
          <w:sz w:val="24"/>
          <w:szCs w:val="24"/>
        </w:rPr>
        <w:t xml:space="preserve">fuel switching </w:t>
      </w:r>
      <w:r w:rsidR="00996C80">
        <w:rPr>
          <w:i/>
          <w:sz w:val="24"/>
          <w:szCs w:val="24"/>
        </w:rPr>
        <w:t xml:space="preserve">from gas to electricity </w:t>
      </w:r>
      <w:r w:rsidR="00996C80" w:rsidRPr="0008105F">
        <w:rPr>
          <w:i/>
          <w:sz w:val="24"/>
          <w:szCs w:val="24"/>
        </w:rPr>
        <w:t xml:space="preserve">will result in an </w:t>
      </w:r>
      <w:r w:rsidR="00996C80" w:rsidRPr="00B77172">
        <w:rPr>
          <w:i/>
          <w:sz w:val="24"/>
          <w:szCs w:val="24"/>
        </w:rPr>
        <w:t>i</w:t>
      </w:r>
      <w:r w:rsidR="00996C80">
        <w:rPr>
          <w:i/>
          <w:sz w:val="24"/>
          <w:szCs w:val="24"/>
        </w:rPr>
        <w:t>ncrease in e</w:t>
      </w:r>
      <w:r w:rsidR="00BA509D" w:rsidRPr="004E45C6">
        <w:rPr>
          <w:i/>
          <w:sz w:val="24"/>
          <w:szCs w:val="24"/>
        </w:rPr>
        <w:t xml:space="preserve">missions </w:t>
      </w:r>
      <w:r w:rsidR="00996C80">
        <w:rPr>
          <w:i/>
          <w:sz w:val="24"/>
          <w:szCs w:val="24"/>
        </w:rPr>
        <w:t>as opposed to the decrease expected from an increase in the standard.</w:t>
      </w:r>
      <w:r w:rsidR="00996C80" w:rsidRPr="0008105F">
        <w:rPr>
          <w:sz w:val="24"/>
          <w:szCs w:val="24"/>
        </w:rPr>
        <w:t xml:space="preserve">  </w:t>
      </w:r>
      <w:r w:rsidR="004E45C6" w:rsidRPr="00B77172">
        <w:rPr>
          <w:sz w:val="24"/>
          <w:szCs w:val="24"/>
        </w:rPr>
        <w:t xml:space="preserve"> </w:t>
      </w:r>
      <w:r w:rsidR="00996C80">
        <w:rPr>
          <w:sz w:val="24"/>
          <w:szCs w:val="24"/>
        </w:rPr>
        <w:t>A</w:t>
      </w:r>
      <w:r w:rsidR="00BA509D">
        <w:rPr>
          <w:sz w:val="24"/>
          <w:szCs w:val="24"/>
        </w:rPr>
        <w:t xml:space="preserve"> switch from gas to electricity</w:t>
      </w:r>
      <w:r w:rsidR="00996C80">
        <w:rPr>
          <w:sz w:val="24"/>
          <w:szCs w:val="24"/>
        </w:rPr>
        <w:t xml:space="preserve"> increases emissions due to the losses in generation, transmission and distribution of electricity</w:t>
      </w:r>
      <w:r w:rsidR="00BA509D">
        <w:rPr>
          <w:sz w:val="24"/>
          <w:szCs w:val="24"/>
        </w:rPr>
        <w:t xml:space="preserve">. </w:t>
      </w:r>
      <w:r w:rsidR="00996C80">
        <w:rPr>
          <w:sz w:val="24"/>
          <w:szCs w:val="24"/>
        </w:rPr>
        <w:t>An</w:t>
      </w:r>
      <w:r w:rsidR="00BA509D">
        <w:rPr>
          <w:sz w:val="24"/>
          <w:szCs w:val="24"/>
        </w:rPr>
        <w:t xml:space="preserve"> </w:t>
      </w:r>
      <w:r w:rsidR="00946DA0">
        <w:rPr>
          <w:sz w:val="24"/>
          <w:szCs w:val="24"/>
        </w:rPr>
        <w:t xml:space="preserve">increase in emissions </w:t>
      </w:r>
      <w:r w:rsidR="00BA509D">
        <w:rPr>
          <w:sz w:val="24"/>
          <w:szCs w:val="24"/>
        </w:rPr>
        <w:t xml:space="preserve">is contrary </w:t>
      </w:r>
      <w:r w:rsidR="00306EF8">
        <w:rPr>
          <w:sz w:val="24"/>
          <w:szCs w:val="24"/>
        </w:rPr>
        <w:t>to the stated goals of the legislation</w:t>
      </w:r>
      <w:r w:rsidR="00996C80">
        <w:rPr>
          <w:sz w:val="24"/>
          <w:szCs w:val="24"/>
        </w:rPr>
        <w:t xml:space="preserve"> that</w:t>
      </w:r>
      <w:r w:rsidR="00306EF8">
        <w:rPr>
          <w:sz w:val="24"/>
          <w:szCs w:val="24"/>
        </w:rPr>
        <w:t xml:space="preserve"> </w:t>
      </w:r>
      <w:r w:rsidR="00205081">
        <w:rPr>
          <w:sz w:val="24"/>
          <w:szCs w:val="24"/>
        </w:rPr>
        <w:t>provides the basis</w:t>
      </w:r>
      <w:r w:rsidR="00306EF8">
        <w:rPr>
          <w:sz w:val="24"/>
          <w:szCs w:val="24"/>
        </w:rPr>
        <w:t xml:space="preserve"> for efficiency standards and </w:t>
      </w:r>
      <w:r w:rsidR="00205081">
        <w:rPr>
          <w:sz w:val="24"/>
          <w:szCs w:val="24"/>
        </w:rPr>
        <w:t xml:space="preserve">is </w:t>
      </w:r>
      <w:r w:rsidR="00306EF8">
        <w:rPr>
          <w:sz w:val="24"/>
          <w:szCs w:val="24"/>
        </w:rPr>
        <w:t>contrary to the</w:t>
      </w:r>
      <w:r w:rsidR="00224E32">
        <w:rPr>
          <w:sz w:val="24"/>
          <w:szCs w:val="24"/>
        </w:rPr>
        <w:t xml:space="preserve"> goal</w:t>
      </w:r>
      <w:r w:rsidR="004E45C6">
        <w:rPr>
          <w:sz w:val="24"/>
          <w:szCs w:val="24"/>
        </w:rPr>
        <w:t>s of the</w:t>
      </w:r>
      <w:r w:rsidR="00306EF8">
        <w:rPr>
          <w:sz w:val="24"/>
          <w:szCs w:val="24"/>
        </w:rPr>
        <w:t xml:space="preserve"> </w:t>
      </w:r>
      <w:r w:rsidR="00205081">
        <w:rPr>
          <w:sz w:val="24"/>
          <w:szCs w:val="24"/>
        </w:rPr>
        <w:t xml:space="preserve">current </w:t>
      </w:r>
      <w:r w:rsidR="00306EF8">
        <w:rPr>
          <w:sz w:val="24"/>
          <w:szCs w:val="24"/>
        </w:rPr>
        <w:t>Administration.</w:t>
      </w:r>
    </w:p>
    <w:p w14:paraId="44E09A56" w14:textId="77777777" w:rsidR="00306EF8" w:rsidRPr="00306EF8" w:rsidRDefault="00306EF8" w:rsidP="00306EF8">
      <w:pPr>
        <w:pStyle w:val="ListParagraph"/>
        <w:rPr>
          <w:sz w:val="24"/>
          <w:szCs w:val="24"/>
        </w:rPr>
      </w:pPr>
    </w:p>
    <w:p w14:paraId="778DC110" w14:textId="10325462" w:rsidR="00F00311" w:rsidRPr="00D83A66" w:rsidRDefault="00306EF8" w:rsidP="00D83A66">
      <w:pPr>
        <w:pStyle w:val="ListParagraph"/>
        <w:numPr>
          <w:ilvl w:val="0"/>
          <w:numId w:val="25"/>
        </w:numPr>
        <w:rPr>
          <w:sz w:val="24"/>
          <w:szCs w:val="24"/>
        </w:rPr>
      </w:pPr>
      <w:r w:rsidRPr="00B17BFC">
        <w:rPr>
          <w:sz w:val="24"/>
          <w:szCs w:val="24"/>
          <w:highlight w:val="yellow"/>
        </w:rPr>
        <w:t xml:space="preserve">The DOE uses extremely low values for </w:t>
      </w:r>
      <w:r w:rsidR="00E05D41" w:rsidRPr="00B17BFC">
        <w:rPr>
          <w:sz w:val="24"/>
          <w:szCs w:val="24"/>
          <w:highlight w:val="yellow"/>
        </w:rPr>
        <w:t xml:space="preserve">marginal </w:t>
      </w:r>
      <w:r w:rsidRPr="00B17BFC">
        <w:rPr>
          <w:sz w:val="24"/>
          <w:szCs w:val="24"/>
          <w:highlight w:val="yellow"/>
        </w:rPr>
        <w:t>electricity prices in California within their Life Cycle Cost (LCC) analysis;</w:t>
      </w:r>
      <w:r w:rsidR="00E05D41">
        <w:rPr>
          <w:sz w:val="24"/>
          <w:szCs w:val="24"/>
        </w:rPr>
        <w:t xml:space="preserve"> they include a range of $.17/kW</w:t>
      </w:r>
      <w:r w:rsidRPr="00306EF8">
        <w:rPr>
          <w:sz w:val="24"/>
          <w:szCs w:val="24"/>
        </w:rPr>
        <w:t xml:space="preserve">h </w:t>
      </w:r>
      <w:r w:rsidR="00E05D41">
        <w:rPr>
          <w:sz w:val="24"/>
          <w:szCs w:val="24"/>
        </w:rPr>
        <w:t xml:space="preserve">to $.20/kWh </w:t>
      </w:r>
      <w:r w:rsidRPr="00306EF8">
        <w:rPr>
          <w:sz w:val="24"/>
          <w:szCs w:val="24"/>
        </w:rPr>
        <w:t>vs. the $.</w:t>
      </w:r>
      <w:r w:rsidR="003D0F1F">
        <w:rPr>
          <w:sz w:val="24"/>
          <w:szCs w:val="24"/>
        </w:rPr>
        <w:t>25</w:t>
      </w:r>
      <w:r w:rsidRPr="00306EF8">
        <w:rPr>
          <w:sz w:val="24"/>
          <w:szCs w:val="24"/>
        </w:rPr>
        <w:t>/kwh to $.</w:t>
      </w:r>
      <w:r w:rsidR="003D0F1F">
        <w:rPr>
          <w:sz w:val="24"/>
          <w:szCs w:val="24"/>
        </w:rPr>
        <w:t>29</w:t>
      </w:r>
      <w:r w:rsidRPr="00306EF8">
        <w:rPr>
          <w:sz w:val="24"/>
          <w:szCs w:val="24"/>
        </w:rPr>
        <w:t>/kwh that we</w:t>
      </w:r>
      <w:r w:rsidR="003D0F1F">
        <w:rPr>
          <w:sz w:val="24"/>
          <w:szCs w:val="24"/>
        </w:rPr>
        <w:t xml:space="preserve">re current in 2013, the LCC reference point for this data (see </w:t>
      </w:r>
      <w:r w:rsidR="003D0F1F" w:rsidRPr="003D0F1F">
        <w:rPr>
          <w:sz w:val="24"/>
          <w:szCs w:val="24"/>
        </w:rPr>
        <w:t>http://www.sdge.com/tm2/pdf/ELEC_ELEC-SCHEDS_DR_2013.pd</w:t>
      </w:r>
      <w:r w:rsidR="00D83A66">
        <w:rPr>
          <w:sz w:val="24"/>
          <w:szCs w:val="24"/>
        </w:rPr>
        <w:t>f</w:t>
      </w:r>
      <w:r w:rsidR="003D0F1F" w:rsidRPr="00D83A66">
        <w:rPr>
          <w:sz w:val="24"/>
          <w:szCs w:val="24"/>
        </w:rPr>
        <w:t>)</w:t>
      </w:r>
      <w:r w:rsidRPr="00D83A66">
        <w:rPr>
          <w:sz w:val="24"/>
          <w:szCs w:val="24"/>
        </w:rPr>
        <w:t>.</w:t>
      </w:r>
      <w:r w:rsidR="00E05D41" w:rsidRPr="00D83A66">
        <w:rPr>
          <w:sz w:val="24"/>
          <w:szCs w:val="24"/>
        </w:rPr>
        <w:t xml:space="preserve"> </w:t>
      </w:r>
      <w:r w:rsidR="00ED5F43" w:rsidRPr="00D83A66">
        <w:rPr>
          <w:sz w:val="24"/>
          <w:szCs w:val="24"/>
        </w:rPr>
        <w:t>However, w</w:t>
      </w:r>
      <w:r w:rsidR="00E05D41" w:rsidRPr="00D83A66">
        <w:rPr>
          <w:sz w:val="24"/>
          <w:szCs w:val="24"/>
        </w:rPr>
        <w:t>e are not certain if th</w:t>
      </w:r>
      <w:r w:rsidR="00ED5F43" w:rsidRPr="00D83A66">
        <w:rPr>
          <w:sz w:val="24"/>
          <w:szCs w:val="24"/>
        </w:rPr>
        <w:t>e DOE values</w:t>
      </w:r>
      <w:r w:rsidR="00E05D41" w:rsidRPr="00D83A66">
        <w:rPr>
          <w:sz w:val="24"/>
          <w:szCs w:val="24"/>
        </w:rPr>
        <w:t xml:space="preserve"> </w:t>
      </w:r>
      <w:r w:rsidR="00ED5F43" w:rsidRPr="00D83A66">
        <w:rPr>
          <w:sz w:val="24"/>
          <w:szCs w:val="24"/>
        </w:rPr>
        <w:t>constitute</w:t>
      </w:r>
      <w:r w:rsidR="00E05D41" w:rsidRPr="00D83A66">
        <w:rPr>
          <w:sz w:val="24"/>
          <w:szCs w:val="24"/>
        </w:rPr>
        <w:t xml:space="preserve"> </w:t>
      </w:r>
      <w:r w:rsidR="00E05D41" w:rsidRPr="00D83A66">
        <w:rPr>
          <w:i/>
          <w:sz w:val="24"/>
          <w:szCs w:val="24"/>
        </w:rPr>
        <w:t>average</w:t>
      </w:r>
      <w:r w:rsidR="00E05D41" w:rsidRPr="00D83A66">
        <w:rPr>
          <w:sz w:val="24"/>
          <w:szCs w:val="24"/>
        </w:rPr>
        <w:t xml:space="preserve"> marginal electricity cost</w:t>
      </w:r>
      <w:r w:rsidR="00ED5F43" w:rsidRPr="00D83A66">
        <w:rPr>
          <w:sz w:val="24"/>
          <w:szCs w:val="24"/>
        </w:rPr>
        <w:t>s; this will be answered</w:t>
      </w:r>
      <w:r w:rsidR="00B272DF" w:rsidRPr="00D83A66">
        <w:rPr>
          <w:sz w:val="24"/>
          <w:szCs w:val="24"/>
        </w:rPr>
        <w:t xml:space="preserve"> in the</w:t>
      </w:r>
      <w:r w:rsidR="00E05D41" w:rsidRPr="00D83A66">
        <w:rPr>
          <w:sz w:val="24"/>
          <w:szCs w:val="24"/>
        </w:rPr>
        <w:t xml:space="preserve"> April 13 continuation of a public hearing that started on March 27, 2015.</w:t>
      </w:r>
    </w:p>
    <w:p w14:paraId="14346B44" w14:textId="77777777" w:rsidR="00B77172" w:rsidRPr="00F946F3" w:rsidRDefault="00F4600B" w:rsidP="00F40169">
      <w:pPr>
        <w:pStyle w:val="SCGMemo"/>
        <w:numPr>
          <w:ilvl w:val="0"/>
          <w:numId w:val="25"/>
        </w:numPr>
      </w:pPr>
      <w:r w:rsidRPr="00B17BFC">
        <w:rPr>
          <w:highlight w:val="yellow"/>
        </w:rPr>
        <w:t xml:space="preserve">With respect to retrofits, </w:t>
      </w:r>
      <w:r w:rsidR="00B272DF" w:rsidRPr="00B17BFC">
        <w:rPr>
          <w:highlight w:val="yellow"/>
        </w:rPr>
        <w:t>we contend that the actual</w:t>
      </w:r>
      <w:r w:rsidRPr="00B17BFC">
        <w:rPr>
          <w:highlight w:val="yellow"/>
        </w:rPr>
        <w:t xml:space="preserve"> costs are substantially higher</w:t>
      </w:r>
      <w:r w:rsidR="00B272DF" w:rsidRPr="00B17BFC">
        <w:rPr>
          <w:highlight w:val="yellow"/>
        </w:rPr>
        <w:t xml:space="preserve"> than those used by the DOE.</w:t>
      </w:r>
      <w:r w:rsidR="00B272DF" w:rsidRPr="00F946F3">
        <w:t xml:space="preserve">  This</w:t>
      </w:r>
      <w:r w:rsidR="00475898" w:rsidRPr="00F946F3">
        <w:t xml:space="preserve"> need</w:t>
      </w:r>
      <w:r w:rsidR="00B272DF" w:rsidRPr="00F946F3">
        <w:t>s</w:t>
      </w:r>
      <w:r w:rsidR="00475898" w:rsidRPr="00F946F3">
        <w:t xml:space="preserve"> to be confirmed in the</w:t>
      </w:r>
      <w:r w:rsidR="00B272DF" w:rsidRPr="00F946F3">
        <w:t xml:space="preserve"> </w:t>
      </w:r>
      <w:proofErr w:type="spellStart"/>
      <w:r w:rsidR="000B4066">
        <w:t>SoCalGas</w:t>
      </w:r>
      <w:r w:rsidR="00FE4783" w:rsidRPr="00F946F3">
        <w:t>’s</w:t>
      </w:r>
      <w:proofErr w:type="spellEnd"/>
      <w:r w:rsidR="00FE4783" w:rsidRPr="00F946F3">
        <w:t xml:space="preserve"> service territory.</w:t>
      </w:r>
      <w:r w:rsidR="00CC352C" w:rsidRPr="00F946F3">
        <w:t xml:space="preserve"> </w:t>
      </w:r>
      <w:r w:rsidR="007E7AB7" w:rsidRPr="00F946F3">
        <w:t xml:space="preserve"> National averages provided by DOE for the purchase and installation of a new 92% AFUE furnace in 2021 (the first year that the standards would take effect</w:t>
      </w:r>
      <w:r w:rsidR="00B272DF" w:rsidRPr="00F946F3">
        <w:t>;</w:t>
      </w:r>
      <w:r w:rsidR="007E7AB7" w:rsidRPr="00F946F3">
        <w:t xml:space="preserve"> in 2013 $) are estimated to cost consumers $2,712.31, which is $493.96 more than an 80% AFUE furnace. </w:t>
      </w:r>
      <w:r w:rsidR="00B272DF" w:rsidRPr="00F946F3">
        <w:t xml:space="preserve"> This is both contrary to market experience that necessarily includes substantial costs for changing the flue, and</w:t>
      </w:r>
      <w:r w:rsidR="007E7AB7" w:rsidRPr="00F946F3">
        <w:t xml:space="preserve"> DOE</w:t>
      </w:r>
      <w:r w:rsidR="00B272DF" w:rsidRPr="00F946F3">
        <w:t xml:space="preserve">’s own </w:t>
      </w:r>
      <w:r w:rsidR="007E7AB7" w:rsidRPr="00F946F3">
        <w:t xml:space="preserve">estimates </w:t>
      </w:r>
      <w:r w:rsidR="00B272DF" w:rsidRPr="00F946F3">
        <w:t xml:space="preserve">of </w:t>
      </w:r>
      <w:r w:rsidR="007E7AB7" w:rsidRPr="00F946F3">
        <w:t xml:space="preserve">the </w:t>
      </w:r>
      <w:r w:rsidR="00B272DF" w:rsidRPr="00F946F3">
        <w:t>incremental</w:t>
      </w:r>
      <w:r w:rsidR="007E7AB7" w:rsidRPr="00F946F3">
        <w:t xml:space="preserve"> costs of installing a 92% AFUE furnace </w:t>
      </w:r>
      <w:r w:rsidR="00B272DF" w:rsidRPr="00F946F3">
        <w:t>in</w:t>
      </w:r>
      <w:r w:rsidR="007E7AB7" w:rsidRPr="00F946F3">
        <w:t xml:space="preserve"> new homes</w:t>
      </w:r>
      <w:r w:rsidR="00B272DF" w:rsidRPr="00F946F3">
        <w:t>:</w:t>
      </w:r>
      <w:r w:rsidR="007E7AB7" w:rsidRPr="00F946F3">
        <w:t xml:space="preserve">  $ </w:t>
      </w:r>
      <w:r w:rsidR="007A6280" w:rsidRPr="00F946F3">
        <w:t>2,848.31</w:t>
      </w:r>
      <w:r w:rsidR="007E7AB7" w:rsidRPr="00F946F3">
        <w:t xml:space="preserve"> and $</w:t>
      </w:r>
      <w:r w:rsidR="007A6280" w:rsidRPr="00F946F3">
        <w:t>2,249</w:t>
      </w:r>
      <w:r w:rsidR="007E7AB7" w:rsidRPr="00F946F3">
        <w:t xml:space="preserve"> to upgrade an existing furnace.</w:t>
      </w:r>
    </w:p>
    <w:p w14:paraId="3A03CB46" w14:textId="77777777" w:rsidR="00306EF8" w:rsidRPr="009E4A5B" w:rsidRDefault="00946DA0" w:rsidP="00F40169">
      <w:pPr>
        <w:pStyle w:val="SCGMemo"/>
        <w:numPr>
          <w:ilvl w:val="0"/>
          <w:numId w:val="25"/>
        </w:numPr>
      </w:pPr>
      <w:r w:rsidRPr="00B17BFC">
        <w:rPr>
          <w:highlight w:val="yellow"/>
        </w:rPr>
        <w:t xml:space="preserve">Low-income customers in the </w:t>
      </w:r>
      <w:proofErr w:type="spellStart"/>
      <w:r w:rsidR="000B4066" w:rsidRPr="00B17BFC">
        <w:rPr>
          <w:highlight w:val="yellow"/>
        </w:rPr>
        <w:t>SoCalGas</w:t>
      </w:r>
      <w:r w:rsidR="00D75335" w:rsidRPr="00B17BFC">
        <w:rPr>
          <w:highlight w:val="yellow"/>
        </w:rPr>
        <w:t>’s</w:t>
      </w:r>
      <w:proofErr w:type="spellEnd"/>
      <w:r w:rsidRPr="00B17BFC">
        <w:rPr>
          <w:highlight w:val="yellow"/>
        </w:rPr>
        <w:t xml:space="preserve"> territory and other parts of the U.S. will bear an unusually heavy burden of the standards;</w:t>
      </w:r>
      <w:r w:rsidRPr="00F946F3">
        <w:t xml:space="preserve"> DOE analysis shows that low-income consumers will be hit hard</w:t>
      </w:r>
      <w:r w:rsidR="00306EF8" w:rsidRPr="00F946F3">
        <w:t xml:space="preserve">, and they maintain that these costs are necessary and worth it given the </w:t>
      </w:r>
      <w:r w:rsidR="00D75335" w:rsidRPr="00F946F3">
        <w:t xml:space="preserve">energy </w:t>
      </w:r>
      <w:r w:rsidR="00306EF8" w:rsidRPr="00F946F3">
        <w:t>needs of the nation</w:t>
      </w:r>
      <w:r w:rsidRPr="00F946F3">
        <w:t xml:space="preserve">. </w:t>
      </w:r>
      <w:r w:rsidR="008B5161" w:rsidRPr="00F946F3">
        <w:t xml:space="preserve"> However, low and fixed income homeowners are less likely to purchase a new home, and are thus forced to endure potentially costly retrofit installations. Additionally, low and fixed income homeowners typically live in smaller spaces which require less energy to heat, reducing or eliminating </w:t>
      </w:r>
      <w:proofErr w:type="spellStart"/>
      <w:r w:rsidR="008B5161" w:rsidRPr="00F946F3">
        <w:t>potental</w:t>
      </w:r>
      <w:proofErr w:type="spellEnd"/>
      <w:r w:rsidR="008B5161" w:rsidRPr="00F946F3">
        <w:t xml:space="preserve"> valu</w:t>
      </w:r>
      <w:r w:rsidR="00F946F3" w:rsidRPr="00F946F3">
        <w:t>e of a high efficiency product. NOPR participant AGLR calculated that t</w:t>
      </w:r>
      <w:r w:rsidR="008B5161" w:rsidRPr="00F946F3">
        <w:t>he overwhelming majority of low and fixed income homeowners will receive neutral or negative paybacks when they install a new condensing furnace. Additionally, low and fixed income renters will be forced to deal with higher rents when</w:t>
      </w:r>
      <w:r w:rsidR="00F946F3" w:rsidRPr="00F946F3">
        <w:t xml:space="preserve"> landlords are required to install high efficiency furnaces. </w:t>
      </w:r>
      <w:r w:rsidR="00B77172">
        <w:t xml:space="preserve">The </w:t>
      </w:r>
      <w:r w:rsidR="000B4066">
        <w:t>SoCalGas</w:t>
      </w:r>
      <w:r w:rsidR="00306EF8">
        <w:t xml:space="preserve"> </w:t>
      </w:r>
      <w:r w:rsidR="00BE10FA">
        <w:t xml:space="preserve">is advised </w:t>
      </w:r>
      <w:r w:rsidR="00306EF8">
        <w:t xml:space="preserve">to examine exactly </w:t>
      </w:r>
      <w:r w:rsidR="00D75335">
        <w:t>which customer classes</w:t>
      </w:r>
      <w:r w:rsidR="00306EF8">
        <w:t xml:space="preserve"> will be impacted due to this proposed standard</w:t>
      </w:r>
      <w:r w:rsidR="00BE10FA">
        <w:t>, in particular which low-income customers,</w:t>
      </w:r>
      <w:r w:rsidR="00306EF8">
        <w:t xml:space="preserve"> </w:t>
      </w:r>
      <w:r>
        <w:t>as soon as possible.</w:t>
      </w:r>
    </w:p>
    <w:p w14:paraId="3E99FF6A" w14:textId="77777777" w:rsidR="00B542FA" w:rsidRDefault="00B542FA" w:rsidP="00F40169">
      <w:pPr>
        <w:pStyle w:val="ListParagraph"/>
        <w:numPr>
          <w:ilvl w:val="0"/>
          <w:numId w:val="25"/>
        </w:numPr>
        <w:rPr>
          <w:sz w:val="24"/>
          <w:szCs w:val="24"/>
        </w:rPr>
      </w:pPr>
      <w:r w:rsidRPr="00B17BFC">
        <w:rPr>
          <w:sz w:val="24"/>
          <w:szCs w:val="24"/>
          <w:highlight w:val="yellow"/>
        </w:rPr>
        <w:t xml:space="preserve">The DOE likely overestimates the lifespan on the typical gas furnace at 21.5 years in their </w:t>
      </w:r>
      <w:r w:rsidR="00BE10FA" w:rsidRPr="00B17BFC">
        <w:rPr>
          <w:sz w:val="24"/>
          <w:szCs w:val="24"/>
          <w:highlight w:val="yellow"/>
        </w:rPr>
        <w:t xml:space="preserve">current </w:t>
      </w:r>
      <w:r w:rsidRPr="00B17BFC">
        <w:rPr>
          <w:sz w:val="24"/>
          <w:szCs w:val="24"/>
          <w:highlight w:val="yellow"/>
        </w:rPr>
        <w:t>LCC analysis</w:t>
      </w:r>
      <w:r>
        <w:rPr>
          <w:sz w:val="24"/>
          <w:szCs w:val="24"/>
        </w:rPr>
        <w:t>. This is arguable, as</w:t>
      </w:r>
      <w:r w:rsidR="00306EF8">
        <w:rPr>
          <w:sz w:val="24"/>
          <w:szCs w:val="24"/>
        </w:rPr>
        <w:t xml:space="preserve"> is </w:t>
      </w:r>
      <w:r>
        <w:rPr>
          <w:sz w:val="24"/>
          <w:szCs w:val="24"/>
        </w:rPr>
        <w:t>the condition of many of the homes retrofitted</w:t>
      </w:r>
      <w:r w:rsidR="00D75335">
        <w:rPr>
          <w:sz w:val="24"/>
          <w:szCs w:val="24"/>
        </w:rPr>
        <w:t xml:space="preserve"> </w:t>
      </w:r>
      <w:r w:rsidR="00BE10FA">
        <w:rPr>
          <w:sz w:val="24"/>
          <w:szCs w:val="24"/>
        </w:rPr>
        <w:t xml:space="preserve">with such an old system </w:t>
      </w:r>
      <w:r w:rsidR="00D75335">
        <w:rPr>
          <w:sz w:val="24"/>
          <w:szCs w:val="24"/>
        </w:rPr>
        <w:t>(with po</w:t>
      </w:r>
      <w:r w:rsidR="00BE10FA">
        <w:rPr>
          <w:sz w:val="24"/>
          <w:szCs w:val="24"/>
        </w:rPr>
        <w:t>tentially</w:t>
      </w:r>
      <w:r w:rsidR="00D75335">
        <w:rPr>
          <w:sz w:val="24"/>
          <w:szCs w:val="24"/>
        </w:rPr>
        <w:t xml:space="preserve"> higher costs due to the poorer condition of the homes</w:t>
      </w:r>
      <w:r w:rsidR="00BE10FA">
        <w:rPr>
          <w:sz w:val="24"/>
          <w:szCs w:val="24"/>
        </w:rPr>
        <w:t xml:space="preserve"> and their equipment</w:t>
      </w:r>
      <w:r w:rsidR="00D75335">
        <w:rPr>
          <w:sz w:val="24"/>
          <w:szCs w:val="24"/>
        </w:rPr>
        <w:t>)</w:t>
      </w:r>
      <w:r>
        <w:rPr>
          <w:sz w:val="24"/>
          <w:szCs w:val="24"/>
        </w:rPr>
        <w:t>.</w:t>
      </w:r>
      <w:r w:rsidR="00290B51" w:rsidRPr="00290B51">
        <w:t xml:space="preserve"> </w:t>
      </w:r>
      <w:r w:rsidR="00BE10FA" w:rsidRPr="0008105F">
        <w:rPr>
          <w:sz w:val="24"/>
          <w:szCs w:val="24"/>
        </w:rPr>
        <w:t>In Canada, w</w:t>
      </w:r>
      <w:r w:rsidR="00290B51" w:rsidRPr="00B02940">
        <w:rPr>
          <w:sz w:val="24"/>
          <w:szCs w:val="24"/>
        </w:rPr>
        <w:t>hen</w:t>
      </w:r>
      <w:r w:rsidR="00290B51" w:rsidRPr="00290B51">
        <w:rPr>
          <w:sz w:val="24"/>
          <w:szCs w:val="24"/>
        </w:rPr>
        <w:t xml:space="preserve"> the Energy Efficiency Branch of the British Columbia Ministry of Energy and Mines proposed an Annual Fuel </w:t>
      </w:r>
      <w:r w:rsidR="00290B51" w:rsidRPr="00290B51">
        <w:rPr>
          <w:sz w:val="24"/>
          <w:szCs w:val="24"/>
        </w:rPr>
        <w:lastRenderedPageBreak/>
        <w:t>Utilization Efficiency (AFUE) ≥ 92% in January 201</w:t>
      </w:r>
      <w:r w:rsidR="00D75335">
        <w:rPr>
          <w:sz w:val="24"/>
          <w:szCs w:val="24"/>
        </w:rPr>
        <w:t>4, their modeling assumption included</w:t>
      </w:r>
      <w:r w:rsidR="00290B51" w:rsidRPr="00290B51">
        <w:rPr>
          <w:sz w:val="24"/>
          <w:szCs w:val="24"/>
        </w:rPr>
        <w:t xml:space="preserve"> a product lifetime of 15 years, six</w:t>
      </w:r>
      <w:r w:rsidR="00D75335">
        <w:rPr>
          <w:sz w:val="24"/>
          <w:szCs w:val="24"/>
        </w:rPr>
        <w:t xml:space="preserve">-and-half </w:t>
      </w:r>
      <w:r w:rsidR="00290B51" w:rsidRPr="00290B51">
        <w:rPr>
          <w:sz w:val="24"/>
          <w:szCs w:val="24"/>
        </w:rPr>
        <w:t xml:space="preserve">years less than </w:t>
      </w:r>
      <w:r w:rsidR="00D75335">
        <w:rPr>
          <w:sz w:val="24"/>
          <w:szCs w:val="24"/>
        </w:rPr>
        <w:t>the DOE uses in its NOPR analysis</w:t>
      </w:r>
      <w:r w:rsidR="00290B51" w:rsidRPr="00290B51">
        <w:rPr>
          <w:sz w:val="24"/>
          <w:szCs w:val="24"/>
        </w:rPr>
        <w:t>.</w:t>
      </w:r>
      <w:r w:rsidR="00B45138">
        <w:rPr>
          <w:sz w:val="24"/>
          <w:szCs w:val="24"/>
        </w:rPr>
        <w:t xml:space="preserve"> Given that the payback period is crucial for the economic justification of the new standard our team believes that this is </w:t>
      </w:r>
      <w:r w:rsidR="00BE10FA">
        <w:rPr>
          <w:sz w:val="24"/>
          <w:szCs w:val="24"/>
        </w:rPr>
        <w:t xml:space="preserve">potentially a major </w:t>
      </w:r>
      <w:r w:rsidR="00B45138">
        <w:rPr>
          <w:sz w:val="24"/>
          <w:szCs w:val="24"/>
        </w:rPr>
        <w:t>issue.</w:t>
      </w:r>
    </w:p>
    <w:p w14:paraId="34E86E2F" w14:textId="77777777" w:rsidR="00306EF8" w:rsidRDefault="00306EF8" w:rsidP="00306EF8">
      <w:pPr>
        <w:pStyle w:val="ListParagraph"/>
        <w:ind w:left="828"/>
        <w:rPr>
          <w:sz w:val="24"/>
          <w:szCs w:val="24"/>
        </w:rPr>
      </w:pPr>
    </w:p>
    <w:p w14:paraId="53D7D165" w14:textId="77777777" w:rsidR="0091033B" w:rsidRDefault="00B542FA" w:rsidP="00F40169">
      <w:pPr>
        <w:pStyle w:val="ListParagraph"/>
        <w:numPr>
          <w:ilvl w:val="0"/>
          <w:numId w:val="25"/>
        </w:numPr>
        <w:rPr>
          <w:sz w:val="24"/>
          <w:szCs w:val="24"/>
        </w:rPr>
      </w:pPr>
      <w:r>
        <w:rPr>
          <w:sz w:val="24"/>
          <w:szCs w:val="24"/>
        </w:rPr>
        <w:t>The cost of asbestos removal in retrofitted homes is largely ignored</w:t>
      </w:r>
      <w:r w:rsidR="00306EF8">
        <w:rPr>
          <w:sz w:val="24"/>
          <w:szCs w:val="24"/>
        </w:rPr>
        <w:t xml:space="preserve"> in the </w:t>
      </w:r>
      <w:r w:rsidR="00841A49">
        <w:rPr>
          <w:sz w:val="24"/>
          <w:szCs w:val="24"/>
        </w:rPr>
        <w:t xml:space="preserve">DOE </w:t>
      </w:r>
      <w:r w:rsidR="00306EF8">
        <w:rPr>
          <w:sz w:val="24"/>
          <w:szCs w:val="24"/>
        </w:rPr>
        <w:t>analysis</w:t>
      </w:r>
      <w:r>
        <w:rPr>
          <w:sz w:val="24"/>
          <w:szCs w:val="24"/>
        </w:rPr>
        <w:t xml:space="preserve">. </w:t>
      </w:r>
      <w:proofErr w:type="spellStart"/>
      <w:r>
        <w:rPr>
          <w:sz w:val="24"/>
          <w:szCs w:val="24"/>
        </w:rPr>
        <w:t>BIRAenergy</w:t>
      </w:r>
      <w:proofErr w:type="spellEnd"/>
      <w:r>
        <w:rPr>
          <w:sz w:val="24"/>
          <w:szCs w:val="24"/>
        </w:rPr>
        <w:t xml:space="preserve"> estimates that asbestos removal, despite low volumes</w:t>
      </w:r>
      <w:r w:rsidR="00306EF8">
        <w:rPr>
          <w:sz w:val="24"/>
          <w:szCs w:val="24"/>
        </w:rPr>
        <w:t xml:space="preserve"> </w:t>
      </w:r>
      <w:r w:rsidR="00841A49">
        <w:rPr>
          <w:sz w:val="24"/>
          <w:szCs w:val="24"/>
        </w:rPr>
        <w:t xml:space="preserve">of asbestos </w:t>
      </w:r>
      <w:r w:rsidR="00306EF8">
        <w:rPr>
          <w:sz w:val="24"/>
          <w:szCs w:val="24"/>
        </w:rPr>
        <w:t>on each job</w:t>
      </w:r>
      <w:r>
        <w:rPr>
          <w:sz w:val="24"/>
          <w:szCs w:val="24"/>
        </w:rPr>
        <w:t>, can add</w:t>
      </w:r>
      <w:r w:rsidR="00841A49">
        <w:rPr>
          <w:sz w:val="24"/>
          <w:szCs w:val="24"/>
        </w:rPr>
        <w:t xml:space="preserve"> as much as</w:t>
      </w:r>
      <w:r>
        <w:rPr>
          <w:sz w:val="24"/>
          <w:szCs w:val="24"/>
        </w:rPr>
        <w:t xml:space="preserve"> 40</w:t>
      </w:r>
      <w:r w:rsidR="00BE10FA">
        <w:rPr>
          <w:sz w:val="24"/>
          <w:szCs w:val="24"/>
        </w:rPr>
        <w:t>%</w:t>
      </w:r>
      <w:r w:rsidR="00BE10FA">
        <w:rPr>
          <w:rStyle w:val="FootnoteReference"/>
          <w:sz w:val="24"/>
          <w:szCs w:val="24"/>
        </w:rPr>
        <w:footnoteReference w:id="1"/>
      </w:r>
      <w:r>
        <w:rPr>
          <w:sz w:val="24"/>
          <w:szCs w:val="24"/>
        </w:rPr>
        <w:t xml:space="preserve"> to the cost of a fu</w:t>
      </w:r>
      <w:r w:rsidR="00841A49">
        <w:rPr>
          <w:sz w:val="24"/>
          <w:szCs w:val="24"/>
        </w:rPr>
        <w:t xml:space="preserve">rnace retrofit job in the </w:t>
      </w:r>
      <w:proofErr w:type="spellStart"/>
      <w:r w:rsidR="000B4066">
        <w:rPr>
          <w:sz w:val="24"/>
          <w:szCs w:val="24"/>
        </w:rPr>
        <w:t>SoCalGas</w:t>
      </w:r>
      <w:r w:rsidR="00841A49">
        <w:rPr>
          <w:sz w:val="24"/>
          <w:szCs w:val="24"/>
        </w:rPr>
        <w:t>’s</w:t>
      </w:r>
      <w:proofErr w:type="spellEnd"/>
      <w:r w:rsidR="00841A49">
        <w:rPr>
          <w:sz w:val="24"/>
          <w:szCs w:val="24"/>
        </w:rPr>
        <w:t xml:space="preserve"> service territory</w:t>
      </w:r>
      <w:r>
        <w:rPr>
          <w:sz w:val="24"/>
          <w:szCs w:val="24"/>
        </w:rPr>
        <w:t>.</w:t>
      </w:r>
    </w:p>
    <w:p w14:paraId="1989051B" w14:textId="77777777" w:rsidR="0059614F" w:rsidRPr="0059614F" w:rsidRDefault="0059614F" w:rsidP="0059614F">
      <w:pPr>
        <w:pStyle w:val="ListParagraph"/>
        <w:ind w:left="828"/>
        <w:rPr>
          <w:sz w:val="24"/>
          <w:szCs w:val="24"/>
        </w:rPr>
      </w:pPr>
    </w:p>
    <w:p w14:paraId="3895A87D" w14:textId="6D05246E" w:rsidR="0091033B" w:rsidRDefault="00BE10FA" w:rsidP="00F40169">
      <w:pPr>
        <w:pStyle w:val="ListParagraph"/>
        <w:numPr>
          <w:ilvl w:val="0"/>
          <w:numId w:val="25"/>
        </w:numPr>
        <w:rPr>
          <w:sz w:val="24"/>
          <w:szCs w:val="24"/>
        </w:rPr>
      </w:pPr>
      <w:r w:rsidRPr="00B17BFC">
        <w:rPr>
          <w:sz w:val="24"/>
          <w:szCs w:val="24"/>
          <w:highlight w:val="yellow"/>
        </w:rPr>
        <w:t>Despite some potentially low cost estimates input into their analyses, t</w:t>
      </w:r>
      <w:r w:rsidR="0059614F" w:rsidRPr="00B17BFC">
        <w:rPr>
          <w:sz w:val="24"/>
          <w:szCs w:val="24"/>
          <w:highlight w:val="yellow"/>
        </w:rPr>
        <w:t xml:space="preserve">he DOE Life Cycle Cost (LCC) </w:t>
      </w:r>
      <w:r w:rsidR="00C55615" w:rsidRPr="00B17BFC">
        <w:rPr>
          <w:sz w:val="24"/>
          <w:szCs w:val="24"/>
          <w:highlight w:val="yellow"/>
        </w:rPr>
        <w:t>analysis has a payback time of  11.2, 10.6 and 12.5 years for replacing an 80% efficient furnace with a 92% efficient model for the country “Overall”, the “North”, and the “Rest of country”, respectively.</w:t>
      </w:r>
      <w:r w:rsidR="00C55615">
        <w:rPr>
          <w:sz w:val="24"/>
          <w:szCs w:val="24"/>
        </w:rPr>
        <w:t xml:space="preserve">   </w:t>
      </w:r>
      <w:r w:rsidR="0059614F">
        <w:rPr>
          <w:sz w:val="24"/>
          <w:szCs w:val="24"/>
        </w:rPr>
        <w:t>T</w:t>
      </w:r>
      <w:r>
        <w:rPr>
          <w:sz w:val="24"/>
          <w:szCs w:val="24"/>
        </w:rPr>
        <w:t>o the typical homeowner, t</w:t>
      </w:r>
      <w:r w:rsidR="0059614F">
        <w:rPr>
          <w:sz w:val="24"/>
          <w:szCs w:val="24"/>
        </w:rPr>
        <w:t xml:space="preserve">his </w:t>
      </w:r>
      <w:r w:rsidR="00EE2CC9">
        <w:rPr>
          <w:sz w:val="24"/>
          <w:szCs w:val="24"/>
        </w:rPr>
        <w:t>can be</w:t>
      </w:r>
      <w:r w:rsidR="0059614F">
        <w:rPr>
          <w:sz w:val="24"/>
          <w:szCs w:val="24"/>
        </w:rPr>
        <w:t xml:space="preserve"> a long time, and subject to </w:t>
      </w:r>
      <w:r w:rsidR="00F77BF3">
        <w:rPr>
          <w:sz w:val="24"/>
          <w:szCs w:val="24"/>
        </w:rPr>
        <w:t xml:space="preserve">considerable </w:t>
      </w:r>
      <w:r w:rsidR="0059614F">
        <w:rPr>
          <w:sz w:val="24"/>
          <w:szCs w:val="24"/>
        </w:rPr>
        <w:t>scrutiny</w:t>
      </w:r>
      <w:r w:rsidR="00EE2CC9">
        <w:rPr>
          <w:sz w:val="24"/>
          <w:szCs w:val="24"/>
        </w:rPr>
        <w:t xml:space="preserve"> given the DOE’s use of national averages</w:t>
      </w:r>
      <w:r w:rsidR="0059614F">
        <w:rPr>
          <w:sz w:val="24"/>
          <w:szCs w:val="24"/>
        </w:rPr>
        <w:t>.</w:t>
      </w:r>
      <w:r w:rsidR="00EC371C">
        <w:rPr>
          <w:sz w:val="24"/>
          <w:szCs w:val="24"/>
        </w:rPr>
        <w:t xml:space="preserve"> Of particular concern is that </w:t>
      </w:r>
      <w:r w:rsidR="00C55615">
        <w:rPr>
          <w:sz w:val="24"/>
          <w:szCs w:val="24"/>
        </w:rPr>
        <w:t xml:space="preserve">the payback time is </w:t>
      </w:r>
      <w:r w:rsidR="00F77BF3">
        <w:rPr>
          <w:sz w:val="24"/>
          <w:szCs w:val="24"/>
        </w:rPr>
        <w:t>longer than the average time of possession for many U.S. homeowner</w:t>
      </w:r>
      <w:r w:rsidR="00EC371C">
        <w:rPr>
          <w:sz w:val="24"/>
          <w:szCs w:val="24"/>
        </w:rPr>
        <w:t xml:space="preserve">s, </w:t>
      </w:r>
      <w:r w:rsidR="00F77BF3">
        <w:rPr>
          <w:sz w:val="24"/>
          <w:szCs w:val="24"/>
        </w:rPr>
        <w:t xml:space="preserve">which according to the </w:t>
      </w:r>
      <w:r w:rsidR="00EE2CC9">
        <w:rPr>
          <w:sz w:val="24"/>
          <w:szCs w:val="24"/>
        </w:rPr>
        <w:t>U.S. Census Bureau Geographic Mobility numbers in 2012-2013</w:t>
      </w:r>
      <w:r w:rsidR="00FB3E8C">
        <w:rPr>
          <w:sz w:val="24"/>
          <w:szCs w:val="24"/>
        </w:rPr>
        <w:t xml:space="preserve"> </w:t>
      </w:r>
      <w:r w:rsidR="00F77BF3">
        <w:rPr>
          <w:sz w:val="24"/>
          <w:szCs w:val="24"/>
        </w:rPr>
        <w:t xml:space="preserve">is </w:t>
      </w:r>
      <w:r w:rsidR="00EC371C">
        <w:rPr>
          <w:sz w:val="24"/>
          <w:szCs w:val="24"/>
        </w:rPr>
        <w:t xml:space="preserve">roughly </w:t>
      </w:r>
      <w:r w:rsidR="00EE2CC9">
        <w:rPr>
          <w:sz w:val="24"/>
          <w:szCs w:val="24"/>
        </w:rPr>
        <w:t>five</w:t>
      </w:r>
      <w:r w:rsidR="00F77BF3">
        <w:rPr>
          <w:sz w:val="24"/>
          <w:szCs w:val="24"/>
        </w:rPr>
        <w:t xml:space="preserve"> years.</w:t>
      </w:r>
    </w:p>
    <w:p w14:paraId="606D886B" w14:textId="77777777" w:rsidR="00BE155F" w:rsidRPr="00BE155F" w:rsidRDefault="00BE155F" w:rsidP="00BE155F">
      <w:pPr>
        <w:pStyle w:val="ListParagraph"/>
        <w:rPr>
          <w:sz w:val="24"/>
          <w:szCs w:val="24"/>
        </w:rPr>
      </w:pPr>
    </w:p>
    <w:p w14:paraId="651755DF" w14:textId="77777777" w:rsidR="00BE155F" w:rsidRPr="00897890" w:rsidRDefault="00391C94" w:rsidP="00F40169">
      <w:pPr>
        <w:pStyle w:val="ListParagraph"/>
        <w:numPr>
          <w:ilvl w:val="0"/>
          <w:numId w:val="25"/>
        </w:numPr>
        <w:rPr>
          <w:sz w:val="24"/>
          <w:szCs w:val="24"/>
        </w:rPr>
      </w:pPr>
      <w:r>
        <w:rPr>
          <w:sz w:val="24"/>
          <w:szCs w:val="24"/>
        </w:rPr>
        <w:t xml:space="preserve">The impact of this standard on the </w:t>
      </w:r>
      <w:proofErr w:type="spellStart"/>
      <w:r w:rsidR="000B4066">
        <w:rPr>
          <w:sz w:val="24"/>
          <w:szCs w:val="24"/>
        </w:rPr>
        <w:t>SoCalGas</w:t>
      </w:r>
      <w:r>
        <w:rPr>
          <w:sz w:val="24"/>
          <w:szCs w:val="24"/>
        </w:rPr>
        <w:t>’s</w:t>
      </w:r>
      <w:proofErr w:type="spellEnd"/>
      <w:r>
        <w:rPr>
          <w:sz w:val="24"/>
          <w:szCs w:val="24"/>
        </w:rPr>
        <w:t xml:space="preserve"> </w:t>
      </w:r>
      <w:r w:rsidR="00F418A7">
        <w:rPr>
          <w:sz w:val="24"/>
          <w:szCs w:val="24"/>
        </w:rPr>
        <w:t xml:space="preserve">long term </w:t>
      </w:r>
      <w:r>
        <w:rPr>
          <w:sz w:val="24"/>
          <w:szCs w:val="24"/>
        </w:rPr>
        <w:t>portfolio of energy efficiency programs—an important source of revenue—</w:t>
      </w:r>
      <w:r w:rsidR="00F418A7">
        <w:rPr>
          <w:sz w:val="24"/>
          <w:szCs w:val="24"/>
        </w:rPr>
        <w:t>may be substantial</w:t>
      </w:r>
      <w:r>
        <w:rPr>
          <w:sz w:val="24"/>
          <w:szCs w:val="24"/>
        </w:rPr>
        <w:t xml:space="preserve">. The standards will go into effect five years from the date of the Final Rule, at the earliest 2021. </w:t>
      </w:r>
      <w:r w:rsidR="00F418A7">
        <w:rPr>
          <w:sz w:val="24"/>
          <w:szCs w:val="24"/>
        </w:rPr>
        <w:t>Our team does not have access to</w:t>
      </w:r>
      <w:r w:rsidR="00CE4C91">
        <w:rPr>
          <w:sz w:val="24"/>
          <w:szCs w:val="24"/>
        </w:rPr>
        <w:t xml:space="preserve"> </w:t>
      </w:r>
      <w:r w:rsidR="000B4066">
        <w:rPr>
          <w:sz w:val="24"/>
          <w:szCs w:val="24"/>
        </w:rPr>
        <w:t>SoCalGas</w:t>
      </w:r>
      <w:r w:rsidR="007044AF">
        <w:rPr>
          <w:sz w:val="24"/>
          <w:szCs w:val="24"/>
        </w:rPr>
        <w:t xml:space="preserve"> energy efficiency program-related</w:t>
      </w:r>
      <w:r w:rsidR="00F418A7">
        <w:rPr>
          <w:sz w:val="24"/>
          <w:szCs w:val="24"/>
        </w:rPr>
        <w:t xml:space="preserve"> information at this time. </w:t>
      </w:r>
      <w:r>
        <w:rPr>
          <w:sz w:val="24"/>
          <w:szCs w:val="24"/>
        </w:rPr>
        <w:t>A careful analysis of furnace-related programs</w:t>
      </w:r>
      <w:r w:rsidR="002743B7">
        <w:rPr>
          <w:sz w:val="24"/>
          <w:szCs w:val="24"/>
        </w:rPr>
        <w:t>, rebate scenarios</w:t>
      </w:r>
      <w:r w:rsidR="00F418A7">
        <w:rPr>
          <w:sz w:val="24"/>
          <w:szCs w:val="24"/>
        </w:rPr>
        <w:t xml:space="preserve"> and expected market share</w:t>
      </w:r>
      <w:r>
        <w:rPr>
          <w:sz w:val="24"/>
          <w:szCs w:val="24"/>
        </w:rPr>
        <w:t xml:space="preserve"> is recommended to quantify this impact.</w:t>
      </w:r>
    </w:p>
    <w:p w14:paraId="4B464685" w14:textId="77777777" w:rsidR="00507325" w:rsidRDefault="0059614F" w:rsidP="002743B7">
      <w:pPr>
        <w:rPr>
          <w:sz w:val="24"/>
          <w:szCs w:val="24"/>
        </w:rPr>
      </w:pPr>
      <w:r>
        <w:rPr>
          <w:sz w:val="24"/>
          <w:szCs w:val="24"/>
        </w:rPr>
        <w:t xml:space="preserve">There are </w:t>
      </w:r>
      <w:r w:rsidR="00F40169">
        <w:rPr>
          <w:sz w:val="24"/>
          <w:szCs w:val="24"/>
        </w:rPr>
        <w:t>many</w:t>
      </w:r>
      <w:r>
        <w:rPr>
          <w:sz w:val="24"/>
          <w:szCs w:val="24"/>
        </w:rPr>
        <w:t xml:space="preserve"> other issues that </w:t>
      </w:r>
      <w:r w:rsidR="00F40169">
        <w:rPr>
          <w:sz w:val="24"/>
          <w:szCs w:val="24"/>
        </w:rPr>
        <w:t xml:space="preserve">came </w:t>
      </w:r>
      <w:bookmarkStart w:id="0" w:name="_GoBack"/>
      <w:bookmarkEnd w:id="0"/>
      <w:r w:rsidR="00F40169">
        <w:rPr>
          <w:sz w:val="24"/>
          <w:szCs w:val="24"/>
        </w:rPr>
        <w:t>to light</w:t>
      </w:r>
      <w:r>
        <w:rPr>
          <w:sz w:val="24"/>
          <w:szCs w:val="24"/>
        </w:rPr>
        <w:t xml:space="preserve"> in our analysis</w:t>
      </w:r>
      <w:r w:rsidR="00FB1561">
        <w:rPr>
          <w:sz w:val="24"/>
          <w:szCs w:val="24"/>
        </w:rPr>
        <w:t xml:space="preserve"> such as waivers</w:t>
      </w:r>
      <w:r w:rsidR="00C37DF7">
        <w:rPr>
          <w:sz w:val="24"/>
          <w:szCs w:val="24"/>
        </w:rPr>
        <w:t xml:space="preserve"> for those who cannot afford the cost of a new 92% AFUE furnace</w:t>
      </w:r>
      <w:r w:rsidR="000E2371">
        <w:rPr>
          <w:sz w:val="24"/>
          <w:szCs w:val="24"/>
        </w:rPr>
        <w:t>,</w:t>
      </w:r>
      <w:r w:rsidR="00FB1561">
        <w:rPr>
          <w:sz w:val="24"/>
          <w:szCs w:val="24"/>
        </w:rPr>
        <w:t xml:space="preserve"> and reviving the short-lived regional energy standards</w:t>
      </w:r>
      <w:r>
        <w:rPr>
          <w:sz w:val="24"/>
          <w:szCs w:val="24"/>
        </w:rPr>
        <w:t xml:space="preserve"> t</w:t>
      </w:r>
      <w:r w:rsidR="00FB1561">
        <w:rPr>
          <w:sz w:val="24"/>
          <w:szCs w:val="24"/>
        </w:rPr>
        <w:t xml:space="preserve">hat are discussed </w:t>
      </w:r>
      <w:r>
        <w:rPr>
          <w:sz w:val="24"/>
          <w:szCs w:val="24"/>
        </w:rPr>
        <w:t xml:space="preserve">in the pages to follow. </w:t>
      </w:r>
      <w:r w:rsidR="00D90576">
        <w:rPr>
          <w:sz w:val="24"/>
          <w:szCs w:val="24"/>
        </w:rPr>
        <w:t>While the DOE considered California</w:t>
      </w:r>
      <w:r w:rsidR="00F00311">
        <w:rPr>
          <w:sz w:val="24"/>
          <w:szCs w:val="24"/>
        </w:rPr>
        <w:t xml:space="preserve"> in their analysis, m</w:t>
      </w:r>
      <w:r w:rsidR="00D90576">
        <w:rPr>
          <w:sz w:val="24"/>
          <w:szCs w:val="24"/>
        </w:rPr>
        <w:t>ore California-specific analys</w:t>
      </w:r>
      <w:r w:rsidR="00CE4C91">
        <w:rPr>
          <w:sz w:val="24"/>
          <w:szCs w:val="24"/>
        </w:rPr>
        <w:t>e</w:t>
      </w:r>
      <w:r w:rsidR="00D90576">
        <w:rPr>
          <w:sz w:val="24"/>
          <w:szCs w:val="24"/>
        </w:rPr>
        <w:t xml:space="preserve">s </w:t>
      </w:r>
      <w:r w:rsidR="00CE4C91">
        <w:rPr>
          <w:sz w:val="24"/>
          <w:szCs w:val="24"/>
        </w:rPr>
        <w:t>are</w:t>
      </w:r>
      <w:r w:rsidR="00D90576">
        <w:rPr>
          <w:sz w:val="24"/>
          <w:szCs w:val="24"/>
        </w:rPr>
        <w:t xml:space="preserve"> needed in the short term. </w:t>
      </w:r>
      <w:r w:rsidR="000B4066">
        <w:rPr>
          <w:sz w:val="24"/>
          <w:szCs w:val="24"/>
        </w:rPr>
        <w:t>SoCalGas</w:t>
      </w:r>
      <w:r w:rsidR="005F71D2">
        <w:rPr>
          <w:sz w:val="24"/>
          <w:szCs w:val="24"/>
        </w:rPr>
        <w:t xml:space="preserve"> officials are </w:t>
      </w:r>
      <w:r w:rsidR="0084419D">
        <w:rPr>
          <w:sz w:val="24"/>
          <w:szCs w:val="24"/>
        </w:rPr>
        <w:t>considering a</w:t>
      </w:r>
      <w:r w:rsidR="005F71D2">
        <w:rPr>
          <w:sz w:val="24"/>
          <w:szCs w:val="24"/>
        </w:rPr>
        <w:t xml:space="preserve"> short contract with the Gas Technology Institute (GTI) to perform some of th</w:t>
      </w:r>
      <w:r w:rsidR="00CE4C91">
        <w:rPr>
          <w:sz w:val="24"/>
          <w:szCs w:val="24"/>
        </w:rPr>
        <w:t>e</w:t>
      </w:r>
      <w:r w:rsidR="005F71D2">
        <w:rPr>
          <w:sz w:val="24"/>
          <w:szCs w:val="24"/>
        </w:rPr>
        <w:t>s</w:t>
      </w:r>
      <w:r w:rsidR="00CE4C91">
        <w:rPr>
          <w:sz w:val="24"/>
          <w:szCs w:val="24"/>
        </w:rPr>
        <w:t>e</w:t>
      </w:r>
      <w:r w:rsidR="005F71D2">
        <w:rPr>
          <w:sz w:val="24"/>
          <w:szCs w:val="24"/>
        </w:rPr>
        <w:t xml:space="preserve"> analys</w:t>
      </w:r>
      <w:r w:rsidR="00CE4C91">
        <w:rPr>
          <w:sz w:val="24"/>
          <w:szCs w:val="24"/>
        </w:rPr>
        <w:t>e</w:t>
      </w:r>
      <w:r w:rsidR="005F71D2">
        <w:rPr>
          <w:sz w:val="24"/>
          <w:szCs w:val="24"/>
        </w:rPr>
        <w:t>s; we believe that this is a worthwhile endeavor, given GTI’s history with this proposed</w:t>
      </w:r>
      <w:r w:rsidR="00507325">
        <w:rPr>
          <w:sz w:val="24"/>
          <w:szCs w:val="24"/>
        </w:rPr>
        <w:t xml:space="preserve"> standard.</w:t>
      </w:r>
    </w:p>
    <w:p w14:paraId="620C357B" w14:textId="77777777" w:rsidR="004361C7" w:rsidRDefault="0059614F" w:rsidP="002743B7">
      <w:pPr>
        <w:rPr>
          <w:sz w:val="24"/>
          <w:szCs w:val="24"/>
        </w:rPr>
      </w:pPr>
      <w:r>
        <w:rPr>
          <w:sz w:val="24"/>
          <w:szCs w:val="24"/>
        </w:rPr>
        <w:t xml:space="preserve">As the </w:t>
      </w:r>
      <w:r w:rsidR="000B4066">
        <w:rPr>
          <w:sz w:val="24"/>
          <w:szCs w:val="24"/>
        </w:rPr>
        <w:t>SoCalGas</w:t>
      </w:r>
      <w:r>
        <w:rPr>
          <w:sz w:val="24"/>
          <w:szCs w:val="24"/>
        </w:rPr>
        <w:t xml:space="preserve"> formulates a position and formal written comments on this NOPR, our team </w:t>
      </w:r>
      <w:r w:rsidR="003403B6">
        <w:rPr>
          <w:sz w:val="24"/>
          <w:szCs w:val="24"/>
        </w:rPr>
        <w:t>urge</w:t>
      </w:r>
      <w:r>
        <w:rPr>
          <w:sz w:val="24"/>
          <w:szCs w:val="24"/>
        </w:rPr>
        <w:t>s</w:t>
      </w:r>
      <w:r w:rsidR="003403B6">
        <w:rPr>
          <w:sz w:val="24"/>
          <w:szCs w:val="24"/>
        </w:rPr>
        <w:t xml:space="preserve"> the </w:t>
      </w:r>
      <w:r w:rsidR="000B4066">
        <w:rPr>
          <w:sz w:val="24"/>
          <w:szCs w:val="24"/>
        </w:rPr>
        <w:t>SoCalGas</w:t>
      </w:r>
      <w:r w:rsidR="003403B6">
        <w:rPr>
          <w:sz w:val="24"/>
          <w:szCs w:val="24"/>
        </w:rPr>
        <w:t xml:space="preserve"> to solidify its relationships with trade association partners involved in this </w:t>
      </w:r>
      <w:r w:rsidR="003403B6">
        <w:rPr>
          <w:sz w:val="24"/>
          <w:szCs w:val="24"/>
        </w:rPr>
        <w:lastRenderedPageBreak/>
        <w:t>NOPR, such as the American Gas Association (AGA), and the American Public Gas Association (APGA), and other gas utilities with similar profiles.</w:t>
      </w:r>
    </w:p>
    <w:p w14:paraId="096C8F5F" w14:textId="77777777" w:rsidR="000E2371" w:rsidRDefault="00507325" w:rsidP="002743B7">
      <w:pPr>
        <w:rPr>
          <w:sz w:val="24"/>
          <w:szCs w:val="24"/>
        </w:rPr>
      </w:pPr>
      <w:r>
        <w:rPr>
          <w:sz w:val="24"/>
          <w:szCs w:val="24"/>
        </w:rPr>
        <w:t>Finally, d</w:t>
      </w:r>
      <w:r w:rsidRPr="00507325">
        <w:rPr>
          <w:sz w:val="24"/>
          <w:szCs w:val="24"/>
        </w:rPr>
        <w:t xml:space="preserve">ue to the </w:t>
      </w:r>
      <w:r>
        <w:rPr>
          <w:sz w:val="24"/>
          <w:szCs w:val="24"/>
        </w:rPr>
        <w:t xml:space="preserve">very </w:t>
      </w:r>
      <w:r w:rsidRPr="00507325">
        <w:rPr>
          <w:sz w:val="24"/>
          <w:szCs w:val="24"/>
        </w:rPr>
        <w:t>complicated methodology used by the DOE and the extensive labor</w:t>
      </w:r>
      <w:r>
        <w:rPr>
          <w:sz w:val="24"/>
          <w:szCs w:val="24"/>
        </w:rPr>
        <w:t xml:space="preserve"> required to understand</w:t>
      </w:r>
      <w:r w:rsidRPr="00507325">
        <w:rPr>
          <w:sz w:val="24"/>
          <w:szCs w:val="24"/>
        </w:rPr>
        <w:t xml:space="preserve"> it, the </w:t>
      </w:r>
      <w:r w:rsidR="000B4066">
        <w:rPr>
          <w:sz w:val="24"/>
          <w:szCs w:val="24"/>
        </w:rPr>
        <w:t>SoCalGas</w:t>
      </w:r>
      <w:r w:rsidRPr="00507325">
        <w:rPr>
          <w:sz w:val="24"/>
          <w:szCs w:val="24"/>
        </w:rPr>
        <w:t xml:space="preserve"> and others are probably justified in asking for another 90-days to review the DOE </w:t>
      </w:r>
      <w:r>
        <w:rPr>
          <w:sz w:val="24"/>
          <w:szCs w:val="24"/>
        </w:rPr>
        <w:t>analysis. Granted, t</w:t>
      </w:r>
      <w:r w:rsidRPr="00507325">
        <w:rPr>
          <w:sz w:val="24"/>
          <w:szCs w:val="24"/>
        </w:rPr>
        <w:t>hi</w:t>
      </w:r>
      <w:r>
        <w:rPr>
          <w:sz w:val="24"/>
          <w:szCs w:val="24"/>
        </w:rPr>
        <w:t>s is a short-term solution but it</w:t>
      </w:r>
      <w:r w:rsidRPr="00507325">
        <w:rPr>
          <w:sz w:val="24"/>
          <w:szCs w:val="24"/>
        </w:rPr>
        <w:t xml:space="preserve"> will allow the </w:t>
      </w:r>
      <w:r w:rsidR="000B4066">
        <w:rPr>
          <w:sz w:val="24"/>
          <w:szCs w:val="24"/>
        </w:rPr>
        <w:t>SoCalGas</w:t>
      </w:r>
      <w:r w:rsidRPr="00507325">
        <w:rPr>
          <w:sz w:val="24"/>
          <w:szCs w:val="24"/>
        </w:rPr>
        <w:t xml:space="preserve"> to examine more data. Moving the </w:t>
      </w:r>
      <w:r>
        <w:rPr>
          <w:sz w:val="24"/>
          <w:szCs w:val="24"/>
        </w:rPr>
        <w:t xml:space="preserve">DOE </w:t>
      </w:r>
      <w:r w:rsidRPr="00507325">
        <w:rPr>
          <w:sz w:val="24"/>
          <w:szCs w:val="24"/>
        </w:rPr>
        <w:t xml:space="preserve">deadline for comments </w:t>
      </w:r>
      <w:r>
        <w:rPr>
          <w:sz w:val="24"/>
          <w:szCs w:val="24"/>
        </w:rPr>
        <w:t>due</w:t>
      </w:r>
      <w:r w:rsidRPr="00507325">
        <w:rPr>
          <w:sz w:val="24"/>
          <w:szCs w:val="24"/>
        </w:rPr>
        <w:t xml:space="preserve"> from June 2015 to September 2015 seems prudent</w:t>
      </w:r>
      <w:r>
        <w:rPr>
          <w:sz w:val="24"/>
          <w:szCs w:val="24"/>
        </w:rPr>
        <w:t>.</w:t>
      </w:r>
    </w:p>
    <w:p w14:paraId="10621A42" w14:textId="77777777" w:rsidR="00D83A66" w:rsidRDefault="00D83A66" w:rsidP="002743B7">
      <w:pPr>
        <w:rPr>
          <w:sz w:val="24"/>
          <w:szCs w:val="24"/>
        </w:rPr>
      </w:pPr>
    </w:p>
    <w:p w14:paraId="3002B88F" w14:textId="75DBE80C" w:rsidR="00135086" w:rsidRDefault="000E2371" w:rsidP="00D83A66">
      <w:pPr>
        <w:rPr>
          <w:b/>
          <w:sz w:val="24"/>
          <w:szCs w:val="24"/>
        </w:rPr>
      </w:pPr>
      <w:r w:rsidRPr="002743B7">
        <w:rPr>
          <w:sz w:val="24"/>
          <w:szCs w:val="24"/>
        </w:rPr>
        <w:t xml:space="preserve"> </w:t>
      </w:r>
      <w:r w:rsidR="009679BB">
        <w:rPr>
          <w:b/>
          <w:sz w:val="24"/>
          <w:szCs w:val="24"/>
        </w:rPr>
        <w:t>I</w:t>
      </w:r>
      <w:r w:rsidR="000801BC">
        <w:rPr>
          <w:b/>
          <w:sz w:val="24"/>
          <w:szCs w:val="24"/>
        </w:rPr>
        <w:t>I</w:t>
      </w:r>
      <w:r w:rsidR="00E8134A" w:rsidRPr="00E8134A">
        <w:rPr>
          <w:b/>
          <w:sz w:val="24"/>
          <w:szCs w:val="24"/>
        </w:rPr>
        <w:t>.</w:t>
      </w:r>
      <w:r w:rsidR="00E8134A" w:rsidRPr="00E8134A">
        <w:rPr>
          <w:b/>
          <w:sz w:val="24"/>
          <w:szCs w:val="24"/>
        </w:rPr>
        <w:tab/>
        <w:t>Important History and Background Information of the NOPR</w:t>
      </w:r>
    </w:p>
    <w:p w14:paraId="736F0B08" w14:textId="77777777" w:rsidR="00885EB0" w:rsidRDefault="00885EB0" w:rsidP="00135086">
      <w:pPr>
        <w:spacing w:after="0" w:line="240" w:lineRule="auto"/>
        <w:rPr>
          <w:rFonts w:eastAsia="Calibri" w:cs="Times New Roman"/>
          <w:sz w:val="24"/>
          <w:szCs w:val="24"/>
        </w:rPr>
      </w:pPr>
    </w:p>
    <w:p w14:paraId="06071DE2" w14:textId="77777777" w:rsidR="000020B5" w:rsidRDefault="00C8539D" w:rsidP="0008105F">
      <w:pPr>
        <w:pStyle w:val="SCGMemo"/>
      </w:pPr>
      <w:r>
        <w:t xml:space="preserve">DOE is directed to review </w:t>
      </w:r>
      <w:r w:rsidR="00885EB0">
        <w:t xml:space="preserve">gas furnace efficiency standards </w:t>
      </w:r>
      <w:r>
        <w:t xml:space="preserve">every six years following various procedural requirements established </w:t>
      </w:r>
      <w:r w:rsidR="009C486F">
        <w:t xml:space="preserve">principally </w:t>
      </w:r>
      <w:r>
        <w:t>by Energy Policy Conservation Act (EPCA)</w:t>
      </w:r>
      <w:r w:rsidRPr="00C8539D">
        <w:t xml:space="preserve"> </w:t>
      </w:r>
      <w:r w:rsidR="009C486F">
        <w:t xml:space="preserve">as well as the </w:t>
      </w:r>
      <w:r w:rsidR="00E32066">
        <w:t xml:space="preserve">National Appliance Energy Conservation Act of 1978 (NAECA) and </w:t>
      </w:r>
      <w:r w:rsidR="009C486F">
        <w:t>Admini</w:t>
      </w:r>
      <w:r w:rsidR="000020B5">
        <w:t>strative Procedures Act (APA).</w:t>
      </w:r>
    </w:p>
    <w:p w14:paraId="5A1210D6" w14:textId="77777777" w:rsidR="00BC0F10" w:rsidRDefault="009C486F" w:rsidP="0008105F">
      <w:pPr>
        <w:pStyle w:val="SCGMemo"/>
      </w:pPr>
      <w:r>
        <w:t>While it can be an</w:t>
      </w:r>
      <w:r w:rsidR="00C8539D">
        <w:t xml:space="preserve"> administratively complex rule-making process </w:t>
      </w:r>
      <w:r>
        <w:t xml:space="preserve">that typically </w:t>
      </w:r>
      <w:r w:rsidR="00C8539D">
        <w:t>take</w:t>
      </w:r>
      <w:r>
        <w:t>s</w:t>
      </w:r>
      <w:r w:rsidR="00C8539D">
        <w:t xml:space="preserve"> years</w:t>
      </w:r>
      <w:r>
        <w:t xml:space="preserve">, it </w:t>
      </w:r>
      <w:r w:rsidR="00C8539D">
        <w:t xml:space="preserve">essentially involves </w:t>
      </w:r>
      <w:r>
        <w:t>three</w:t>
      </w:r>
      <w:r w:rsidR="00CF595F">
        <w:t xml:space="preserve"> sequential</w:t>
      </w:r>
      <w:r>
        <w:t xml:space="preserve"> phases</w:t>
      </w:r>
      <w:r w:rsidR="00FE49F4">
        <w:t>—a Pre-Rule phase, a Notice of Proposed Rulemaking (NOPR)</w:t>
      </w:r>
      <w:r w:rsidR="009C2DC2">
        <w:t xml:space="preserve"> phase</w:t>
      </w:r>
      <w:r w:rsidR="00FE49F4">
        <w:t>, and a Final Rule</w:t>
      </w:r>
      <w:r>
        <w:t>.  In the Pre-Rule phase DOE can approach stakeholders (or be approached by them) concerning the setting of a standard, hold informal meetings and begin gathering da</w:t>
      </w:r>
      <w:r w:rsidR="008B653C">
        <w:t>ta and supporting information.  As demonstrated in this particular rule-making, DOE can also be directed to implement a rulemaking proc</w:t>
      </w:r>
      <w:r w:rsidR="00D84855">
        <w:t>ess as a result of legal action.</w:t>
      </w:r>
      <w:r w:rsidR="009C2DC2">
        <w:t xml:space="preserve"> </w:t>
      </w:r>
      <w:r>
        <w:t>In the Notice of Proposed Rulemaking (NOPR) phase</w:t>
      </w:r>
      <w:r w:rsidR="007E1F0A">
        <w:t>,</w:t>
      </w:r>
      <w:r>
        <w:t xml:space="preserve"> </w:t>
      </w:r>
      <w:r w:rsidR="008B653C">
        <w:t xml:space="preserve">DOE publishes a NOPR </w:t>
      </w:r>
      <w:r w:rsidR="00735559">
        <w:t>(including</w:t>
      </w:r>
      <w:r w:rsidR="008B653C">
        <w:t xml:space="preserve"> the proposed standard, an extensive summary of the issues submitted by stakeholders, requests for more information, and details</w:t>
      </w:r>
      <w:r w:rsidR="00735559">
        <w:t xml:space="preserve"> about</w:t>
      </w:r>
      <w:r w:rsidR="008B653C">
        <w:t xml:space="preserve"> how it ar</w:t>
      </w:r>
      <w:r w:rsidR="00735559">
        <w:t>rived at its conclusion) and</w:t>
      </w:r>
      <w:r w:rsidR="008B653C">
        <w:t xml:space="preserve"> </w:t>
      </w:r>
      <w:r w:rsidR="00D84855">
        <w:t xml:space="preserve">publishes a technical support document (TSD), </w:t>
      </w:r>
      <w:r w:rsidR="008B653C">
        <w:t>gathers comments from stakeholders and conducts public meetings of the process and addresses key issues raised by stakeholders.</w:t>
      </w:r>
    </w:p>
    <w:p w14:paraId="021CC241" w14:textId="77777777" w:rsidR="006E030D" w:rsidRDefault="008B653C" w:rsidP="0008105F">
      <w:pPr>
        <w:pStyle w:val="SCGMemo"/>
      </w:pPr>
      <w:r>
        <w:t>During this</w:t>
      </w:r>
      <w:r w:rsidR="00BC0F10">
        <w:t xml:space="preserve"> NOPR</w:t>
      </w:r>
      <w:r>
        <w:t xml:space="preserve"> phase, DOE is directed to determine whether </w:t>
      </w:r>
      <w:r w:rsidR="00BC0F10">
        <w:t xml:space="preserve">a </w:t>
      </w:r>
      <w:r>
        <w:t xml:space="preserve">higher standard would </w:t>
      </w:r>
      <w:r w:rsidR="007E1F0A">
        <w:t>met the criteria of being</w:t>
      </w:r>
      <w:r>
        <w:t xml:space="preserve"> technologically feasible, economically justified</w:t>
      </w:r>
      <w:r w:rsidR="007E1F0A">
        <w:t>,</w:t>
      </w:r>
      <w:r>
        <w:t xml:space="preserve"> and would save a significant amount of energy</w:t>
      </w:r>
      <w:r w:rsidR="007E1F0A">
        <w:t>.</w:t>
      </w:r>
      <w:r w:rsidR="006E030D">
        <w:t xml:space="preserve"> </w:t>
      </w:r>
      <w:r w:rsidR="007E1F0A">
        <w:t>This NOPR phase</w:t>
      </w:r>
      <w:r w:rsidR="009B4458">
        <w:t xml:space="preserve"> </w:t>
      </w:r>
      <w:r w:rsidR="006E030D">
        <w:t>historically includes extensive debate and concern o</w:t>
      </w:r>
      <w:r w:rsidR="009B4458">
        <w:t>ver the data, methodologies,</w:t>
      </w:r>
      <w:r w:rsidR="006E030D">
        <w:t xml:space="preserve"> findings and impacts on consumers, the industry, the economy and the environment.  If the rulemaking process </w:t>
      </w:r>
      <w:r w:rsidR="007E1F0A">
        <w:t xml:space="preserve">ultimately finds that a higher standard </w:t>
      </w:r>
      <w:r w:rsidR="006E030D">
        <w:t xml:space="preserve">meets these criteria and regulatory proceedings requirements, it moves into the </w:t>
      </w:r>
      <w:r>
        <w:t>last Final Rule phase</w:t>
      </w:r>
      <w:r w:rsidR="006E030D">
        <w:t>.  When DOE publishes a Final Rule setting the minimum standard, it includes a detailed overview of the history of the rulemaking process and sets effective dates for compliance with the new standard.</w:t>
      </w:r>
    </w:p>
    <w:p w14:paraId="2454E94B" w14:textId="77777777" w:rsidR="006E030D" w:rsidRDefault="00C92C6D" w:rsidP="0008105F">
      <w:pPr>
        <w:pStyle w:val="SCGMemo"/>
      </w:pPr>
      <w:r>
        <w:lastRenderedPageBreak/>
        <w:t>T</w:t>
      </w:r>
      <w:r w:rsidR="006E030D">
        <w:t xml:space="preserve">he current national minimum </w:t>
      </w:r>
      <w:r w:rsidR="004C3E23">
        <w:t xml:space="preserve">residential </w:t>
      </w:r>
      <w:r w:rsidR="006E030D">
        <w:t xml:space="preserve">gas furnace </w:t>
      </w:r>
      <w:r>
        <w:t>efficiency</w:t>
      </w:r>
      <w:r w:rsidR="006E030D">
        <w:t xml:space="preserve"> requirement of 78% AFUE </w:t>
      </w:r>
      <w:r>
        <w:t>became effective January 1, 1992</w:t>
      </w:r>
      <w:r w:rsidR="00D84855">
        <w:t>.</w:t>
      </w:r>
      <w:r w:rsidR="007E1F0A">
        <w:t xml:space="preserve">  80% AFUE is the </w:t>
      </w:r>
      <w:r w:rsidR="007E1F0A" w:rsidRPr="0008105F">
        <w:rPr>
          <w:i/>
        </w:rPr>
        <w:t>de facto</w:t>
      </w:r>
      <w:r w:rsidR="007E1F0A">
        <w:t xml:space="preserve"> market minimum efficiency.</w:t>
      </w:r>
      <w:r w:rsidR="00D84855">
        <w:t xml:space="preserve">  In this NOPR DOE utilizes an 80% AFUE furnace as its baseline for analysis against higher efficiency furnaces</w:t>
      </w:r>
      <w:r w:rsidR="00186989">
        <w:t xml:space="preserve"> (since it already the market standard)</w:t>
      </w:r>
      <w:r w:rsidR="00D84855">
        <w:t xml:space="preserve">. </w:t>
      </w:r>
      <w:r>
        <w:t xml:space="preserve">The </w:t>
      </w:r>
      <w:r w:rsidR="004C3E23">
        <w:t>curren</w:t>
      </w:r>
      <w:r w:rsidR="00186989">
        <w:t xml:space="preserve">t rulemaking has a </w:t>
      </w:r>
      <w:r w:rsidR="0077021D">
        <w:t xml:space="preserve">long </w:t>
      </w:r>
      <w:r>
        <w:t xml:space="preserve">history </w:t>
      </w:r>
      <w:r w:rsidR="0077021D">
        <w:t xml:space="preserve">that </w:t>
      </w:r>
      <w:r>
        <w:t>is graphically shown in the timeline and summary below.</w:t>
      </w:r>
    </w:p>
    <w:p w14:paraId="6886A622" w14:textId="77777777" w:rsidR="00074D0E" w:rsidRDefault="00074D0E" w:rsidP="00074D0E">
      <w:r>
        <w:rPr>
          <w:noProof/>
        </w:rPr>
        <w:drawing>
          <wp:inline distT="0" distB="0" distL="0" distR="0" wp14:anchorId="6F39D4C9" wp14:editId="18A50FF8">
            <wp:extent cx="5934075" cy="6800850"/>
            <wp:effectExtent l="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0A04690" w14:textId="77777777" w:rsidR="00E32066" w:rsidRDefault="004C3E23" w:rsidP="0008105F">
      <w:pPr>
        <w:pStyle w:val="SCGMemo"/>
      </w:pPr>
      <w:r>
        <w:lastRenderedPageBreak/>
        <w:t xml:space="preserve">In 2007 DOE </w:t>
      </w:r>
      <w:r w:rsidR="008134AF">
        <w:t>published</w:t>
      </w:r>
      <w:r>
        <w:t xml:space="preserve"> a Final Rule that set the minimum </w:t>
      </w:r>
      <w:r w:rsidR="00435467">
        <w:t xml:space="preserve">residential non-weatherized </w:t>
      </w:r>
      <w:r w:rsidR="00885EB0">
        <w:t xml:space="preserve">gas furnace </w:t>
      </w:r>
      <w:r w:rsidR="00435467">
        <w:t>(NWGF</w:t>
      </w:r>
      <w:r w:rsidR="00186989">
        <w:t>,</w:t>
      </w:r>
      <w:r w:rsidR="00435467">
        <w:t xml:space="preserve"> or indoor installations) </w:t>
      </w:r>
      <w:r w:rsidR="00885EB0">
        <w:t xml:space="preserve">standard </w:t>
      </w:r>
      <w:r w:rsidR="008134AF">
        <w:t>at</w:t>
      </w:r>
      <w:r w:rsidR="00C92C6D">
        <w:t xml:space="preserve"> </w:t>
      </w:r>
      <w:r w:rsidR="00885EB0" w:rsidRPr="00373311">
        <w:t>80% AFUE, to become effective</w:t>
      </w:r>
      <w:r>
        <w:t xml:space="preserve"> </w:t>
      </w:r>
      <w:r w:rsidR="00D446DC">
        <w:t>in November</w:t>
      </w:r>
      <w:r w:rsidR="00885EB0">
        <w:t xml:space="preserve"> 2015. That </w:t>
      </w:r>
      <w:r>
        <w:t xml:space="preserve">Final Rule </w:t>
      </w:r>
      <w:r w:rsidR="00885EB0" w:rsidRPr="00373311">
        <w:t xml:space="preserve">was </w:t>
      </w:r>
      <w:r>
        <w:t xml:space="preserve">immediately and </w:t>
      </w:r>
      <w:r w:rsidR="00435467">
        <w:t xml:space="preserve">successfully </w:t>
      </w:r>
      <w:r w:rsidR="00885EB0" w:rsidRPr="00373311">
        <w:t>challenged in court</w:t>
      </w:r>
      <w:r w:rsidR="00435467">
        <w:t xml:space="preserve"> on the grounds that the </w:t>
      </w:r>
      <w:r>
        <w:t xml:space="preserve">80% AFUE </w:t>
      </w:r>
      <w:r w:rsidR="00435467">
        <w:t xml:space="preserve">standard </w:t>
      </w:r>
      <w:r w:rsidR="00E32066">
        <w:t xml:space="preserve">was not stringent enough and </w:t>
      </w:r>
      <w:r w:rsidR="00DC6FCD">
        <w:t xml:space="preserve">a higher standard </w:t>
      </w:r>
      <w:r w:rsidR="00E32066">
        <w:t xml:space="preserve">would be both </w:t>
      </w:r>
      <w:r w:rsidR="00435467">
        <w:t xml:space="preserve">technically feasible and economically justified.  The </w:t>
      </w:r>
      <w:r w:rsidR="00E32066">
        <w:t xml:space="preserve">district </w:t>
      </w:r>
      <w:r w:rsidR="00435467">
        <w:t>court’s decision</w:t>
      </w:r>
      <w:r w:rsidR="0077021D">
        <w:t xml:space="preserve"> in April 2008</w:t>
      </w:r>
      <w:r w:rsidR="00885EB0" w:rsidRPr="00373311">
        <w:t xml:space="preserve"> vacated the </w:t>
      </w:r>
      <w:r>
        <w:t xml:space="preserve">standards for the residential </w:t>
      </w:r>
      <w:r w:rsidR="00885EB0" w:rsidRPr="00373311">
        <w:t xml:space="preserve">furnaces in question, and DOE </w:t>
      </w:r>
      <w:r>
        <w:t>agreed</w:t>
      </w:r>
      <w:r w:rsidR="00885EB0" w:rsidRPr="00373311">
        <w:t xml:space="preserve"> to </w:t>
      </w:r>
      <w:r>
        <w:t xml:space="preserve">revisit its analyses and findings in </w:t>
      </w:r>
      <w:r w:rsidR="00E32066">
        <w:t>its 2011 rulemaking.</w:t>
      </w:r>
    </w:p>
    <w:p w14:paraId="6FBFBE7A" w14:textId="77777777" w:rsidR="00D446DC" w:rsidRDefault="00DC6FCD" w:rsidP="0008105F">
      <w:pPr>
        <w:pStyle w:val="SCGMemo"/>
      </w:pPr>
      <w:r>
        <w:t>On a somewhat parallel path,</w:t>
      </w:r>
      <w:r w:rsidR="00186989">
        <w:t xml:space="preserve"> in 2009</w:t>
      </w:r>
      <w:r w:rsidR="008134AF">
        <w:t xml:space="preserve"> the California Energy Commission joined a number of efficiency advocates and industry stakeholders in a</w:t>
      </w:r>
      <w:r w:rsidR="00F6723D">
        <w:t xml:space="preserve"> “Consensus Agreement” that encouraged DOE to establish regional standards for furnaces, central air conditioners, and heat pumps</w:t>
      </w:r>
      <w:r w:rsidR="008134AF">
        <w:t>.  This alternate approach was taken following</w:t>
      </w:r>
      <w:r w:rsidR="0077021D">
        <w:t xml:space="preserve"> </w:t>
      </w:r>
      <w:r w:rsidR="00F6723D">
        <w:t>Congress’</w:t>
      </w:r>
      <w:r w:rsidR="00186989">
        <w:t>s</w:t>
      </w:r>
      <w:r w:rsidR="00F6723D">
        <w:t xml:space="preserve"> </w:t>
      </w:r>
      <w:r w:rsidR="00AF052F">
        <w:t xml:space="preserve">2007 </w:t>
      </w:r>
      <w:r w:rsidR="00F6723D">
        <w:t xml:space="preserve">amendment to EPCA </w:t>
      </w:r>
      <w:r w:rsidR="008134AF">
        <w:t>authorizing D</w:t>
      </w:r>
      <w:r w:rsidR="00785C1A">
        <w:t xml:space="preserve">OE to consider and accept </w:t>
      </w:r>
      <w:r w:rsidR="008134AF">
        <w:t xml:space="preserve">proposals submitted by a significant number of relevant stakeholders in order </w:t>
      </w:r>
      <w:r w:rsidR="00F6723D">
        <w:t>to expedite the rulemaking process</w:t>
      </w:r>
      <w:r w:rsidR="008134AF">
        <w:t xml:space="preserve">.  Under this scenario, DOE could publish a </w:t>
      </w:r>
      <w:r w:rsidR="00F6723D">
        <w:t xml:space="preserve">Direct Final Rule </w:t>
      </w:r>
      <w:r w:rsidR="008134AF">
        <w:t>(DFR)</w:t>
      </w:r>
      <w:r>
        <w:t xml:space="preserve"> – </w:t>
      </w:r>
      <w:r w:rsidR="004328F9">
        <w:t>which is essentially an abbreviated version of the normal process</w:t>
      </w:r>
      <w:r>
        <w:t>.  A</w:t>
      </w:r>
      <w:r w:rsidR="00F6723D">
        <w:t xml:space="preserve">fter </w:t>
      </w:r>
      <w:r w:rsidR="008134AF">
        <w:t xml:space="preserve">determining it still </w:t>
      </w:r>
      <w:r w:rsidR="00F6723D">
        <w:t>met EPCA’s</w:t>
      </w:r>
      <w:r w:rsidR="008134AF">
        <w:t xml:space="preserve"> requirements</w:t>
      </w:r>
      <w:r w:rsidR="00785C1A">
        <w:t>, held public meetings</w:t>
      </w:r>
      <w:r w:rsidR="008134AF">
        <w:t xml:space="preserve"> and </w:t>
      </w:r>
      <w:r w:rsidR="000B5770">
        <w:t>considered additional comments.</w:t>
      </w:r>
    </w:p>
    <w:p w14:paraId="29FB490E" w14:textId="77777777" w:rsidR="00AF052F" w:rsidRDefault="000B5770" w:rsidP="0008105F">
      <w:pPr>
        <w:pStyle w:val="SCGMemo"/>
      </w:pPr>
      <w:r>
        <w:t>Unique</w:t>
      </w:r>
      <w:r w:rsidR="00785C1A">
        <w:t xml:space="preserve"> to the Consensus Agreement</w:t>
      </w:r>
      <w:r w:rsidR="00AF052F">
        <w:t xml:space="preserve"> was the establishment of regional efficiency standards f</w:t>
      </w:r>
      <w:r>
        <w:t xml:space="preserve">or central air conditioners and heat pumps in three regions of the country </w:t>
      </w:r>
      <w:r w:rsidR="008C2319">
        <w:t xml:space="preserve">– North, South, and Southwest </w:t>
      </w:r>
      <w:r>
        <w:t>(</w:t>
      </w:r>
      <w:r w:rsidR="008C2319">
        <w:t xml:space="preserve">CA, NV, AZ, and NM).  For gas furnace efficiency standards, the states were split into </w:t>
      </w:r>
      <w:r w:rsidR="00580201">
        <w:t xml:space="preserve">only </w:t>
      </w:r>
      <w:r w:rsidR="008C2319">
        <w:t>two regions based on population-weighted heating degree days</w:t>
      </w:r>
      <w:r w:rsidR="00580201">
        <w:t xml:space="preserve"> (HDDs).  States with </w:t>
      </w:r>
      <w:r w:rsidR="008C2319">
        <w:t>less than 5,000 HDD</w:t>
      </w:r>
      <w:r w:rsidR="00580201">
        <w:t>s</w:t>
      </w:r>
      <w:r w:rsidR="008C2319">
        <w:t xml:space="preserve"> fell into the southern region and those with 5,000 HDD</w:t>
      </w:r>
      <w:r w:rsidR="00580201">
        <w:t>s</w:t>
      </w:r>
      <w:r w:rsidR="008C2319">
        <w:t xml:space="preserve"> or above fell into the northern region as shown in </w:t>
      </w:r>
      <w:r w:rsidR="00716F0E">
        <w:t xml:space="preserve">the </w:t>
      </w:r>
      <w:r w:rsidR="008C2319">
        <w:t>Figure</w:t>
      </w:r>
      <w:r w:rsidR="00716F0E">
        <w:t xml:space="preserve"> below</w:t>
      </w:r>
      <w:r w:rsidR="008C2319">
        <w:t xml:space="preserve">). </w:t>
      </w:r>
      <w:r w:rsidR="00580201">
        <w:t>Through this Consensus Agreement, t</w:t>
      </w:r>
      <w:r w:rsidR="008C2319">
        <w:t xml:space="preserve">he minimum furnace efficiency standards for northern </w:t>
      </w:r>
      <w:r w:rsidR="00580201">
        <w:t>states were</w:t>
      </w:r>
      <w:r w:rsidR="008C2319">
        <w:t xml:space="preserve"> set at 90%</w:t>
      </w:r>
      <w:r w:rsidR="00580201">
        <w:t>,</w:t>
      </w:r>
      <w:r w:rsidR="008C2319">
        <w:t xml:space="preserve"> and 80% for southern states</w:t>
      </w:r>
      <w:r w:rsidR="00580201">
        <w:t xml:space="preserve"> (including California)</w:t>
      </w:r>
      <w:r w:rsidR="008C2319">
        <w:t>.</w:t>
      </w:r>
      <w:r w:rsidR="00342979" w:rsidRPr="00373311">
        <w:t xml:space="preserve"> </w:t>
      </w:r>
      <w:r w:rsidR="006C0094">
        <w:t>Based on California Climate Zone data, only Climate Zone 16 (Mt. Shasta) is likely to exceed 5,000 HDDs (See Appendix B); thus grouping all of California with southern states would be appropriate.</w:t>
      </w:r>
    </w:p>
    <w:p w14:paraId="282E65F2" w14:textId="77777777" w:rsidR="008C2319" w:rsidRDefault="00713BEC" w:rsidP="00713BEC">
      <w:pPr>
        <w:spacing w:line="360" w:lineRule="auto"/>
        <w:jc w:val="center"/>
        <w:rPr>
          <w:rFonts w:eastAsia="Calibri" w:cs="Times New Roman"/>
          <w:sz w:val="24"/>
          <w:szCs w:val="24"/>
        </w:rPr>
      </w:pPr>
      <w:r>
        <w:rPr>
          <w:noProof/>
        </w:rPr>
        <w:lastRenderedPageBreak/>
        <w:drawing>
          <wp:inline distT="0" distB="0" distL="0" distR="0" wp14:anchorId="0F6254C5" wp14:editId="4A5ABB78">
            <wp:extent cx="4651516" cy="2853862"/>
            <wp:effectExtent l="0" t="0" r="0" b="3810"/>
            <wp:docPr id="4" name="Picture 4" descr="https://s3.amazonaws.com/images.federalregister.gov/EP12MR15.000/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images.federalregister.gov/EP12MR15.000/original.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240"/>
                    <a:stretch/>
                  </pic:blipFill>
                  <pic:spPr bwMode="auto">
                    <a:xfrm>
                      <a:off x="0" y="0"/>
                      <a:ext cx="4661666" cy="2860090"/>
                    </a:xfrm>
                    <a:prstGeom prst="rect">
                      <a:avLst/>
                    </a:prstGeom>
                    <a:noFill/>
                    <a:ln>
                      <a:noFill/>
                    </a:ln>
                    <a:extLst>
                      <a:ext uri="{53640926-AAD7-44D8-BBD7-CCE9431645EC}">
                        <a14:shadowObscured xmlns:a14="http://schemas.microsoft.com/office/drawing/2010/main"/>
                      </a:ext>
                    </a:extLst>
                  </pic:spPr>
                </pic:pic>
              </a:graphicData>
            </a:graphic>
          </wp:inline>
        </w:drawing>
      </w:r>
    </w:p>
    <w:p w14:paraId="1709AFCF" w14:textId="77777777" w:rsidR="003B342E" w:rsidRDefault="00713BEC" w:rsidP="004134AA">
      <w:pPr>
        <w:spacing w:after="0" w:line="240" w:lineRule="auto"/>
        <w:rPr>
          <w:rFonts w:eastAsia="Calibri" w:cs="Times New Roman"/>
          <w:sz w:val="24"/>
          <w:szCs w:val="24"/>
        </w:rPr>
      </w:pPr>
      <w:r>
        <w:rPr>
          <w:rFonts w:eastAsia="Calibri" w:cs="Times New Roman"/>
          <w:sz w:val="24"/>
          <w:szCs w:val="24"/>
        </w:rPr>
        <w:t>Source:</w:t>
      </w:r>
      <w:r w:rsidRPr="00713BEC">
        <w:t xml:space="preserve"> </w:t>
      </w:r>
      <w:r>
        <w:t>March 12, 2015 NOPR for residential NWGF and MHGF</w:t>
      </w:r>
    </w:p>
    <w:p w14:paraId="69AA6932" w14:textId="77777777" w:rsidR="00713BEC" w:rsidRDefault="00713BEC" w:rsidP="004134AA">
      <w:pPr>
        <w:spacing w:after="0" w:line="240" w:lineRule="auto"/>
        <w:rPr>
          <w:rFonts w:eastAsia="Calibri" w:cs="Times New Roman"/>
          <w:sz w:val="24"/>
          <w:szCs w:val="24"/>
        </w:rPr>
      </w:pPr>
    </w:p>
    <w:p w14:paraId="49928A91" w14:textId="77777777" w:rsidR="004006E3" w:rsidRDefault="004134AA" w:rsidP="0008105F">
      <w:pPr>
        <w:pStyle w:val="SCGMemo"/>
      </w:pPr>
      <w:r w:rsidRPr="00373311">
        <w:t xml:space="preserve">However, in 2012 before these proposed standards went into effect, the American Public Gas Association (APGA) filed a lawsuit objecting to the process used to adopt the standards. On April 24, 2014, after a two-year delay, the U.S. Court of Appeals for the D.C. Circuit approved a settlement between the DOE and the APGA. Importantly, </w:t>
      </w:r>
      <w:r w:rsidR="00580201">
        <w:rPr>
          <w:u w:val="single"/>
        </w:rPr>
        <w:t>the settlement abandoned</w:t>
      </w:r>
      <w:r w:rsidRPr="00373311">
        <w:rPr>
          <w:u w:val="single"/>
        </w:rPr>
        <w:t xml:space="preserve"> the regional standards for residential gas furnaces</w:t>
      </w:r>
      <w:r w:rsidRPr="00373311">
        <w:t xml:space="preserve"> (</w:t>
      </w:r>
      <w:r w:rsidR="00580201">
        <w:t xml:space="preserve">while </w:t>
      </w:r>
      <w:r w:rsidRPr="00373311">
        <w:t xml:space="preserve">regional standards </w:t>
      </w:r>
      <w:r w:rsidR="004F6782" w:rsidRPr="00373311">
        <w:t xml:space="preserve">set in the NOPR </w:t>
      </w:r>
      <w:r w:rsidRPr="00373311">
        <w:t>for air co</w:t>
      </w:r>
      <w:r w:rsidR="004F6782" w:rsidRPr="00373311">
        <w:t>nditioners remained) and remanded</w:t>
      </w:r>
      <w:r w:rsidRPr="00373311">
        <w:t xml:space="preserve"> the gas furnace efficiency </w:t>
      </w:r>
      <w:r w:rsidR="00713BEC">
        <w:t xml:space="preserve">standards </w:t>
      </w:r>
      <w:r w:rsidR="004F6782" w:rsidRPr="00373311">
        <w:t xml:space="preserve">back </w:t>
      </w:r>
      <w:r w:rsidRPr="00373311">
        <w:t>to DOE</w:t>
      </w:r>
      <w:r w:rsidR="00713BEC">
        <w:t xml:space="preserve"> (</w:t>
      </w:r>
      <w:r w:rsidR="004F6782" w:rsidRPr="00373311">
        <w:t xml:space="preserve">thereby </w:t>
      </w:r>
      <w:r w:rsidRPr="00373311">
        <w:t xml:space="preserve">keeping the </w:t>
      </w:r>
      <w:r w:rsidR="004F6782" w:rsidRPr="00373311">
        <w:t>current national standard at 78% AFU</w:t>
      </w:r>
      <w:r w:rsidRPr="00373311">
        <w:t xml:space="preserve">).  DOE was further required to complete a new rulemaking within two years and publish a final rule by April 2016.  </w:t>
      </w:r>
      <w:r w:rsidR="004F6782" w:rsidRPr="00373311">
        <w:t>As noted earlier, t</w:t>
      </w:r>
      <w:r w:rsidRPr="00373311">
        <w:t xml:space="preserve">his NOPR </w:t>
      </w:r>
      <w:r w:rsidR="004F6782" w:rsidRPr="00373311">
        <w:t xml:space="preserve">is meant to satisfy </w:t>
      </w:r>
      <w:r w:rsidRPr="00373311">
        <w:t>that req</w:t>
      </w:r>
      <w:r w:rsidR="004006E3">
        <w:t>uirement and proposes one</w:t>
      </w:r>
      <w:r w:rsidRPr="00373311">
        <w:t xml:space="preserve"> </w:t>
      </w:r>
      <w:r w:rsidRPr="00713BEC">
        <w:rPr>
          <w:u w:val="single"/>
        </w:rPr>
        <w:t>national</w:t>
      </w:r>
      <w:r w:rsidRPr="00373311">
        <w:t xml:space="preserve"> 92% AFUE efficiency standard.  </w:t>
      </w:r>
      <w:r w:rsidR="00713BEC">
        <w:t xml:space="preserve">As part of the </w:t>
      </w:r>
      <w:r w:rsidRPr="00373311">
        <w:t>2014 agreement a minimum national AFUE standard of 80% (already</w:t>
      </w:r>
      <w:r w:rsidR="00620860">
        <w:t xml:space="preserve"> considered the market standard</w:t>
      </w:r>
      <w:r w:rsidR="00713BEC">
        <w:t>)</w:t>
      </w:r>
      <w:r w:rsidRPr="00373311">
        <w:t xml:space="preserve"> becomes effective on November 19, 2015.</w:t>
      </w:r>
      <w:r w:rsidR="00DB1458" w:rsidRPr="00DB1458">
        <w:t xml:space="preserve"> </w:t>
      </w:r>
    </w:p>
    <w:p w14:paraId="15DAA9A1" w14:textId="77777777" w:rsidR="00E97A80" w:rsidRDefault="00DB1458" w:rsidP="0008105F">
      <w:pPr>
        <w:pStyle w:val="SCGMemo"/>
      </w:pPr>
      <w:r>
        <w:t xml:space="preserve">Generally speaking, the </w:t>
      </w:r>
      <w:r w:rsidRPr="00373311">
        <w:t>high</w:t>
      </w:r>
      <w:r>
        <w:t>er efficiency standards are thought to be</w:t>
      </w:r>
      <w:r w:rsidRPr="00373311">
        <w:t xml:space="preserve"> more cost-effective in colder climates</w:t>
      </w:r>
      <w:r>
        <w:t xml:space="preserve">. </w:t>
      </w:r>
      <w:r w:rsidRPr="00373311">
        <w:t>EPA Energy Star furnace efficiency requirement</w:t>
      </w:r>
      <w:r>
        <w:t xml:space="preserve">s are 90% AFUE in states in the </w:t>
      </w:r>
      <w:r w:rsidRPr="00373311">
        <w:t>southern half of the country (including all of California) an</w:t>
      </w:r>
      <w:r>
        <w:t xml:space="preserve">d 95% AFUE in northern states. </w:t>
      </w:r>
      <w:r w:rsidRPr="00373311">
        <w:t xml:space="preserve">However, the current NOPR would set a minimum 92 % AFUE nationwide which, in addition to </w:t>
      </w:r>
      <w:r w:rsidR="004006E3">
        <w:t>having a higher than average up-</w:t>
      </w:r>
      <w:r w:rsidRPr="00373311">
        <w:t>front cost, are in a class of condensing furnaces (90% AFUE and above) that require a different venting technology than the less-efficient (non-condensing) furnace.</w:t>
      </w:r>
    </w:p>
    <w:p w14:paraId="00AA4DE0" w14:textId="77777777" w:rsidR="00F42E5B" w:rsidRDefault="00F42E5B" w:rsidP="0008105F">
      <w:pPr>
        <w:pStyle w:val="SCGMemo"/>
      </w:pPr>
    </w:p>
    <w:p w14:paraId="1E96203C" w14:textId="77777777" w:rsidR="00D83A66" w:rsidRPr="00F42E5B" w:rsidRDefault="00D83A66" w:rsidP="0008105F">
      <w:pPr>
        <w:pStyle w:val="SCGMemo"/>
      </w:pPr>
    </w:p>
    <w:p w14:paraId="207A2953" w14:textId="77777777" w:rsidR="003A2B72" w:rsidRPr="001907B1" w:rsidRDefault="0021120F" w:rsidP="001907B1">
      <w:pPr>
        <w:spacing w:after="0" w:line="240" w:lineRule="auto"/>
        <w:rPr>
          <w:rFonts w:eastAsia="Calibri" w:cs="Times New Roman"/>
          <w:b/>
          <w:sz w:val="24"/>
          <w:szCs w:val="24"/>
        </w:rPr>
      </w:pPr>
      <w:r>
        <w:rPr>
          <w:rFonts w:eastAsia="Calibri" w:cs="Times New Roman"/>
          <w:b/>
          <w:sz w:val="24"/>
          <w:szCs w:val="24"/>
        </w:rPr>
        <w:lastRenderedPageBreak/>
        <w:t>III</w:t>
      </w:r>
      <w:r w:rsidR="00F9565F">
        <w:rPr>
          <w:rFonts w:eastAsia="Calibri" w:cs="Times New Roman"/>
          <w:b/>
          <w:sz w:val="24"/>
          <w:szCs w:val="24"/>
        </w:rPr>
        <w:t>.</w:t>
      </w:r>
      <w:r w:rsidR="00F9565F">
        <w:rPr>
          <w:rFonts w:eastAsia="Calibri" w:cs="Times New Roman"/>
          <w:b/>
          <w:sz w:val="24"/>
          <w:szCs w:val="24"/>
        </w:rPr>
        <w:tab/>
        <w:t>Life Cycle Cost</w:t>
      </w:r>
      <w:r w:rsidR="00BD2EA1" w:rsidRPr="003B342E">
        <w:rPr>
          <w:rFonts w:eastAsia="Calibri" w:cs="Times New Roman"/>
          <w:b/>
          <w:sz w:val="24"/>
          <w:szCs w:val="24"/>
        </w:rPr>
        <w:t xml:space="preserve"> </w:t>
      </w:r>
      <w:r w:rsidR="00F9565F">
        <w:rPr>
          <w:rFonts w:eastAsia="Calibri" w:cs="Times New Roman"/>
          <w:b/>
          <w:sz w:val="24"/>
          <w:szCs w:val="24"/>
        </w:rPr>
        <w:t xml:space="preserve">(LCC) </w:t>
      </w:r>
      <w:r w:rsidR="00BD2EA1" w:rsidRPr="003B342E">
        <w:rPr>
          <w:rFonts w:eastAsia="Calibri" w:cs="Times New Roman"/>
          <w:b/>
          <w:sz w:val="24"/>
          <w:szCs w:val="24"/>
        </w:rPr>
        <w:t>Analysis and Comments</w:t>
      </w:r>
    </w:p>
    <w:p w14:paraId="0990094F" w14:textId="77777777" w:rsidR="00D84855" w:rsidRDefault="00D84855" w:rsidP="0002568C">
      <w:pPr>
        <w:pStyle w:val="NormalWeb"/>
        <w:shd w:val="clear" w:color="auto" w:fill="FFFFFF"/>
        <w:spacing w:before="0" w:beforeAutospacing="0" w:after="0" w:afterAutospacing="0" w:line="263" w:lineRule="atLeast"/>
        <w:rPr>
          <w:bCs/>
        </w:rPr>
      </w:pPr>
    </w:p>
    <w:p w14:paraId="75C1C47F" w14:textId="77777777" w:rsidR="001227E3" w:rsidRDefault="001227E3" w:rsidP="0008105F">
      <w:pPr>
        <w:pStyle w:val="SCGMemo"/>
      </w:pPr>
      <w:r>
        <w:t xml:space="preserve">As part of the LCC review, we reviewed more than one-dozen related documents. </w:t>
      </w:r>
      <w:r w:rsidR="00F9565F" w:rsidRPr="000D021A">
        <w:t xml:space="preserve">The majority of our team’s Life Cycle Cost (LCC) analysis was performed by </w:t>
      </w:r>
      <w:proofErr w:type="spellStart"/>
      <w:r w:rsidR="00F9565F" w:rsidRPr="000D021A">
        <w:t>Negawatt</w:t>
      </w:r>
      <w:proofErr w:type="spellEnd"/>
      <w:r w:rsidR="00F9565F" w:rsidRPr="000D021A">
        <w:t xml:space="preserve"> Consulting, and is i</w:t>
      </w:r>
      <w:r w:rsidR="000D021A" w:rsidRPr="000D021A">
        <w:t xml:space="preserve">ncluded in Appendix A. </w:t>
      </w:r>
      <w:r w:rsidR="000D021A">
        <w:t>The information contained in this section is provided only as a brief summary of some of the major issues identified.</w:t>
      </w:r>
    </w:p>
    <w:p w14:paraId="259C2573" w14:textId="77777777" w:rsidR="0037294F" w:rsidRPr="0037294F" w:rsidRDefault="0037294F" w:rsidP="0008105F">
      <w:pPr>
        <w:pStyle w:val="SCGMemo"/>
      </w:pPr>
      <w:r w:rsidRPr="0037294F">
        <w:t xml:space="preserve">The </w:t>
      </w:r>
      <w:r>
        <w:t xml:space="preserve">DOE </w:t>
      </w:r>
      <w:r w:rsidR="00C31D2B">
        <w:t xml:space="preserve">LCC </w:t>
      </w:r>
      <w:r w:rsidRPr="0037294F">
        <w:t xml:space="preserve">methodology appears </w:t>
      </w:r>
      <w:r>
        <w:t xml:space="preserve">sound and thorough, but it is not </w:t>
      </w:r>
      <w:r w:rsidRPr="0037294F">
        <w:t>transparent</w:t>
      </w:r>
      <w:r>
        <w:t>. We agree with</w:t>
      </w:r>
      <w:r w:rsidR="00065122">
        <w:t xml:space="preserve"> recent</w:t>
      </w:r>
      <w:r>
        <w:t xml:space="preserve"> stakeholder criticism about the </w:t>
      </w:r>
      <w:r w:rsidR="00065122">
        <w:t xml:space="preserve">degree of </w:t>
      </w:r>
      <w:r>
        <w:t xml:space="preserve">difficulty involved in understanding the data that DOE provides. </w:t>
      </w:r>
      <w:r w:rsidR="00065122">
        <w:t>It is</w:t>
      </w:r>
      <w:r w:rsidRPr="0037294F">
        <w:t xml:space="preserve"> impractical</w:t>
      </w:r>
      <w:r w:rsidR="00065122">
        <w:t xml:space="preserve"> to assume that anyone unfamiliar with the </w:t>
      </w:r>
      <w:r w:rsidR="00106D86">
        <w:t>C</w:t>
      </w:r>
      <w:r w:rsidR="00065122">
        <w:t xml:space="preserve">rystal </w:t>
      </w:r>
      <w:r w:rsidR="00106D86">
        <w:t>B</w:t>
      </w:r>
      <w:r w:rsidR="00065122">
        <w:t xml:space="preserve">all software can easily step into the issue and understand DOE’s new methodology without dozens of hours of training and analysis. We </w:t>
      </w:r>
      <w:r w:rsidRPr="0037294F">
        <w:t xml:space="preserve">tried running the simulation on three different computers, using different operating systems and MS Excel configurations. Despite our best efforts, at this </w:t>
      </w:r>
      <w:r w:rsidR="00065122">
        <w:t>time, we are un</w:t>
      </w:r>
      <w:r w:rsidRPr="0037294F">
        <w:t xml:space="preserve">able to consistently and repeatedly perform simulation runs without errors or crashes. We are cautiously optimistic that we can minimize these issues in the near future by working with Oracle technical support. </w:t>
      </w:r>
    </w:p>
    <w:p w14:paraId="72557ED2" w14:textId="77777777" w:rsidR="000D021A" w:rsidRDefault="0037294F" w:rsidP="0008105F">
      <w:pPr>
        <w:pStyle w:val="SCGMemo"/>
      </w:pPr>
      <w:r w:rsidRPr="0037294F">
        <w:t xml:space="preserve">Apart from the practical issues, what appears to be missing is in the DOE </w:t>
      </w:r>
      <w:r w:rsidR="00065122">
        <w:t xml:space="preserve">LCC </w:t>
      </w:r>
      <w:r w:rsidRPr="0037294F">
        <w:t>materials is a sensitivity analysis for most key variables, and justification as to wh</w:t>
      </w:r>
      <w:r w:rsidR="00065122">
        <w:t>y they were chosen as they were</w:t>
      </w:r>
      <w:r w:rsidRPr="0037294F">
        <w:t xml:space="preserve">. This applies both to </w:t>
      </w:r>
      <w:proofErr w:type="gramStart"/>
      <w:r w:rsidRPr="0037294F">
        <w:t>meta</w:t>
      </w:r>
      <w:proofErr w:type="gramEnd"/>
      <w:r w:rsidRPr="0037294F">
        <w:t xml:space="preserve"> data, such as all the parame</w:t>
      </w:r>
      <w:r w:rsidR="00065122">
        <w:t>ters that are shown in the</w:t>
      </w:r>
      <w:r w:rsidRPr="0037294F">
        <w:t xml:space="preserve"> “user interface”, and to actual data.  Lastly, some of input data appears incorrect or outdated.</w:t>
      </w:r>
      <w:r w:rsidR="00065122">
        <w:t xml:space="preserve"> Please </w:t>
      </w:r>
      <w:r w:rsidR="00106D86">
        <w:t xml:space="preserve">refer </w:t>
      </w:r>
      <w:r w:rsidR="00065122">
        <w:t>to Appendix A for a more detailed summary of the LCC analysis</w:t>
      </w:r>
      <w:r w:rsidR="004C131A">
        <w:t xml:space="preserve"> and for recommendations specific to the LLC analysis</w:t>
      </w:r>
      <w:r w:rsidR="007A1C80">
        <w:t xml:space="preserve"> </w:t>
      </w:r>
      <w:r w:rsidR="004C131A">
        <w:t>(i</w:t>
      </w:r>
      <w:r w:rsidR="003E79D6">
        <w:t>n</w:t>
      </w:r>
      <w:r w:rsidR="004C131A">
        <w:t xml:space="preserve"> the</w:t>
      </w:r>
      <w:r w:rsidR="003E79D6">
        <w:t xml:space="preserve"> Outlook section </w:t>
      </w:r>
      <w:r w:rsidR="004C131A">
        <w:t>of Appendix A).</w:t>
      </w:r>
    </w:p>
    <w:p w14:paraId="54EF3A85" w14:textId="77777777" w:rsidR="00282242" w:rsidRPr="00282242" w:rsidRDefault="00282242" w:rsidP="00282242">
      <w:pPr>
        <w:pStyle w:val="NormalWeb"/>
        <w:shd w:val="clear" w:color="auto" w:fill="FFFFFF"/>
        <w:spacing w:before="0" w:beforeAutospacing="0" w:after="0" w:afterAutospacing="0" w:line="263" w:lineRule="atLeast"/>
        <w:rPr>
          <w:rFonts w:ascii="Helvetica" w:hAnsi="Helvetica" w:cs="Helvetica"/>
          <w:color w:val="333333"/>
          <w:sz w:val="21"/>
          <w:szCs w:val="21"/>
        </w:rPr>
      </w:pPr>
    </w:p>
    <w:p w14:paraId="78A4E072" w14:textId="77777777" w:rsidR="00D24D8E" w:rsidRDefault="0021120F" w:rsidP="00D24D8E">
      <w:pPr>
        <w:rPr>
          <w:b/>
          <w:bCs/>
          <w:sz w:val="24"/>
          <w:szCs w:val="24"/>
        </w:rPr>
      </w:pPr>
      <w:r>
        <w:rPr>
          <w:b/>
          <w:bCs/>
          <w:sz w:val="24"/>
          <w:szCs w:val="24"/>
        </w:rPr>
        <w:t>IV</w:t>
      </w:r>
      <w:r w:rsidR="00D24D8E" w:rsidRPr="003B342E">
        <w:rPr>
          <w:b/>
          <w:bCs/>
          <w:sz w:val="24"/>
          <w:szCs w:val="24"/>
        </w:rPr>
        <w:t>.</w:t>
      </w:r>
      <w:r w:rsidR="00D24D8E" w:rsidRPr="003B342E">
        <w:rPr>
          <w:b/>
          <w:bCs/>
          <w:sz w:val="24"/>
          <w:szCs w:val="24"/>
        </w:rPr>
        <w:tab/>
        <w:t>Summary Thoughts and Recommendations</w:t>
      </w:r>
    </w:p>
    <w:p w14:paraId="68437756" w14:textId="77777777" w:rsidR="004B592E" w:rsidRPr="00DE4FF1" w:rsidRDefault="004B592E" w:rsidP="0008105F">
      <w:pPr>
        <w:pStyle w:val="SCGMemo"/>
      </w:pPr>
      <w:r>
        <w:t xml:space="preserve">We identified </w:t>
      </w:r>
      <w:r w:rsidR="00292729">
        <w:t xml:space="preserve">10 issues of concern to the </w:t>
      </w:r>
      <w:r w:rsidR="000B4066">
        <w:t>SoCalGas</w:t>
      </w:r>
      <w:r w:rsidR="00292729">
        <w:t xml:space="preserve"> in the Executive Summary. This section is intended to bolster and underpin those issues, while also providing some guidance to the </w:t>
      </w:r>
      <w:r w:rsidR="000B4066">
        <w:t>SoCalGas</w:t>
      </w:r>
      <w:r w:rsidR="00581AF3">
        <w:t xml:space="preserve"> in dealing with this NOPR.</w:t>
      </w:r>
    </w:p>
    <w:p w14:paraId="7F461D3E" w14:textId="77777777" w:rsidR="00292729" w:rsidRDefault="00292729" w:rsidP="0008105F">
      <w:pPr>
        <w:pStyle w:val="SCGMemo"/>
      </w:pPr>
      <w:r>
        <w:t xml:space="preserve">We believe that the </w:t>
      </w:r>
      <w:r w:rsidR="000B4066">
        <w:t>SoCalGas</w:t>
      </w:r>
      <w:r>
        <w:t xml:space="preserve"> should immediately</w:t>
      </w:r>
      <w:r w:rsidR="004C131A">
        <w:t xml:space="preserve"> work to develop competency with the Crystal Ball software, and</w:t>
      </w:r>
      <w:r>
        <w:t xml:space="preserve"> attempt to run California-specific numbers </w:t>
      </w:r>
      <w:r w:rsidR="004C131A">
        <w:t>with this</w:t>
      </w:r>
      <w:r>
        <w:t xml:space="preserve"> software, while simultaneously working with industry partners, especially in the southern U.S., to compare analysis</w:t>
      </w:r>
      <w:r w:rsidR="004C131A">
        <w:t xml:space="preserve"> results</w:t>
      </w:r>
      <w:r>
        <w:t xml:space="preserve">. </w:t>
      </w:r>
    </w:p>
    <w:p w14:paraId="3FDCCF28" w14:textId="77777777" w:rsidR="00292729" w:rsidRDefault="00C15DB9" w:rsidP="0008105F">
      <w:pPr>
        <w:pStyle w:val="SCGMemo"/>
      </w:pPr>
      <w:r>
        <w:t>Again, d</w:t>
      </w:r>
      <w:r w:rsidR="00292729">
        <w:t>ue to the complicated methodology used by the DOE</w:t>
      </w:r>
      <w:r w:rsidR="007C3014">
        <w:t>, the lack of transparenc</w:t>
      </w:r>
      <w:r w:rsidR="00A326B6">
        <w:t>y</w:t>
      </w:r>
      <w:r w:rsidR="007C3014">
        <w:t xml:space="preserve"> in the process and data used,</w:t>
      </w:r>
      <w:r w:rsidR="00292729">
        <w:t xml:space="preserve"> and the extensiv</w:t>
      </w:r>
      <w:r>
        <w:t>e labor required to understand</w:t>
      </w:r>
      <w:r w:rsidR="00EF6C92">
        <w:t xml:space="preserve"> and critique,</w:t>
      </w:r>
      <w:r>
        <w:t xml:space="preserve"> </w:t>
      </w:r>
      <w:r w:rsidR="007C3014">
        <w:t>the DOE work,</w:t>
      </w:r>
      <w:r w:rsidR="00292729">
        <w:t xml:space="preserve"> the </w:t>
      </w:r>
      <w:r w:rsidR="000B4066">
        <w:t>SoCalGas</w:t>
      </w:r>
      <w:r w:rsidR="00292729">
        <w:t xml:space="preserve"> and others </w:t>
      </w:r>
      <w:r w:rsidR="00581AF3">
        <w:t xml:space="preserve">should be </w:t>
      </w:r>
      <w:r w:rsidR="004C131A">
        <w:t>justified in asking for a 90-day extension</w:t>
      </w:r>
      <w:r w:rsidR="00292729">
        <w:t xml:space="preserve"> to review</w:t>
      </w:r>
      <w:r w:rsidR="004C131A">
        <w:t xml:space="preserve"> and provide comments on</w:t>
      </w:r>
      <w:r w:rsidR="00292729">
        <w:t xml:space="preserve"> </w:t>
      </w:r>
      <w:r>
        <w:t>the DOE analysis</w:t>
      </w:r>
      <w:r w:rsidR="007C3014">
        <w:t xml:space="preserve"> and </w:t>
      </w:r>
      <w:r w:rsidR="004C131A">
        <w:t xml:space="preserve">its </w:t>
      </w:r>
      <w:r w:rsidR="007C3014">
        <w:t>results</w:t>
      </w:r>
      <w:r w:rsidR="00292729">
        <w:t>.</w:t>
      </w:r>
      <w:r>
        <w:t xml:space="preserve"> T</w:t>
      </w:r>
      <w:r w:rsidR="00292729">
        <w:t>his is a short-term s</w:t>
      </w:r>
      <w:r w:rsidR="007C3014">
        <w:t>trategy</w:t>
      </w:r>
      <w:r>
        <w:t>, but it</w:t>
      </w:r>
      <w:r w:rsidR="00292729">
        <w:t xml:space="preserve"> allow</w:t>
      </w:r>
      <w:r>
        <w:t>s</w:t>
      </w:r>
      <w:r w:rsidR="00292729">
        <w:t xml:space="preserve"> the </w:t>
      </w:r>
      <w:r w:rsidR="000B4066">
        <w:t>SoCalGas</w:t>
      </w:r>
      <w:r w:rsidR="001E4C01">
        <w:t xml:space="preserve"> to </w:t>
      </w:r>
      <w:r w:rsidR="007C3014">
        <w:t xml:space="preserve">perform a much deeper analysis than that they and their contractors </w:t>
      </w:r>
      <w:r w:rsidR="007C3014">
        <w:lastRenderedPageBreak/>
        <w:t>have had the opportunity to do at this juncture.</w:t>
      </w:r>
      <w:r w:rsidR="001E4C01">
        <w:t xml:space="preserve"> </w:t>
      </w:r>
      <w:r w:rsidR="00D5552D">
        <w:t>Moving the deadline for comments to</w:t>
      </w:r>
      <w:r>
        <w:t xml:space="preserve"> the DOE </w:t>
      </w:r>
      <w:r w:rsidR="007C3014">
        <w:t xml:space="preserve">on this NOPR </w:t>
      </w:r>
      <w:r w:rsidR="00097602">
        <w:t>from</w:t>
      </w:r>
      <w:r>
        <w:t xml:space="preserve"> </w:t>
      </w:r>
      <w:r w:rsidR="00D5552D">
        <w:t>June 2015 to</w:t>
      </w:r>
      <w:r w:rsidR="00097602">
        <w:t xml:space="preserve"> </w:t>
      </w:r>
      <w:r w:rsidR="00D5552D">
        <w:t>September 2015 seems</w:t>
      </w:r>
      <w:r w:rsidR="007C3014">
        <w:t xml:space="preserve"> </w:t>
      </w:r>
      <w:r w:rsidR="00EF6C92">
        <w:t>not only</w:t>
      </w:r>
      <w:r w:rsidR="007C3014">
        <w:t xml:space="preserve"> </w:t>
      </w:r>
      <w:r w:rsidR="00D5552D">
        <w:t>prudent</w:t>
      </w:r>
      <w:r w:rsidR="00EF6C92">
        <w:t>, but well-</w:t>
      </w:r>
      <w:r w:rsidR="007C3014">
        <w:t>advised</w:t>
      </w:r>
      <w:r w:rsidR="00D5552D">
        <w:t>.</w:t>
      </w:r>
    </w:p>
    <w:p w14:paraId="15040049" w14:textId="77777777" w:rsidR="004B592E" w:rsidRPr="00DE4FF1" w:rsidRDefault="004B592E" w:rsidP="0008105F">
      <w:pPr>
        <w:pStyle w:val="SCGMemo"/>
      </w:pPr>
      <w:r w:rsidRPr="00DE4FF1">
        <w:t xml:space="preserve">There is national concern that moving to </w:t>
      </w:r>
      <w:r>
        <w:t>these higher efficiency</w:t>
      </w:r>
      <w:r w:rsidRPr="00DE4FF1">
        <w:t xml:space="preserve"> furnaces will drive consumers and builders away from gas and toward </w:t>
      </w:r>
      <w:r w:rsidR="007C3014">
        <w:t>increased use of</w:t>
      </w:r>
      <w:r w:rsidRPr="00DE4FF1">
        <w:t xml:space="preserve"> electric appliance</w:t>
      </w:r>
      <w:r w:rsidR="007C3014">
        <w:t>s. Including heat pumps</w:t>
      </w:r>
      <w:r w:rsidR="00581AF3">
        <w:t xml:space="preserve"> – fuel switching</w:t>
      </w:r>
      <w:r w:rsidRPr="00DE4FF1">
        <w:t xml:space="preserve">. While there is legitimate concern over this issue in many parts of the country, we do not see this </w:t>
      </w:r>
      <w:r w:rsidR="007C3014">
        <w:t xml:space="preserve">as likely </w:t>
      </w:r>
      <w:r w:rsidRPr="00DE4FF1">
        <w:t>in California primarily due to consumer preference for gas</w:t>
      </w:r>
      <w:r w:rsidR="007C3014">
        <w:t>, higher than national average</w:t>
      </w:r>
      <w:r w:rsidRPr="00DE4FF1">
        <w:t xml:space="preserve"> electricity costs. </w:t>
      </w:r>
      <w:r w:rsidR="00EF6C92">
        <w:t xml:space="preserve">Regardless, </w:t>
      </w:r>
      <w:r w:rsidR="00581AF3">
        <w:t xml:space="preserve">it is </w:t>
      </w:r>
      <w:proofErr w:type="gramStart"/>
      <w:r w:rsidR="00581AF3">
        <w:t>an</w:t>
      </w:r>
      <w:proofErr w:type="gramEnd"/>
      <w:r w:rsidR="00581AF3">
        <w:t xml:space="preserve"> historically-important and –recognized issue – thus, </w:t>
      </w:r>
      <w:r w:rsidR="00EF6C92">
        <w:t xml:space="preserve">the </w:t>
      </w:r>
      <w:r w:rsidR="000B4066">
        <w:t>SoCalGas</w:t>
      </w:r>
      <w:r w:rsidR="00B2251B">
        <w:t xml:space="preserve"> should be c</w:t>
      </w:r>
      <w:r w:rsidRPr="00DE4FF1">
        <w:t>oncern</w:t>
      </w:r>
      <w:r w:rsidR="00EF6C92">
        <w:t>ed</w:t>
      </w:r>
      <w:r w:rsidRPr="00DE4FF1">
        <w:t xml:space="preserve"> </w:t>
      </w:r>
      <w:r w:rsidR="00EF6C92">
        <w:t>regarding</w:t>
      </w:r>
      <w:r w:rsidR="00EF6C92" w:rsidRPr="00DE4FF1">
        <w:t xml:space="preserve"> </w:t>
      </w:r>
      <w:r w:rsidRPr="00DE4FF1">
        <w:t xml:space="preserve">the impact of this standard on </w:t>
      </w:r>
      <w:r w:rsidR="000B4066">
        <w:t>SoCalGas</w:t>
      </w:r>
      <w:r w:rsidRPr="00DE4FF1">
        <w:t xml:space="preserve"> cus</w:t>
      </w:r>
      <w:r w:rsidR="00D50054">
        <w:t>tomers</w:t>
      </w:r>
      <w:r w:rsidR="00EF6C92">
        <w:t>, in both the new and retrofit markets</w:t>
      </w:r>
      <w:r w:rsidR="00D50054">
        <w:t xml:space="preserve">. </w:t>
      </w:r>
      <w:r w:rsidR="00B2251B">
        <w:t>Further, w</w:t>
      </w:r>
      <w:r w:rsidR="00D50054">
        <w:t>e</w:t>
      </w:r>
      <w:r w:rsidRPr="00DE4FF1">
        <w:t xml:space="preserve"> believe </w:t>
      </w:r>
      <w:r>
        <w:t>that</w:t>
      </w:r>
      <w:r w:rsidR="00EF6C92">
        <w:t xml:space="preserve"> at any significant change in DOE rules that can impact appliances and therefore markets for both gas and electric appliances, </w:t>
      </w:r>
      <w:r w:rsidRPr="00DE4FF1">
        <w:t xml:space="preserve">fuel switching in the </w:t>
      </w:r>
      <w:proofErr w:type="spellStart"/>
      <w:r w:rsidR="000B4066">
        <w:t>SoCalGas</w:t>
      </w:r>
      <w:r w:rsidRPr="00DE4FF1">
        <w:t>’s</w:t>
      </w:r>
      <w:proofErr w:type="spellEnd"/>
      <w:r w:rsidRPr="00DE4FF1">
        <w:t xml:space="preserve"> service territory is</w:t>
      </w:r>
      <w:r w:rsidR="00EF6C92">
        <w:t xml:space="preserve"> always</w:t>
      </w:r>
      <w:r w:rsidR="00D50054">
        <w:t xml:space="preserve"> </w:t>
      </w:r>
      <w:r w:rsidR="00EF6C92">
        <w:t xml:space="preserve">an issue </w:t>
      </w:r>
      <w:r w:rsidR="00D50054">
        <w:t>that needs to be examined closely by the</w:t>
      </w:r>
      <w:r w:rsidR="00321F09">
        <w:t xml:space="preserve"> </w:t>
      </w:r>
      <w:r w:rsidR="000B4066">
        <w:t>SoCalGas</w:t>
      </w:r>
      <w:r w:rsidR="00D50054">
        <w:t xml:space="preserve">. </w:t>
      </w:r>
    </w:p>
    <w:p w14:paraId="558BA053" w14:textId="77777777" w:rsidR="004B592E" w:rsidRPr="00DE4FF1" w:rsidRDefault="004B592E" w:rsidP="0008105F">
      <w:pPr>
        <w:pStyle w:val="SCGMemo"/>
      </w:pPr>
      <w:r w:rsidRPr="00DE4FF1">
        <w:t xml:space="preserve">We believe that nobody knows better than </w:t>
      </w:r>
      <w:r w:rsidR="000B4066">
        <w:t>SoCalGas</w:t>
      </w:r>
      <w:r w:rsidRPr="00DE4FF1">
        <w:t xml:space="preserve"> executives the pressure on traditional energy efficiency program offerings that will result from this proposed higher efficiency standard. Simply stated, with </w:t>
      </w:r>
      <w:r w:rsidR="00581AF3">
        <w:t>an increase in</w:t>
      </w:r>
      <w:r w:rsidRPr="00DE4FF1">
        <w:t xml:space="preserve"> minimum </w:t>
      </w:r>
      <w:r w:rsidR="00581AF3">
        <w:t>efficiency</w:t>
      </w:r>
      <w:r w:rsidRPr="00DE4FF1">
        <w:t xml:space="preserve"> from </w:t>
      </w:r>
      <w:r w:rsidR="004D3A23">
        <w:t>the</w:t>
      </w:r>
      <w:r w:rsidR="00581AF3">
        <w:t xml:space="preserve"> current market-determined minimum efficiency of</w:t>
      </w:r>
      <w:r w:rsidR="004D3A23">
        <w:t xml:space="preserve"> </w:t>
      </w:r>
      <w:r w:rsidRPr="00DE4FF1">
        <w:t>80% AFUE</w:t>
      </w:r>
      <w:r w:rsidR="004D3A23">
        <w:t xml:space="preserve"> </w:t>
      </w:r>
      <w:r w:rsidRPr="00DE4FF1">
        <w:t>to</w:t>
      </w:r>
      <w:r w:rsidR="00581AF3">
        <w:t xml:space="preserve"> a new</w:t>
      </w:r>
      <w:r w:rsidR="00E04BC0">
        <w:t xml:space="preserve"> standard minim</w:t>
      </w:r>
      <w:r w:rsidR="00581AF3">
        <w:t>um of</w:t>
      </w:r>
      <w:r w:rsidRPr="00DE4FF1">
        <w:t xml:space="preserve"> 92% AFUE</w:t>
      </w:r>
      <w:r w:rsidR="00EF6C92">
        <w:t>,</w:t>
      </w:r>
      <w:r w:rsidRPr="00DE4FF1">
        <w:t xml:space="preserve"> the opportunities for more</w:t>
      </w:r>
      <w:r w:rsidR="00E04BC0">
        <w:t>, sizable energy-</w:t>
      </w:r>
      <w:r w:rsidRPr="00DE4FF1">
        <w:t>efficiency gains</w:t>
      </w:r>
      <w:r w:rsidR="00183E5C">
        <w:t xml:space="preserve"> from above-code</w:t>
      </w:r>
      <w:r w:rsidRPr="00DE4FF1">
        <w:t xml:space="preserve"> </w:t>
      </w:r>
      <w:r w:rsidR="00E04BC0">
        <w:t xml:space="preserve">programs </w:t>
      </w:r>
      <w:r w:rsidRPr="00DE4FF1">
        <w:t>become</w:t>
      </w:r>
      <w:r w:rsidR="00EF6C92">
        <w:t xml:space="preserve"> substantially</w:t>
      </w:r>
      <w:r w:rsidRPr="00DE4FF1">
        <w:t xml:space="preserve"> limited. W</w:t>
      </w:r>
      <w:r>
        <w:t>ith each ratchet-</w:t>
      </w:r>
      <w:r w:rsidRPr="00DE4FF1">
        <w:t xml:space="preserve">up on the standard, pressure intensifies on the </w:t>
      </w:r>
      <w:r w:rsidR="000B4066">
        <w:t>SoCalGas</w:t>
      </w:r>
      <w:r w:rsidRPr="00DE4FF1">
        <w:t xml:space="preserve"> to find new ways to design and deliver profitable, effective energy efficiency programs. We believe </w:t>
      </w:r>
      <w:r>
        <w:t>that</w:t>
      </w:r>
      <w:r w:rsidR="00183E5C">
        <w:t xml:space="preserve"> the proposed increase in furnace </w:t>
      </w:r>
      <w:r w:rsidRPr="00DE4FF1">
        <w:t>standard</w:t>
      </w:r>
      <w:r w:rsidR="00183E5C">
        <w:t xml:space="preserve"> efficiency </w:t>
      </w:r>
      <w:r w:rsidR="00E04BC0">
        <w:t xml:space="preserve">would likely result in a substantial curtailment in Gas-Company sponsored </w:t>
      </w:r>
      <w:r w:rsidR="00183E5C">
        <w:t>energy-ef</w:t>
      </w:r>
      <w:r w:rsidR="00E04BC0">
        <w:t>ficiency program offerings</w:t>
      </w:r>
      <w:r w:rsidR="00D50054">
        <w:t xml:space="preserve">. </w:t>
      </w:r>
      <w:r w:rsidR="00E04BC0">
        <w:t>Energy-efficiency program opportunities and resultant income streams to t</w:t>
      </w:r>
      <w:r w:rsidR="00D50054">
        <w:t xml:space="preserve">he </w:t>
      </w:r>
      <w:r w:rsidR="000B4066">
        <w:t>SoCalGas</w:t>
      </w:r>
      <w:r w:rsidR="00E04BC0">
        <w:t xml:space="preserve"> as a result of consumer energy-efficiency programs need</w:t>
      </w:r>
      <w:r w:rsidR="00D50054">
        <w:t xml:space="preserve"> to be examining different s</w:t>
      </w:r>
      <w:r w:rsidR="00F3363C">
        <w:t>cenarios based on the standard becoming a reality in 2016, and furnaces required five years later in 2021.</w:t>
      </w:r>
    </w:p>
    <w:p w14:paraId="689265A5" w14:textId="77777777" w:rsidR="004B592E" w:rsidRPr="00DE4FF1" w:rsidRDefault="004B592E" w:rsidP="0008105F">
      <w:pPr>
        <w:pStyle w:val="SCGMemo"/>
      </w:pPr>
      <w:r w:rsidRPr="00DE4FF1">
        <w:t>To be certain, this is a complex and contentious standard, characterized by many intense DOE-</w:t>
      </w:r>
      <w:r>
        <w:t>organized stakeholder meetings,</w:t>
      </w:r>
      <w:r w:rsidRPr="00DE4FF1">
        <w:t xml:space="preserve"> </w:t>
      </w:r>
      <w:r>
        <w:t xml:space="preserve">numerous </w:t>
      </w:r>
      <w:r w:rsidRPr="00DE4FF1">
        <w:t xml:space="preserve">legal delays, </w:t>
      </w:r>
      <w:r w:rsidRPr="0008105F">
        <w:rPr>
          <w:i/>
        </w:rPr>
        <w:t>ex parte</w:t>
      </w:r>
      <w:r w:rsidRPr="00DE4FF1">
        <w:t xml:space="preserve"> decisions</w:t>
      </w:r>
      <w:r>
        <w:t>,</w:t>
      </w:r>
      <w:r w:rsidRPr="00DE4FF1">
        <w:t xml:space="preserve"> unmet industry requests for data, and a formal settlement between DOE and stakeholders that kept the standard</w:t>
      </w:r>
      <w:r w:rsidR="00BB32CF">
        <w:t xml:space="preserve"> process</w:t>
      </w:r>
      <w:r w:rsidRPr="00DE4FF1">
        <w:t xml:space="preserve"> alive after negotiations stalled. The process has been anything but smooth for a</w:t>
      </w:r>
      <w:r>
        <w:t xml:space="preserve">ll parties. </w:t>
      </w:r>
      <w:r w:rsidR="00D517A2">
        <w:t xml:space="preserve">One can expect more legal delays based on input at the March </w:t>
      </w:r>
      <w:r>
        <w:t>27, 2015</w:t>
      </w:r>
      <w:r w:rsidR="00D517A2">
        <w:t xml:space="preserve"> public hearing (which</w:t>
      </w:r>
      <w:r>
        <w:t xml:space="preserve"> was extended to April 13, 2015 following</w:t>
      </w:r>
      <w:r w:rsidRPr="00DE4FF1">
        <w:t xml:space="preserve"> eight hours of c</w:t>
      </w:r>
      <w:r>
        <w:t>omments and after</w:t>
      </w:r>
      <w:r w:rsidRPr="00DE4FF1">
        <w:t xml:space="preserve"> less than half of the published agenda was covered</w:t>
      </w:r>
      <w:r w:rsidR="00D517A2">
        <w:t>)</w:t>
      </w:r>
      <w:r w:rsidRPr="00DE4FF1">
        <w:t>.</w:t>
      </w:r>
    </w:p>
    <w:p w14:paraId="53524E72" w14:textId="77777777" w:rsidR="00332E89" w:rsidRDefault="004B592E" w:rsidP="0008105F">
      <w:pPr>
        <w:pStyle w:val="SCGMemo"/>
      </w:pPr>
      <w:r>
        <w:t xml:space="preserve">A common concern expressed by those opposed to the move to the higher efficiency standard is the negative economic impact on consumers nationwide. This is not only because of the higher </w:t>
      </w:r>
      <w:r w:rsidR="006A2537">
        <w:t xml:space="preserve">initial </w:t>
      </w:r>
      <w:r>
        <w:t>cost of a 92% AFUE furnace</w:t>
      </w:r>
      <w:r w:rsidR="006A2537">
        <w:t>,</w:t>
      </w:r>
      <w:r>
        <w:t xml:space="preserve"> but particularly from an increase in installation costs when replacing an 80% AFUE. This is because these </w:t>
      </w:r>
      <w:r w:rsidR="006A2537">
        <w:t>“</w:t>
      </w:r>
      <w:r>
        <w:t>condensing</w:t>
      </w:r>
      <w:r w:rsidR="006A2537">
        <w:t>”</w:t>
      </w:r>
      <w:r>
        <w:t xml:space="preserve"> furnaces </w:t>
      </w:r>
      <w:r w:rsidR="006A2537">
        <w:t>achieve</w:t>
      </w:r>
      <w:r>
        <w:t xml:space="preserve"> a high </w:t>
      </w:r>
      <w:r>
        <w:lastRenderedPageBreak/>
        <w:t>efficiency b</w:t>
      </w:r>
      <w:r w:rsidR="006A2537">
        <w:t>y</w:t>
      </w:r>
      <w:r>
        <w:t xml:space="preserve"> extract</w:t>
      </w:r>
      <w:r w:rsidR="006A2537">
        <w:t>ing</w:t>
      </w:r>
      <w:r>
        <w:t xml:space="preserve"> additional heat from exhaust gases</w:t>
      </w:r>
      <w:r w:rsidR="006A2537">
        <w:t>, cooling them below the condensing temperature for some exhaust gases,</w:t>
      </w:r>
      <w:r>
        <w:t xml:space="preserve"> </w:t>
      </w:r>
      <w:r w:rsidR="006A2537">
        <w:t>resulting in corrosive condensate in the flue that</w:t>
      </w:r>
      <w:r>
        <w:t xml:space="preserve"> must be </w:t>
      </w:r>
      <w:r w:rsidR="006A2537">
        <w:t xml:space="preserve">removed and requiring </w:t>
      </w:r>
      <w:r>
        <w:t>PVC piping</w:t>
      </w:r>
      <w:r w:rsidR="006A2537">
        <w:t xml:space="preserve"> for a condensate line (to a drain) and a PVC flue</w:t>
      </w:r>
      <w:r>
        <w:t xml:space="preserve"> (</w:t>
      </w:r>
      <w:r w:rsidR="006A2537">
        <w:t xml:space="preserve">a standard metal flue would be damaged by </w:t>
      </w:r>
      <w:r>
        <w:t>the corrosive condensate). The DOE estimates that the cost difference between an 80% AFUE and 9</w:t>
      </w:r>
      <w:r w:rsidR="00DC339C">
        <w:t>2</w:t>
      </w:r>
      <w:r>
        <w:t xml:space="preserve">% AFUR furnace </w:t>
      </w:r>
      <w:r w:rsidR="00C1561A">
        <w:t>ranges from</w:t>
      </w:r>
      <w:r>
        <w:t xml:space="preserve"> $</w:t>
      </w:r>
      <w:r w:rsidR="00DC339C">
        <w:t xml:space="preserve"> 179.18</w:t>
      </w:r>
      <w:r w:rsidR="00C1561A">
        <w:t xml:space="preserve"> to $ 1,392.79, potentially</w:t>
      </w:r>
      <w:r w:rsidR="00C92BB2">
        <w:t xml:space="preserve"> low cost</w:t>
      </w:r>
      <w:r w:rsidR="00C1561A">
        <w:t>s,</w:t>
      </w:r>
      <w:r w:rsidR="00C92BB2">
        <w:t xml:space="preserve"> requiring verification</w:t>
      </w:r>
      <w:r>
        <w:t xml:space="preserve">. </w:t>
      </w:r>
      <w:r w:rsidR="00DC339C">
        <w:t xml:space="preserve">Furthermore, </w:t>
      </w:r>
      <w:r w:rsidR="00C92BB2">
        <w:t>the DOE</w:t>
      </w:r>
      <w:r w:rsidR="00DC339C">
        <w:t xml:space="preserve"> </w:t>
      </w:r>
      <w:r>
        <w:t>estimate</w:t>
      </w:r>
      <w:r w:rsidR="00DC339C">
        <w:t>s</w:t>
      </w:r>
      <w:r>
        <w:t xml:space="preserve"> </w:t>
      </w:r>
      <w:r w:rsidR="00DC339C">
        <w:t xml:space="preserve">the total national average </w:t>
      </w:r>
      <w:r>
        <w:t xml:space="preserve">installation costs </w:t>
      </w:r>
      <w:r w:rsidR="00140D72">
        <w:t xml:space="preserve">to upgrade the furnace in an existing home is $598.48 more than installation in a new home. </w:t>
      </w:r>
      <w:r>
        <w:t>Given the potential impact on</w:t>
      </w:r>
      <w:r w:rsidR="00321F09">
        <w:t xml:space="preserve"> </w:t>
      </w:r>
      <w:r w:rsidR="000B4066">
        <w:t>SoCalGas</w:t>
      </w:r>
      <w:r>
        <w:t xml:space="preserve"> customers from this ratcheting up of the standard, especially on low to moderate income customers, this issue warrants close attention.</w:t>
      </w:r>
    </w:p>
    <w:p w14:paraId="17984DA6" w14:textId="77777777" w:rsidR="004B592E" w:rsidRPr="00EC2902" w:rsidRDefault="004B592E" w:rsidP="0008105F">
      <w:pPr>
        <w:pStyle w:val="SCGMemo"/>
        <w:rPr>
          <w:rFonts w:eastAsia="Calibri" w:cs="Times New Roman"/>
        </w:rPr>
      </w:pPr>
      <w:r>
        <w:t xml:space="preserve">There are important implications for the </w:t>
      </w:r>
      <w:r w:rsidR="000B4066">
        <w:t>SoCalGas</w:t>
      </w:r>
      <w:r>
        <w:t xml:space="preserve"> to consider based on</w:t>
      </w:r>
      <w:r w:rsidR="002B135D">
        <w:t xml:space="preserve"> whether and</w:t>
      </w:r>
      <w:r>
        <w:t xml:space="preserve"> which region California </w:t>
      </w:r>
      <w:r w:rsidR="002B135D">
        <w:t>might</w:t>
      </w:r>
      <w:r>
        <w:t xml:space="preserve"> ultimately</w:t>
      </w:r>
      <w:r w:rsidR="002B135D">
        <w:t xml:space="preserve"> be</w:t>
      </w:r>
      <w:r>
        <w:t xml:space="preserve"> grouped into for the Final Rule. In addition, despite the relatively late notice the </w:t>
      </w:r>
      <w:r w:rsidR="000B4066">
        <w:t>SoCalGas</w:t>
      </w:r>
      <w:r>
        <w:t xml:space="preserve"> may want to suggest more specific, smaller regions for the standard, closer to what was envisioned in the </w:t>
      </w:r>
      <w:r w:rsidR="00420BB8">
        <w:t>2011 agreement. Past DOE rulemakings</w:t>
      </w:r>
      <w:r w:rsidR="00BB32CF">
        <w:t xml:space="preserve"> have</w:t>
      </w:r>
      <w:r>
        <w:t xml:space="preserve"> grouped California into either a large southern (with half of the country, more or less) for natural gas furnaces, or a smaller southwestern group of only four states (CA, AZ, NV and </w:t>
      </w:r>
      <w:r w:rsidR="00BB32CF">
        <w:t>NM) for analyse</w:t>
      </w:r>
      <w:r>
        <w:t xml:space="preserve">s related to central air conditioners and heat pumps. </w:t>
      </w:r>
      <w:proofErr w:type="gramStart"/>
      <w:r w:rsidR="00420BB8">
        <w:t>(“Consensus Agreement” of efficiency advocates, including the California Energy Commission, 2009; Direct Final Rule, November 2007; and Notice of Proposed Rule Making, 2015).</w:t>
      </w:r>
      <w:proofErr w:type="gramEnd"/>
      <w:r w:rsidR="00420BB8">
        <w:t xml:space="preserve"> </w:t>
      </w:r>
      <w:r>
        <w:t xml:space="preserve">Given climatic differences between northern and southern California, an easy argument can be made for two different zones within California, with half of the state in the south, and half of the state in the north. How the California Public Utilities Commission (CPUC) and the State later interpret the zones can ultimately have revenue impacts on </w:t>
      </w:r>
      <w:r w:rsidR="00321F09">
        <w:t xml:space="preserve">the </w:t>
      </w:r>
      <w:r w:rsidR="000B4066">
        <w:t>SoCalGas</w:t>
      </w:r>
      <w:r>
        <w:t xml:space="preserve"> (for example, the northern zone may be ruled eligible for higher allowed rebates through the rate making process). In addition, federal funding for utility energy programs may be tied to the region that the </w:t>
      </w:r>
      <w:r w:rsidR="000B4066">
        <w:t>SoCalGas</w:t>
      </w:r>
      <w:r>
        <w:t xml:space="preserve"> finds itself ultimately within—so, the issue may be important.</w:t>
      </w:r>
    </w:p>
    <w:p w14:paraId="48E791CD" w14:textId="77777777" w:rsidR="00074D0E" w:rsidRDefault="004B592E" w:rsidP="003E79D6">
      <w:pPr>
        <w:pStyle w:val="SCGMemo"/>
      </w:pPr>
      <w:r>
        <w:t xml:space="preserve">One of the most vulnerable areas we identified in our review of the proposed gas furnace efficiency rule is the analysis related to future electricity costs. The DOE relies on Annual Energy Outlook (AEO) analysis, rather than more accurate industry data and analysis. The DOE is quick to respond to criticism by pointing that the AEO is what they always use, and it is essentially the best info that they have access to in their analysis. Regardless of how </w:t>
      </w:r>
      <w:r w:rsidR="00321F09">
        <w:t xml:space="preserve">the </w:t>
      </w:r>
      <w:r w:rsidR="000B4066">
        <w:t>SoCalGas</w:t>
      </w:r>
      <w:r>
        <w:t xml:space="preserve"> views the AEO, a careful analysis of gas prices in the out-years may help the DOE assemble more realistic costs and benefits.</w:t>
      </w:r>
    </w:p>
    <w:p w14:paraId="76D13DA9" w14:textId="77777777" w:rsidR="00517D54" w:rsidRDefault="00517D54" w:rsidP="003E79D6">
      <w:pPr>
        <w:pStyle w:val="SCGMemo"/>
      </w:pPr>
      <w:r>
        <w:t>LCC and Market-related considerations:</w:t>
      </w:r>
    </w:p>
    <w:p w14:paraId="54377494" w14:textId="77777777" w:rsidR="00517D54" w:rsidRDefault="00517D54" w:rsidP="00517D54">
      <w:pPr>
        <w:pStyle w:val="SCGMemo"/>
        <w:numPr>
          <w:ilvl w:val="0"/>
          <w:numId w:val="24"/>
        </w:numPr>
      </w:pPr>
      <w:r>
        <w:t>What if the results hold and the PBP is well above 6 years – what does this mean to consumers?</w:t>
      </w:r>
    </w:p>
    <w:p w14:paraId="6E803917" w14:textId="77777777" w:rsidR="00517D54" w:rsidRDefault="00B6239A" w:rsidP="00517D54">
      <w:pPr>
        <w:pStyle w:val="SCGMemo"/>
        <w:numPr>
          <w:ilvl w:val="0"/>
          <w:numId w:val="24"/>
        </w:numPr>
      </w:pPr>
      <w:r>
        <w:lastRenderedPageBreak/>
        <w:t>Is this likely to, and what if it does drive consumers to fuel-switching?  If fuel-switching occurs, how does the primary-fuel savings compare between the more efficient gas furnace and the switched-to HP?  Consider both fuel and emissions…</w:t>
      </w:r>
    </w:p>
    <w:p w14:paraId="16968F81" w14:textId="77777777" w:rsidR="00D83A66" w:rsidRDefault="0021120F" w:rsidP="00074D0E">
      <w:pPr>
        <w:rPr>
          <w:rFonts w:cs="Helvetica"/>
          <w:b/>
          <w:color w:val="333333"/>
          <w:sz w:val="24"/>
          <w:szCs w:val="24"/>
          <w:shd w:val="clear" w:color="auto" w:fill="FFFFFF"/>
        </w:rPr>
      </w:pPr>
      <w:r w:rsidRPr="0021120F">
        <w:rPr>
          <w:rFonts w:cs="Helvetica"/>
          <w:b/>
          <w:color w:val="333333"/>
          <w:sz w:val="24"/>
          <w:szCs w:val="24"/>
          <w:shd w:val="clear" w:color="auto" w:fill="FFFFFF"/>
        </w:rPr>
        <w:t xml:space="preserve">V. </w:t>
      </w:r>
      <w:r w:rsidRPr="0021120F">
        <w:rPr>
          <w:rFonts w:cs="Helvetica"/>
          <w:b/>
          <w:color w:val="333333"/>
          <w:sz w:val="24"/>
          <w:szCs w:val="24"/>
          <w:shd w:val="clear" w:color="auto" w:fill="FFFFFF"/>
        </w:rPr>
        <w:tab/>
        <w:t>Appendi</w:t>
      </w:r>
      <w:r w:rsidR="00CE4C91">
        <w:rPr>
          <w:rFonts w:cs="Helvetica"/>
          <w:b/>
          <w:color w:val="333333"/>
          <w:sz w:val="24"/>
          <w:szCs w:val="24"/>
          <w:shd w:val="clear" w:color="auto" w:fill="FFFFFF"/>
        </w:rPr>
        <w:t>ces</w:t>
      </w:r>
    </w:p>
    <w:p w14:paraId="272E51DE" w14:textId="290C0515" w:rsidR="00074D0E" w:rsidRPr="00074D0E" w:rsidRDefault="00074D0E" w:rsidP="00074D0E">
      <w:pPr>
        <w:rPr>
          <w:b/>
          <w:sz w:val="24"/>
          <w:szCs w:val="24"/>
        </w:rPr>
      </w:pPr>
      <w:r w:rsidRPr="00074D0E">
        <w:rPr>
          <w:b/>
          <w:sz w:val="24"/>
          <w:szCs w:val="24"/>
        </w:rPr>
        <w:t>Appendix A</w:t>
      </w:r>
      <w:r w:rsidR="007A1C80">
        <w:rPr>
          <w:b/>
          <w:sz w:val="24"/>
          <w:szCs w:val="24"/>
        </w:rPr>
        <w:t>.</w:t>
      </w:r>
      <w:r w:rsidRPr="00074D0E">
        <w:rPr>
          <w:b/>
          <w:sz w:val="24"/>
          <w:szCs w:val="24"/>
        </w:rPr>
        <w:t xml:space="preserve">  Life Cycle Cost (LCC) Analysis and Comments</w:t>
      </w:r>
    </w:p>
    <w:p w14:paraId="37078771" w14:textId="77777777" w:rsidR="007A1C80" w:rsidRPr="006059A9" w:rsidRDefault="007A1C80" w:rsidP="007A1C80">
      <w:pPr>
        <w:rPr>
          <w:b/>
          <w:sz w:val="28"/>
          <w:szCs w:val="28"/>
        </w:rPr>
      </w:pPr>
      <w:r w:rsidRPr="006059A9">
        <w:rPr>
          <w:b/>
          <w:sz w:val="28"/>
          <w:szCs w:val="28"/>
        </w:rPr>
        <w:t xml:space="preserve">LCC Analysis and Comments for SoCal Gas, DOE furnace efficiency rulemaking </w:t>
      </w:r>
    </w:p>
    <w:p w14:paraId="36E3D311" w14:textId="77777777" w:rsidR="007A1C80" w:rsidRDefault="007A1C80" w:rsidP="007A1C80">
      <w:pPr>
        <w:pStyle w:val="ListParagraph"/>
      </w:pPr>
    </w:p>
    <w:p w14:paraId="5D2504EC" w14:textId="77777777" w:rsidR="007A1C80" w:rsidRPr="00610C96" w:rsidRDefault="007A1C80" w:rsidP="007A1C80">
      <w:pPr>
        <w:pStyle w:val="ListParagraph"/>
        <w:numPr>
          <w:ilvl w:val="0"/>
          <w:numId w:val="19"/>
        </w:numPr>
        <w:spacing w:after="160" w:line="259" w:lineRule="auto"/>
        <w:rPr>
          <w:b/>
        </w:rPr>
      </w:pPr>
      <w:r w:rsidRPr="00610C96">
        <w:rPr>
          <w:b/>
        </w:rPr>
        <w:t>Summary of the LCC</w:t>
      </w:r>
    </w:p>
    <w:p w14:paraId="4ADB9AEE" w14:textId="77777777" w:rsidR="00C55615" w:rsidRDefault="00C55615" w:rsidP="00C55615">
      <w:r>
        <w:t xml:space="preserve">The DOE has developed a calculation spreadsheet to determine Life-Cycle Cost (LCC) and Simple Payback Period (PBP) for high efficiency furnaces as compared to an 80% AFUE base case. As part of its calculation, the spreadsheet creates 10,000 randomized furnace upgrade scenarios across the nation, and calculates </w:t>
      </w:r>
      <w:r w:rsidRPr="00E80D4F">
        <w:t>LCC and PBP</w:t>
      </w:r>
      <w:r>
        <w:t xml:space="preserve"> for each. Results are shown as nationwide averages in the “Summary” tab. These nationwide averages are broken down </w:t>
      </w:r>
      <w:r w:rsidRPr="007603C9">
        <w:t>by NWGF and MHGF</w:t>
      </w:r>
      <w:r>
        <w:t xml:space="preserve"> (non-weatherized gas furnaces, and mobile home gas furnaces, respectively), and by levels of efficiency as follows: </w:t>
      </w:r>
    </w:p>
    <w:p w14:paraId="16CF0CD3" w14:textId="77777777" w:rsidR="007A1C80" w:rsidRDefault="007A1C80" w:rsidP="007A1C80">
      <w:pPr>
        <w:ind w:left="-720"/>
      </w:pPr>
      <w:r w:rsidRPr="0024292B">
        <w:rPr>
          <w:noProof/>
        </w:rPr>
        <w:drawing>
          <wp:inline distT="0" distB="0" distL="0" distR="0" wp14:anchorId="15D6C363" wp14:editId="6B1269CE">
            <wp:extent cx="6778793" cy="14954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9690" cy="1497829"/>
                    </a:xfrm>
                    <a:prstGeom prst="rect">
                      <a:avLst/>
                    </a:prstGeom>
                    <a:noFill/>
                    <a:ln>
                      <a:noFill/>
                    </a:ln>
                  </pic:spPr>
                </pic:pic>
              </a:graphicData>
            </a:graphic>
          </wp:inline>
        </w:drawing>
      </w:r>
    </w:p>
    <w:p w14:paraId="202BC6DB" w14:textId="77777777" w:rsidR="007A1C80" w:rsidRDefault="007A1C80" w:rsidP="007A1C80">
      <w:r>
        <w:t xml:space="preserve">These results are then disaggregated further by region (“North”, “Rest of Country”), and building type (“Residential” vs. “Commercial”), and by construction scenario (“New” vs. “Replacement”). </w:t>
      </w:r>
    </w:p>
    <w:p w14:paraId="4A788EFB" w14:textId="65D36D62" w:rsidR="007A1C80" w:rsidRDefault="007A1C80" w:rsidP="007A1C80">
      <w:r>
        <w:t xml:space="preserve">In addition, LCC and PBP calculations are provided for four different types of power supply technologies. We are ignoring these calculations in our discussion, as the LCC is insignificant at 1-2% of the furnace LCC. </w:t>
      </w:r>
    </w:p>
    <w:p w14:paraId="0E1221B5" w14:textId="77777777" w:rsidR="007A1C80" w:rsidRDefault="007A1C80" w:rsidP="007A1C80">
      <w:r>
        <w:t xml:space="preserve">The DOE’s calculation spreadsheet was shared with the general public in 2014, and has been corrected twice since its original publication due to errors found by independent reviewers. </w:t>
      </w:r>
      <w:r w:rsidRPr="00DD60DF">
        <w:t>This</w:t>
      </w:r>
      <w:r>
        <w:t xml:space="preserve"> analysis is based on the latest version available in the docket, dated February 6, 2015. We have also considered several other documents in our review, notably: </w:t>
      </w:r>
      <w:r w:rsidRPr="005C4930">
        <w:t>RF_NOPR Presentation_2015-03-26_for_printing</w:t>
      </w:r>
      <w:r>
        <w:t xml:space="preserve">.pptx (presentation provided by DOE during public NOPR meeting on March 27, 2015 in Washington, DC), and </w:t>
      </w:r>
      <w:r w:rsidRPr="005C4930">
        <w:t>EERE-2014-BT-STD-0031-0016</w:t>
      </w:r>
      <w:r>
        <w:t xml:space="preserve">.pdf (presentation provided by DOE on November 7, 2014 in Washington, DC), several comment letters by AGA/APGA, and fuel switching materials by GTI. All documents used are available to the public via the DOE docket for this rulemaking. </w:t>
      </w:r>
    </w:p>
    <w:p w14:paraId="13F68DBD" w14:textId="77777777" w:rsidR="007A1C80" w:rsidRPr="00610C96" w:rsidRDefault="007A1C80" w:rsidP="007A1C80">
      <w:pPr>
        <w:pStyle w:val="ListParagraph"/>
        <w:numPr>
          <w:ilvl w:val="0"/>
          <w:numId w:val="19"/>
        </w:numPr>
        <w:spacing w:after="160" w:line="259" w:lineRule="auto"/>
        <w:rPr>
          <w:b/>
        </w:rPr>
      </w:pPr>
      <w:r w:rsidRPr="00610C96">
        <w:rPr>
          <w:b/>
        </w:rPr>
        <w:lastRenderedPageBreak/>
        <w:t xml:space="preserve">Summary of calculation inputs </w:t>
      </w:r>
    </w:p>
    <w:p w14:paraId="74A85875" w14:textId="77777777" w:rsidR="007A1C80" w:rsidRDefault="007A1C80" w:rsidP="007A1C80">
      <w:r>
        <w:t xml:space="preserve">The calculation inputs considered and the general flow of the calculation are shown below: </w:t>
      </w:r>
    </w:p>
    <w:p w14:paraId="795687AC" w14:textId="77777777" w:rsidR="007A1C80" w:rsidRDefault="007A1C80" w:rsidP="007A1C80">
      <w:pPr>
        <w:ind w:left="-720"/>
      </w:pPr>
      <w:r>
        <w:rPr>
          <w:noProof/>
        </w:rPr>
        <w:drawing>
          <wp:inline distT="0" distB="0" distL="0" distR="0" wp14:anchorId="3C71F08F" wp14:editId="7A266700">
            <wp:extent cx="6793663" cy="25222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10105" cy="2528324"/>
                    </a:xfrm>
                    <a:prstGeom prst="rect">
                      <a:avLst/>
                    </a:prstGeom>
                  </pic:spPr>
                </pic:pic>
              </a:graphicData>
            </a:graphic>
          </wp:inline>
        </w:drawing>
      </w:r>
    </w:p>
    <w:p w14:paraId="69F28164" w14:textId="77777777" w:rsidR="00C55615" w:rsidRPr="00C55615" w:rsidRDefault="00C55615" w:rsidP="00C55615">
      <w:r w:rsidRPr="00C55615">
        <w:t xml:space="preserve">Most raw input data is derived from various public and private sources, for example RECS 2009, CBECS 2003, RS Means 2013, AEO 2014, sales data gleaned from vendors by means of surveys, and so on. Please refer to section “References” for details about the sources cited. Some input parameters were determined by “deliberative process” at the DOE and are not further justified. </w:t>
      </w:r>
    </w:p>
    <w:p w14:paraId="1764B3E6" w14:textId="77777777" w:rsidR="007A1C80" w:rsidRDefault="007A1C80" w:rsidP="007A1C80">
      <w:r>
        <w:t xml:space="preserve">Most input data is broken down by region. </w:t>
      </w:r>
      <w:proofErr w:type="gramStart"/>
      <w:r>
        <w:t>Input data that were not broken down by region “out of the box”, but where regional differences can be expected, are pre-processed accordingly as part of the calculation.</w:t>
      </w:r>
      <w:proofErr w:type="gramEnd"/>
      <w:r>
        <w:t xml:space="preserve"> For example, parts and labor cost from the RS Means database is weighed by region. </w:t>
      </w:r>
    </w:p>
    <w:p w14:paraId="0D5629DE" w14:textId="77777777" w:rsidR="007A1C80" w:rsidRDefault="007A1C80" w:rsidP="007A1C80">
      <w:r>
        <w:t>Some cost figures that are part of the raw input data are being adjusted to 2013-$ by the calculation. It is not clear if this was done consistently, because the associated year is not obvious for all cost figures.</w:t>
      </w:r>
    </w:p>
    <w:p w14:paraId="3D90DCAD" w14:textId="30135A7A" w:rsidR="007A1C80" w:rsidRDefault="007A1C80" w:rsidP="007A1C80">
      <w:r>
        <w:t xml:space="preserve">It is important to note that many input data are specified as a </w:t>
      </w:r>
      <w:r w:rsidRPr="00347A13">
        <w:rPr>
          <w:i/>
        </w:rPr>
        <w:t>probability distribution</w:t>
      </w:r>
      <w:r>
        <w:t xml:space="preserve"> rather than as single values. This is made possible by using a 3</w:t>
      </w:r>
      <w:r w:rsidRPr="004772B0">
        <w:rPr>
          <w:vertAlign w:val="superscript"/>
        </w:rPr>
        <w:t>rd</w:t>
      </w:r>
      <w:r>
        <w:t xml:space="preserve"> party MS Excel plug-in, “Oracle Crystal Ball”. For example, where a LCC calculation might traditionally assume the life of a furnace as 21.5 years, this LCC features the life of a furnace as a distribution with a </w:t>
      </w:r>
      <w:r w:rsidR="00A27C7C">
        <w:rPr>
          <w:i/>
        </w:rPr>
        <w:t>mean</w:t>
      </w:r>
      <w:r w:rsidR="003D0F1F">
        <w:rPr>
          <w:i/>
        </w:rPr>
        <w:t>s</w:t>
      </w:r>
      <w:r>
        <w:t xml:space="preserve"> of 21.5 years. The figures below show an example distribution (furnace lifetime), as well as all the input categories in which the feature is used: </w:t>
      </w:r>
    </w:p>
    <w:p w14:paraId="796EA712" w14:textId="77777777" w:rsidR="007A1C80" w:rsidRDefault="007A1C80" w:rsidP="007A1C80">
      <w:r>
        <w:rPr>
          <w:noProof/>
        </w:rPr>
        <w:lastRenderedPageBreak/>
        <w:drawing>
          <wp:inline distT="0" distB="0" distL="0" distR="0" wp14:anchorId="2E4A6F06" wp14:editId="7892151D">
            <wp:extent cx="3380975" cy="1889974"/>
            <wp:effectExtent l="0" t="0" r="0" b="0"/>
            <wp:docPr id="88"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Picture 87"/>
                    <pic:cNvPicPr>
                      <a:picLocks/>
                    </pic:cNvPicPr>
                  </pic:nvPicPr>
                  <pic:blipFill>
                    <a:blip r:embed="rId18">
                      <a:extLst>
                        <a:ext uri="{28A0092B-C50C-407E-A947-70E740481C1C}">
                          <a14:useLocalDpi xmlns:a14="http://schemas.microsoft.com/office/drawing/2010/main" val="0"/>
                        </a:ext>
                      </a:extLst>
                    </a:blip>
                    <a:stretch>
                      <a:fillRect/>
                    </a:stretch>
                  </pic:blipFill>
                  <pic:spPr>
                    <a:xfrm>
                      <a:off x="0" y="0"/>
                      <a:ext cx="3449306" cy="1928171"/>
                    </a:xfrm>
                    <a:prstGeom prst="rect">
                      <a:avLst/>
                    </a:prstGeom>
                  </pic:spPr>
                </pic:pic>
              </a:graphicData>
            </a:graphic>
          </wp:inline>
        </w:drawing>
      </w:r>
      <w:r>
        <w:rPr>
          <w:noProof/>
        </w:rPr>
        <w:t xml:space="preserve">     </w:t>
      </w:r>
      <w:r>
        <w:rPr>
          <w:noProof/>
        </w:rPr>
        <w:drawing>
          <wp:inline distT="0" distB="0" distL="0" distR="0" wp14:anchorId="1740F4DF" wp14:editId="31FEC1E4">
            <wp:extent cx="2228850" cy="1895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28850" cy="1895475"/>
                    </a:xfrm>
                    <a:prstGeom prst="rect">
                      <a:avLst/>
                    </a:prstGeom>
                  </pic:spPr>
                </pic:pic>
              </a:graphicData>
            </a:graphic>
          </wp:inline>
        </w:drawing>
      </w:r>
    </w:p>
    <w:p w14:paraId="250C4FA8" w14:textId="77777777" w:rsidR="007A1C80" w:rsidRDefault="007A1C80" w:rsidP="007A1C80"/>
    <w:p w14:paraId="6458AC15" w14:textId="77777777" w:rsidR="007A1C80" w:rsidRDefault="007A1C80" w:rsidP="007A1C80"/>
    <w:p w14:paraId="38CE897B" w14:textId="77777777" w:rsidR="007A1C80" w:rsidRPr="004372B3" w:rsidRDefault="007A1C80" w:rsidP="007A1C80">
      <w:pPr>
        <w:pStyle w:val="ListParagraph"/>
        <w:numPr>
          <w:ilvl w:val="0"/>
          <w:numId w:val="19"/>
        </w:numPr>
        <w:spacing w:after="160" w:line="259" w:lineRule="auto"/>
        <w:rPr>
          <w:b/>
        </w:rPr>
      </w:pPr>
      <w:r w:rsidRPr="004372B3">
        <w:rPr>
          <w:b/>
        </w:rPr>
        <w:t>Summary of calculation methodology</w:t>
      </w:r>
    </w:p>
    <w:p w14:paraId="667D0414" w14:textId="77777777" w:rsidR="007A1C80" w:rsidRDefault="007A1C80" w:rsidP="007A1C80">
      <w:r>
        <w:t>The spreadsheet uses a so-called “Monte Carlo simulation”, as follows:</w:t>
      </w:r>
    </w:p>
    <w:p w14:paraId="65126FA5" w14:textId="77777777" w:rsidR="007A1C80" w:rsidRDefault="007A1C80" w:rsidP="007A1C80">
      <w:pPr>
        <w:pStyle w:val="ListParagraph"/>
        <w:numPr>
          <w:ilvl w:val="0"/>
          <w:numId w:val="20"/>
        </w:numPr>
        <w:spacing w:after="160" w:line="259" w:lineRule="auto"/>
      </w:pPr>
      <w:r>
        <w:t xml:space="preserve">devise 10,000 concrete sets of input parameters from the raw data and probability distributions, </w:t>
      </w:r>
    </w:p>
    <w:p w14:paraId="0F51FADD" w14:textId="77777777" w:rsidR="007A1C80" w:rsidRDefault="007A1C80" w:rsidP="007A1C80">
      <w:pPr>
        <w:pStyle w:val="ListParagraph"/>
        <w:numPr>
          <w:ilvl w:val="0"/>
          <w:numId w:val="20"/>
        </w:numPr>
        <w:spacing w:after="160" w:line="259" w:lineRule="auto"/>
      </w:pPr>
      <w:r>
        <w:t xml:space="preserve">calculate 10,000 matching sets of LCC and PBP for each set of concrete inputs, </w:t>
      </w:r>
    </w:p>
    <w:p w14:paraId="5711B5AB" w14:textId="77777777" w:rsidR="007A1C80" w:rsidRDefault="007A1C80" w:rsidP="007A1C80">
      <w:pPr>
        <w:pStyle w:val="ListParagraph"/>
        <w:numPr>
          <w:ilvl w:val="0"/>
          <w:numId w:val="20"/>
        </w:numPr>
        <w:spacing w:after="160" w:line="259" w:lineRule="auto"/>
      </w:pPr>
      <w:proofErr w:type="gramStart"/>
      <w:r>
        <w:t>aggregate</w:t>
      </w:r>
      <w:proofErr w:type="gramEnd"/>
      <w:r>
        <w:t xml:space="preserve"> the results into nationwide averages. </w:t>
      </w:r>
    </w:p>
    <w:p w14:paraId="5D73429A" w14:textId="77777777" w:rsidR="007A1C80" w:rsidRDefault="007A1C80" w:rsidP="007A1C80">
      <w:r>
        <w:t xml:space="preserve">The spreadsheet has a rudimentary “user interface” that allows others to re-run the simulation with changes to certain meta-data parameters. The parameters that can be modified in this manner are: </w:t>
      </w:r>
    </w:p>
    <w:p w14:paraId="29CEF3D9" w14:textId="77777777" w:rsidR="007A1C80" w:rsidRDefault="007A1C80" w:rsidP="007A1C80">
      <w:pPr>
        <w:jc w:val="center"/>
      </w:pPr>
      <w:r>
        <w:rPr>
          <w:noProof/>
        </w:rPr>
        <w:drawing>
          <wp:inline distT="0" distB="0" distL="0" distR="0" wp14:anchorId="1561081F" wp14:editId="46813AE5">
            <wp:extent cx="4164746" cy="190148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85916" cy="1911145"/>
                    </a:xfrm>
                    <a:prstGeom prst="rect">
                      <a:avLst/>
                    </a:prstGeom>
                  </pic:spPr>
                </pic:pic>
              </a:graphicData>
            </a:graphic>
          </wp:inline>
        </w:drawing>
      </w:r>
    </w:p>
    <w:p w14:paraId="036DA6E0" w14:textId="77777777" w:rsidR="007A1C80" w:rsidRDefault="007A1C80" w:rsidP="007A1C80">
      <w:r>
        <w:t xml:space="preserve">Other data than those accessible via the spreadsheet’s user interface can technically also be modified, although there are some practical difficulties. The data present is very complex and voluminous, and each simulation run takes about 30 minutes, making quick “trial and error” modifications impossible. As progress is made to minimize these issues, it will become possible to do a more thorough sensitivity analysis for all the input data. We also anticipate being able to modify the calculation so that it can be limited to California-only scenarios. </w:t>
      </w:r>
    </w:p>
    <w:p w14:paraId="20A78717" w14:textId="77777777" w:rsidR="007A1C80" w:rsidRDefault="007A1C80" w:rsidP="007A1C80"/>
    <w:p w14:paraId="55F63B2C" w14:textId="77777777" w:rsidR="007A1C80" w:rsidRPr="005A2356" w:rsidRDefault="007A1C80" w:rsidP="007A1C80">
      <w:pPr>
        <w:pStyle w:val="ListParagraph"/>
        <w:numPr>
          <w:ilvl w:val="0"/>
          <w:numId w:val="19"/>
        </w:numPr>
        <w:spacing w:after="160" w:line="259" w:lineRule="auto"/>
        <w:rPr>
          <w:b/>
        </w:rPr>
      </w:pPr>
      <w:r w:rsidRPr="005A2356">
        <w:rPr>
          <w:b/>
        </w:rPr>
        <w:lastRenderedPageBreak/>
        <w:t>Critique of the LCC</w:t>
      </w:r>
    </w:p>
    <w:p w14:paraId="4A1B03B8" w14:textId="653BC962" w:rsidR="00C55615" w:rsidRDefault="00C55615" w:rsidP="00C55615">
      <w:r>
        <w:t xml:space="preserve">The methodology appears sound and thorough, but is hard to retrace in detail, and the accuracy and appropriateness for the purpose are therefore hard to confirm. Also, redoing calculations with variations to the input parameters is difficult due to technical hurdles. We have tried running the simulation on three different computers, using different operating systems and MS Excel configurations. Despite our best efforts, at this time, we are not able to consistently and repeatedly perform simulation runs without MS Excel or Crystal Ball errors or crashes. We are cautiously optimistic that we can minimize these issues in the near future by working with Oracle technical support. </w:t>
      </w:r>
    </w:p>
    <w:p w14:paraId="200E3A07" w14:textId="77777777" w:rsidR="007A1C80" w:rsidRDefault="007A1C80" w:rsidP="007A1C80">
      <w:r>
        <w:t xml:space="preserve">Apart from the practical issues, what appears to be missing is in the DOE materials is a </w:t>
      </w:r>
      <w:r w:rsidRPr="00582923">
        <w:rPr>
          <w:b/>
          <w:i/>
        </w:rPr>
        <w:t>sensitivity analysis</w:t>
      </w:r>
      <w:r w:rsidRPr="00582923">
        <w:rPr>
          <w:b/>
        </w:rPr>
        <w:t xml:space="preserve"> </w:t>
      </w:r>
      <w:r w:rsidRPr="00582923">
        <w:t>for most key variables, and</w:t>
      </w:r>
      <w:r w:rsidRPr="00582923">
        <w:rPr>
          <w:b/>
        </w:rPr>
        <w:t xml:space="preserve"> </w:t>
      </w:r>
      <w:r w:rsidRPr="00582923">
        <w:rPr>
          <w:b/>
          <w:i/>
        </w:rPr>
        <w:t>justification</w:t>
      </w:r>
      <w:r w:rsidRPr="00582923">
        <w:rPr>
          <w:b/>
        </w:rPr>
        <w:t xml:space="preserve"> </w:t>
      </w:r>
      <w:r w:rsidRPr="005A2356">
        <w:t>as to why they were chosen as they were</w:t>
      </w:r>
      <w:r>
        <w:rPr>
          <w:rStyle w:val="FootnoteReference"/>
        </w:rPr>
        <w:footnoteReference w:id="2"/>
      </w:r>
      <w:r>
        <w:t xml:space="preserve">. This applies both to </w:t>
      </w:r>
      <w:proofErr w:type="gramStart"/>
      <w:r>
        <w:t>meta</w:t>
      </w:r>
      <w:proofErr w:type="gramEnd"/>
      <w:r>
        <w:t xml:space="preserve"> data, such as all the parameters that are shown in the above “user interface”, and to actual data.  Lastly, some of input data appears incorrect or outdated. Discussion of specific examples: </w:t>
      </w:r>
    </w:p>
    <w:p w14:paraId="2DD4C58B" w14:textId="77777777" w:rsidR="00C55615" w:rsidRDefault="00C55615" w:rsidP="00C55615">
      <w:pPr>
        <w:pStyle w:val="ListParagraph"/>
        <w:numPr>
          <w:ilvl w:val="0"/>
          <w:numId w:val="21"/>
        </w:numPr>
        <w:spacing w:after="160" w:line="259" w:lineRule="auto"/>
      </w:pPr>
      <w:r>
        <w:t>It would seem counterintuitive that product prices should not go down over time (default assumption “Constant”, in the user interface), especially considering that if a higher efficiency is mandated, there should be significant economies of scale for the manufacturers</w:t>
      </w:r>
    </w:p>
    <w:p w14:paraId="56AB2F39" w14:textId="221AA798" w:rsidR="00C55615" w:rsidRDefault="00C55615" w:rsidP="00C55615">
      <w:pPr>
        <w:pStyle w:val="ListParagraph"/>
        <w:numPr>
          <w:ilvl w:val="0"/>
          <w:numId w:val="21"/>
        </w:numPr>
        <w:spacing w:after="160" w:line="259" w:lineRule="auto"/>
      </w:pPr>
      <w:r>
        <w:t xml:space="preserve">Fuel switching: As is, the DOE contends that if the payback time of a higher efficiency furnace is 3.5 years or </w:t>
      </w:r>
      <w:r w:rsidR="00D83A66">
        <w:t>longer</w:t>
      </w:r>
      <w:r>
        <w:t>, customer</w:t>
      </w:r>
      <w:r w:rsidR="003D0F1F">
        <w:t>s</w:t>
      </w:r>
      <w:r>
        <w:t xml:space="preserve"> will switch</w:t>
      </w:r>
      <w:r w:rsidR="003D0F1F">
        <w:t xml:space="preserve"> to an electric appliance</w:t>
      </w:r>
      <w:r>
        <w:t xml:space="preserve">. AGA asked for justification of this number, to which DOE essentially responded “deliberative process” (i.e. we use our </w:t>
      </w:r>
      <w:r w:rsidR="00D83A66">
        <w:t>judgment</w:t>
      </w:r>
      <w:r>
        <w:t xml:space="preserve">, take it or leave it). See also further discussion of fuel switching in the next-to following section “Outlook”. </w:t>
      </w:r>
    </w:p>
    <w:p w14:paraId="003F93B9" w14:textId="447D438B" w:rsidR="00C55615" w:rsidRDefault="00C55615" w:rsidP="00C55615">
      <w:pPr>
        <w:pStyle w:val="ListParagraph"/>
        <w:numPr>
          <w:ilvl w:val="0"/>
          <w:numId w:val="21"/>
        </w:numPr>
        <w:spacing w:after="160" w:line="259" w:lineRule="auto"/>
      </w:pPr>
      <w:r>
        <w:t xml:space="preserve">Similarly, a number of other input parameters, even such that appear to originate from a reputable secondary source, are modified or adjusted using probability distributions. While that appears to be sensible conceptually, setting up the actual distribution leaves room for </w:t>
      </w:r>
      <w:r w:rsidR="00D83A66">
        <w:t>judgment</w:t>
      </w:r>
      <w:r>
        <w:t xml:space="preserve">. Should it be </w:t>
      </w:r>
      <w:proofErr w:type="spellStart"/>
      <w:r>
        <w:t>Weibull</w:t>
      </w:r>
      <w:proofErr w:type="spellEnd"/>
      <w:r>
        <w:t>, triangular, or discrete</w:t>
      </w:r>
      <w:proofErr w:type="gramStart"/>
      <w:r>
        <w:t>, ...</w:t>
      </w:r>
      <w:proofErr w:type="gramEnd"/>
      <w:r>
        <w:t xml:space="preserve"> ? Should it be symmetrical or asymmetrical</w:t>
      </w:r>
      <w:proofErr w:type="gramStart"/>
      <w:r>
        <w:t>… ?</w:t>
      </w:r>
      <w:proofErr w:type="gramEnd"/>
      <w:r>
        <w:t xml:space="preserve"> How wide is the range of values? Technically, each and every such distribution needs to be justified. As is, it appears the researchers who built the spreadsheet oft</w:t>
      </w:r>
      <w:r w:rsidR="00D83A66">
        <w:t>en used their professional judg</w:t>
      </w:r>
      <w:r>
        <w:t xml:space="preserve">ment (aka “deliberative process”). How good their judgment </w:t>
      </w:r>
      <w:r w:rsidR="00D83A66">
        <w:t>is, and the impact of poor judg</w:t>
      </w:r>
      <w:r>
        <w:t xml:space="preserve">ment, if any, is speculative at this time. We have not had a chance to finalize sensitivity analysis due to technical difficulties with Crystal Ball. </w:t>
      </w:r>
    </w:p>
    <w:p w14:paraId="2212D6E8" w14:textId="77777777" w:rsidR="00C55615" w:rsidRDefault="00C55615" w:rsidP="00C55615">
      <w:pPr>
        <w:pStyle w:val="ListParagraph"/>
        <w:numPr>
          <w:ilvl w:val="0"/>
          <w:numId w:val="21"/>
        </w:numPr>
        <w:spacing w:after="160" w:line="259" w:lineRule="auto"/>
      </w:pPr>
      <w:r>
        <w:t>As previously noted, the marginal electricity cost for residential customers in California is stated to vary between 17 and 20c/kWh in 2013-$; in 2013, the marginal rate was between 25 and 30c/kWh</w:t>
      </w:r>
      <w:r>
        <w:rPr>
          <w:rStyle w:val="FootnoteReference"/>
        </w:rPr>
        <w:footnoteReference w:id="3"/>
      </w:r>
      <w:r>
        <w:t xml:space="preserve">. </w:t>
      </w:r>
    </w:p>
    <w:p w14:paraId="47CB4CB0" w14:textId="77777777" w:rsidR="00C55615" w:rsidRDefault="00C55615" w:rsidP="00C55615">
      <w:pPr>
        <w:pStyle w:val="ListParagraph"/>
        <w:numPr>
          <w:ilvl w:val="0"/>
          <w:numId w:val="21"/>
        </w:numPr>
        <w:spacing w:after="160" w:line="259" w:lineRule="auto"/>
      </w:pPr>
      <w:r>
        <w:t xml:space="preserve">The calculation includes considerations for commercial customers, and commercial LCC and PBP are shown disaggregated from the national totals in the summary tab. However, this rulemaking is about </w:t>
      </w:r>
      <w:r w:rsidRPr="00E34044">
        <w:rPr>
          <w:i/>
        </w:rPr>
        <w:t>residential</w:t>
      </w:r>
      <w:r>
        <w:t xml:space="preserve"> furnaces. It is not clear why commercial data is comingled, and whether the commercial or averaged results are used in any downstream processes. </w:t>
      </w:r>
    </w:p>
    <w:p w14:paraId="1E34127C" w14:textId="77777777" w:rsidR="007A1C80" w:rsidRDefault="007A1C80" w:rsidP="007A1C80">
      <w:pPr>
        <w:pStyle w:val="ListParagraph"/>
        <w:numPr>
          <w:ilvl w:val="0"/>
          <w:numId w:val="21"/>
        </w:numPr>
        <w:spacing w:after="160" w:line="259" w:lineRule="auto"/>
      </w:pPr>
      <w:r>
        <w:lastRenderedPageBreak/>
        <w:t>As previously noted, the installation costs do not appear to factor in that older homes may have asbestos issues that need to be addressed during a retrofit to condensing furnaces</w:t>
      </w:r>
    </w:p>
    <w:p w14:paraId="4EB5DE49" w14:textId="77777777" w:rsidR="007A1C80" w:rsidRDefault="007A1C80" w:rsidP="007A1C80">
      <w:pPr>
        <w:pStyle w:val="ListParagraph"/>
        <w:numPr>
          <w:ilvl w:val="0"/>
          <w:numId w:val="21"/>
        </w:numPr>
        <w:spacing w:after="160" w:line="259" w:lineRule="auto"/>
      </w:pPr>
      <w:r>
        <w:t xml:space="preserve">There does not seem to be a mention anywhere of the also in-progress test procedure rulemaking, and what the impact of an updated test procedure could have on this rulemaking. Depending on whether the updated test procedure results in </w:t>
      </w:r>
      <w:r w:rsidRPr="00B37FEC">
        <w:rPr>
          <w:i/>
        </w:rPr>
        <w:t>higher</w:t>
      </w:r>
      <w:r>
        <w:t xml:space="preserve"> or </w:t>
      </w:r>
      <w:r w:rsidRPr="00B37FEC">
        <w:rPr>
          <w:i/>
        </w:rPr>
        <w:t>lower</w:t>
      </w:r>
      <w:r>
        <w:t xml:space="preserve"> efficiencies compared to the old test procedure (for otherwise identical equipment), the first cost and savings figures in this analysis may have to be adjusted accordingly.</w:t>
      </w:r>
    </w:p>
    <w:p w14:paraId="321D7C0C" w14:textId="77777777" w:rsidR="007A1C80" w:rsidRDefault="007A1C80" w:rsidP="007A1C80">
      <w:pPr>
        <w:pStyle w:val="ListParagraph"/>
      </w:pPr>
    </w:p>
    <w:p w14:paraId="302CB6EC" w14:textId="77777777" w:rsidR="007A1C80" w:rsidRPr="00231ABD" w:rsidRDefault="007A1C80" w:rsidP="007A1C80">
      <w:pPr>
        <w:pStyle w:val="ListParagraph"/>
        <w:numPr>
          <w:ilvl w:val="0"/>
          <w:numId w:val="19"/>
        </w:numPr>
        <w:spacing w:after="160" w:line="259" w:lineRule="auto"/>
        <w:rPr>
          <w:b/>
        </w:rPr>
      </w:pPr>
      <w:r w:rsidRPr="00231ABD">
        <w:rPr>
          <w:b/>
        </w:rPr>
        <w:t xml:space="preserve">To Do with respect to LCC </w:t>
      </w:r>
    </w:p>
    <w:p w14:paraId="3E72380D" w14:textId="77777777" w:rsidR="007A1C80" w:rsidRDefault="007A1C80" w:rsidP="007A1C80">
      <w:pPr>
        <w:pStyle w:val="ListParagraph"/>
      </w:pPr>
    </w:p>
    <w:p w14:paraId="3EDD2D07" w14:textId="77777777" w:rsidR="007A1C80" w:rsidRDefault="007A1C80" w:rsidP="007A1C80">
      <w:pPr>
        <w:pStyle w:val="ListParagraph"/>
        <w:numPr>
          <w:ilvl w:val="0"/>
          <w:numId w:val="22"/>
        </w:numPr>
        <w:spacing w:after="160" w:line="259" w:lineRule="auto"/>
      </w:pPr>
      <w:r>
        <w:t>Reach out to contractors and builders to answer Q2-5 from AGA survey by April 9th (anecdotally!  - representative numbers are not possible without significant effort &amp; money)</w:t>
      </w:r>
    </w:p>
    <w:p w14:paraId="46154B5F" w14:textId="77777777" w:rsidR="007A1C80" w:rsidRDefault="007A1C80" w:rsidP="007A1C80">
      <w:pPr>
        <w:pStyle w:val="ListParagraph"/>
        <w:numPr>
          <w:ilvl w:val="0"/>
          <w:numId w:val="22"/>
        </w:numPr>
        <w:spacing w:after="160" w:line="259" w:lineRule="auto"/>
      </w:pPr>
      <w:r>
        <w:t xml:space="preserve">Get Crystal Ball to work, </w:t>
      </w:r>
    </w:p>
    <w:p w14:paraId="39F94F95" w14:textId="77777777" w:rsidR="007A1C80" w:rsidRDefault="007A1C80" w:rsidP="007A1C80">
      <w:pPr>
        <w:pStyle w:val="ListParagraph"/>
        <w:numPr>
          <w:ilvl w:val="0"/>
          <w:numId w:val="22"/>
        </w:numPr>
        <w:spacing w:after="160" w:line="259" w:lineRule="auto"/>
      </w:pPr>
      <w:r>
        <w:t xml:space="preserve">Run LCC for California only, if possible </w:t>
      </w:r>
    </w:p>
    <w:p w14:paraId="2C6ED954" w14:textId="77777777" w:rsidR="007A1C80" w:rsidRDefault="007A1C80" w:rsidP="007A1C80">
      <w:pPr>
        <w:pStyle w:val="ListParagraph"/>
        <w:numPr>
          <w:ilvl w:val="0"/>
          <w:numId w:val="22"/>
        </w:numPr>
        <w:spacing w:after="160" w:line="259" w:lineRule="auto"/>
      </w:pPr>
      <w:r>
        <w:t>Review TSD for further sensitivity analysis and justification on the part of DOE</w:t>
      </w:r>
    </w:p>
    <w:p w14:paraId="339428F5" w14:textId="77777777" w:rsidR="007A1C80" w:rsidRDefault="007A1C80" w:rsidP="007A1C80">
      <w:pPr>
        <w:pStyle w:val="ListParagraph"/>
        <w:numPr>
          <w:ilvl w:val="0"/>
          <w:numId w:val="22"/>
        </w:numPr>
        <w:spacing w:after="160" w:line="259" w:lineRule="auto"/>
      </w:pPr>
      <w:r>
        <w:t xml:space="preserve">Look for source of seemingly incorrect marginal electricity cost data, and how it matters </w:t>
      </w:r>
    </w:p>
    <w:p w14:paraId="55F416BE" w14:textId="77777777" w:rsidR="007A1C80" w:rsidRDefault="007A1C80" w:rsidP="007A1C80">
      <w:pPr>
        <w:pStyle w:val="ListParagraph"/>
        <w:numPr>
          <w:ilvl w:val="0"/>
          <w:numId w:val="22"/>
        </w:numPr>
        <w:spacing w:after="160" w:line="259" w:lineRule="auto"/>
      </w:pPr>
      <w:r>
        <w:t xml:space="preserve">Review delta </w:t>
      </w:r>
      <w:r w:rsidR="00A27C7C">
        <w:t>CBECS</w:t>
      </w:r>
      <w:r>
        <w:t xml:space="preserve"> 2003 vs. </w:t>
      </w:r>
      <w:r w:rsidR="00A27C7C">
        <w:t>CBECS</w:t>
      </w:r>
      <w:r>
        <w:t xml:space="preserve"> 2015 and check what difference it may make. </w:t>
      </w:r>
    </w:p>
    <w:p w14:paraId="10196BC4" w14:textId="77777777" w:rsidR="007A1C80" w:rsidRDefault="007A1C80" w:rsidP="007A1C80">
      <w:pPr>
        <w:pStyle w:val="ListParagraph"/>
        <w:numPr>
          <w:ilvl w:val="0"/>
          <w:numId w:val="22"/>
        </w:numPr>
        <w:spacing w:after="160" w:line="259" w:lineRule="auto"/>
      </w:pPr>
      <w:r>
        <w:t>Review other data sources for appropriateness w/r/t California</w:t>
      </w:r>
    </w:p>
    <w:p w14:paraId="3A47F188" w14:textId="77777777" w:rsidR="007A1C80" w:rsidRDefault="007A1C80" w:rsidP="007A1C80">
      <w:pPr>
        <w:pStyle w:val="ListParagraph"/>
        <w:numPr>
          <w:ilvl w:val="0"/>
          <w:numId w:val="22"/>
        </w:numPr>
        <w:spacing w:after="160" w:line="259" w:lineRule="auto"/>
      </w:pPr>
      <w:r>
        <w:t>Perform sensitivity analysis for any key parameters and distributions as needed</w:t>
      </w:r>
    </w:p>
    <w:p w14:paraId="7509B223" w14:textId="77777777" w:rsidR="007A1C80" w:rsidRDefault="007A1C80" w:rsidP="007A1C80">
      <w:pPr>
        <w:pStyle w:val="ListParagraph"/>
        <w:ind w:left="1080"/>
      </w:pPr>
    </w:p>
    <w:p w14:paraId="1003F0B7" w14:textId="77777777" w:rsidR="007A1C80" w:rsidRDefault="007A1C80" w:rsidP="007A1C80">
      <w:pPr>
        <w:pStyle w:val="ListParagraph"/>
        <w:numPr>
          <w:ilvl w:val="0"/>
          <w:numId w:val="19"/>
        </w:numPr>
        <w:spacing w:after="160" w:line="259" w:lineRule="auto"/>
        <w:rPr>
          <w:b/>
        </w:rPr>
      </w:pPr>
      <w:r>
        <w:rPr>
          <w:b/>
        </w:rPr>
        <w:t xml:space="preserve">Outlook </w:t>
      </w:r>
    </w:p>
    <w:p w14:paraId="023643AC" w14:textId="77777777" w:rsidR="007A1C80" w:rsidRPr="00EA6D3B" w:rsidRDefault="007A1C80" w:rsidP="007A1C80">
      <w:pPr>
        <w:pStyle w:val="ListParagraph"/>
        <w:rPr>
          <w:b/>
        </w:rPr>
      </w:pPr>
    </w:p>
    <w:p w14:paraId="76CED0E2" w14:textId="77777777" w:rsidR="007A1C80" w:rsidRDefault="007A1C80" w:rsidP="007A1C80">
      <w:pPr>
        <w:pStyle w:val="ListParagraph"/>
        <w:numPr>
          <w:ilvl w:val="0"/>
          <w:numId w:val="23"/>
        </w:numPr>
        <w:spacing w:after="160" w:line="259" w:lineRule="auto"/>
      </w:pPr>
      <w:r>
        <w:t xml:space="preserve">In the opinion of the author, it would behoove the team to consider </w:t>
      </w:r>
      <w:r w:rsidRPr="00D63AFD">
        <w:rPr>
          <w:i/>
        </w:rPr>
        <w:t>what if</w:t>
      </w:r>
      <w:r>
        <w:t xml:space="preserve"> the LCC is as good as it gets and the results are sensible. What would it mean to SoCal Gas if the PBP for high efficiency furnaces is indeed well above 6 years for the average residential </w:t>
      </w:r>
      <w:proofErr w:type="gramStart"/>
      <w:r>
        <w:t>customer.</w:t>
      </w:r>
      <w:proofErr w:type="gramEnd"/>
      <w:r>
        <w:t xml:space="preserve"> </w:t>
      </w:r>
    </w:p>
    <w:p w14:paraId="77305F2B" w14:textId="77777777" w:rsidR="007A1C80" w:rsidRDefault="007A1C80" w:rsidP="007A1C80">
      <w:pPr>
        <w:pStyle w:val="ListParagraph"/>
        <w:ind w:left="1080"/>
      </w:pPr>
    </w:p>
    <w:p w14:paraId="15BFE923" w14:textId="77777777" w:rsidR="007A1C80" w:rsidRDefault="007A1C80" w:rsidP="007A1C80">
      <w:pPr>
        <w:pStyle w:val="ListParagraph"/>
        <w:numPr>
          <w:ilvl w:val="0"/>
          <w:numId w:val="23"/>
        </w:numPr>
        <w:spacing w:after="160" w:line="259" w:lineRule="auto"/>
      </w:pPr>
      <w:r>
        <w:t xml:space="preserve">What if there </w:t>
      </w:r>
      <w:r w:rsidRPr="00D63AFD">
        <w:rPr>
          <w:i/>
        </w:rPr>
        <w:t>is</w:t>
      </w:r>
      <w:r>
        <w:t xml:space="preserve"> fuel switching as the DOE assesses? </w:t>
      </w:r>
      <w:r w:rsidRPr="00D63AFD">
        <w:rPr>
          <w:b/>
          <w:i/>
        </w:rPr>
        <w:t>Does the extra gas needed to generate the extra electricity offset the gas savings by the better furnaces?</w:t>
      </w:r>
      <w:r>
        <w:t xml:space="preserve"> DOE estimated fuel switching ratios are shown below. </w:t>
      </w:r>
    </w:p>
    <w:p w14:paraId="7E5FA892" w14:textId="77777777" w:rsidR="007A1C80" w:rsidRDefault="007A1C80" w:rsidP="007A1C80">
      <w:pPr>
        <w:jc w:val="center"/>
      </w:pPr>
      <w:r>
        <w:rPr>
          <w:noProof/>
        </w:rPr>
        <w:drawing>
          <wp:inline distT="0" distB="0" distL="0" distR="0" wp14:anchorId="66BD2E6B" wp14:editId="02AAA6CD">
            <wp:extent cx="4011065" cy="1889829"/>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47022" cy="1906770"/>
                    </a:xfrm>
                    <a:prstGeom prst="rect">
                      <a:avLst/>
                    </a:prstGeom>
                  </pic:spPr>
                </pic:pic>
              </a:graphicData>
            </a:graphic>
          </wp:inline>
        </w:drawing>
      </w:r>
    </w:p>
    <w:p w14:paraId="36D2E678" w14:textId="77777777" w:rsidR="007A1C80" w:rsidRDefault="007A1C80" w:rsidP="007A1C80">
      <w:pPr>
        <w:ind w:left="1080"/>
      </w:pPr>
      <w:r>
        <w:t xml:space="preserve">AGA and GTI have conducted their own switching study that the DOE discussed in their 3/27 meeting (slides 81 and 82). The DOE’s position appears plausible at first sight. Switching analysis summary and key differences shown below. </w:t>
      </w:r>
    </w:p>
    <w:p w14:paraId="53E06621" w14:textId="77777777" w:rsidR="007A1C80" w:rsidRDefault="007A1C80" w:rsidP="007A1C80">
      <w:pPr>
        <w:jc w:val="center"/>
      </w:pPr>
      <w:r>
        <w:rPr>
          <w:noProof/>
        </w:rPr>
        <w:lastRenderedPageBreak/>
        <w:drawing>
          <wp:inline distT="0" distB="0" distL="0" distR="0" wp14:anchorId="67CDB779" wp14:editId="5A049538">
            <wp:extent cx="4057170" cy="2380121"/>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3923" cy="2407549"/>
                    </a:xfrm>
                    <a:prstGeom prst="rect">
                      <a:avLst/>
                    </a:prstGeom>
                  </pic:spPr>
                </pic:pic>
              </a:graphicData>
            </a:graphic>
          </wp:inline>
        </w:drawing>
      </w:r>
    </w:p>
    <w:p w14:paraId="62BAE657" w14:textId="1DAD1304" w:rsidR="007A1C80" w:rsidRDefault="007A1C80" w:rsidP="007A1C80">
      <w:pPr>
        <w:pStyle w:val="ListParagraph"/>
        <w:numPr>
          <w:ilvl w:val="0"/>
          <w:numId w:val="23"/>
        </w:numPr>
        <w:spacing w:after="160" w:line="259" w:lineRule="auto"/>
      </w:pPr>
      <w:r>
        <w:t>Finally, in the author’s opinion, the proposed rule should be investigated on the account of the market, business, and utility consequences… (</w:t>
      </w:r>
      <w:proofErr w:type="gramStart"/>
      <w:r>
        <w:t>as</w:t>
      </w:r>
      <w:proofErr w:type="gramEnd"/>
      <w:r>
        <w:t xml:space="preserve"> opposed to limitations of the LCC calculation). The TSD document and docket have significant additional materials available that should be reviewed in this regard, namely the “Utility impact analysis”, the “National Impact Analysis” and the “Manufacturer Impact Analysis”. Related materials are also shown in the 3/27 slide deck beginning with slide 93. It us our understanding that most of these slides were not covered during the meeting due to lack of time</w:t>
      </w:r>
      <w:r w:rsidR="00C55615">
        <w:t xml:space="preserve">, and that a subsequent meeting on April 13 will cover these items. </w:t>
      </w:r>
      <w:r>
        <w:t xml:space="preserve"> </w:t>
      </w:r>
    </w:p>
    <w:p w14:paraId="37237617" w14:textId="77777777" w:rsidR="00074D0E" w:rsidRPr="00074D0E" w:rsidRDefault="00074D0E" w:rsidP="00074D0E">
      <w:pPr>
        <w:pStyle w:val="ListParagraph"/>
        <w:spacing w:after="0" w:line="240" w:lineRule="auto"/>
        <w:ind w:left="0"/>
        <w:rPr>
          <w:sz w:val="24"/>
          <w:szCs w:val="24"/>
        </w:rPr>
      </w:pPr>
    </w:p>
    <w:p w14:paraId="66762C11" w14:textId="77777777" w:rsidR="00074D0E" w:rsidRPr="00074D0E" w:rsidRDefault="00074D0E">
      <w:pPr>
        <w:rPr>
          <w:sz w:val="24"/>
          <w:szCs w:val="24"/>
        </w:rPr>
      </w:pPr>
      <w:r w:rsidRPr="00074D0E">
        <w:rPr>
          <w:sz w:val="24"/>
          <w:szCs w:val="24"/>
        </w:rPr>
        <w:br w:type="page"/>
      </w:r>
    </w:p>
    <w:p w14:paraId="5E856E9A" w14:textId="77777777" w:rsidR="00074D0E" w:rsidRDefault="00074D0E" w:rsidP="00074D0E">
      <w:pPr>
        <w:pStyle w:val="ListParagraph"/>
        <w:spacing w:after="0" w:line="240" w:lineRule="auto"/>
        <w:ind w:left="0"/>
        <w:rPr>
          <w:b/>
          <w:sz w:val="24"/>
          <w:szCs w:val="24"/>
        </w:rPr>
      </w:pPr>
      <w:r>
        <w:rPr>
          <w:b/>
          <w:sz w:val="24"/>
          <w:szCs w:val="24"/>
        </w:rPr>
        <w:lastRenderedPageBreak/>
        <w:t xml:space="preserve">Appendix B </w:t>
      </w:r>
      <w:r w:rsidRPr="00870826">
        <w:rPr>
          <w:b/>
          <w:sz w:val="24"/>
          <w:szCs w:val="24"/>
        </w:rPr>
        <w:t xml:space="preserve">Major </w:t>
      </w:r>
      <w:r w:rsidR="000B4066">
        <w:rPr>
          <w:b/>
          <w:sz w:val="24"/>
          <w:szCs w:val="24"/>
        </w:rPr>
        <w:t>SoCalGas</w:t>
      </w:r>
      <w:r w:rsidRPr="00870826">
        <w:rPr>
          <w:b/>
          <w:sz w:val="24"/>
          <w:szCs w:val="24"/>
        </w:rPr>
        <w:t xml:space="preserve"> Issues in 2011 and 2015</w:t>
      </w:r>
    </w:p>
    <w:p w14:paraId="3FF0EF66" w14:textId="77777777" w:rsidR="003560E9" w:rsidRDefault="003560E9" w:rsidP="00074D0E"/>
    <w:p w14:paraId="191CF3A6" w14:textId="77777777" w:rsidR="00074D0E" w:rsidRDefault="00074D0E" w:rsidP="00074D0E">
      <w:r>
        <w:t xml:space="preserve">There are numerous issues that have arisen during this rule-making process that warrant </w:t>
      </w:r>
      <w:r w:rsidR="00321F09">
        <w:t xml:space="preserve">the </w:t>
      </w:r>
      <w:proofErr w:type="spellStart"/>
      <w:r w:rsidR="000B4066">
        <w:t>SoCalGas</w:t>
      </w:r>
      <w:r>
        <w:t>’s</w:t>
      </w:r>
      <w:proofErr w:type="spellEnd"/>
      <w:r>
        <w:t xml:space="preserve"> close attention.  Many of these are in the public record, and some are not.  A consistent issue raised by gas industry stakeholders from the beginning has been the rule-making process itself, specifically how Federal rulemaking legislation and regulations are to be interpreted, which information is proprietary and which is not, and how accurate that information is, and what methodologies are used to arrive at conclusions. There is a very clear perception that the DOE and their contractors are analyzing the impact on the gas industry with data that is either difficult to obtain through proprietary sources or available data that may not be accurate or appropriate for the analysis. For example, the DOE uses the Annual Energy Outlook (AEO) projections for the future price of electricity versus a different, more accurate industry source that also considers the marginal costs of electricity-which are not considered in the AEO. The gas industry has been vocal about this issue. Below is a summary of the major concerns expressed by stakeholders during the 2011 and 2015 gas furnace efficiency standards process. 2011 issues are listed on the left-hand column, and 2015 issues on the right column. We also provide extensive lists of stakeholders that participated during this process in each column, which serve as potential future partners and resources for </w:t>
      </w:r>
      <w:r w:rsidR="00321F09">
        <w:t xml:space="preserve">the </w:t>
      </w:r>
      <w:r w:rsidR="000B4066">
        <w:t>SoCalGas</w:t>
      </w:r>
      <w:r>
        <w:t xml:space="preserve">. </w:t>
      </w:r>
    </w:p>
    <w:tbl>
      <w:tblPr>
        <w:tblStyle w:val="TableGrid"/>
        <w:tblW w:w="0" w:type="auto"/>
        <w:tblLook w:val="04A0" w:firstRow="1" w:lastRow="0" w:firstColumn="1" w:lastColumn="0" w:noHBand="0" w:noVBand="1"/>
      </w:tblPr>
      <w:tblGrid>
        <w:gridCol w:w="4788"/>
        <w:gridCol w:w="4788"/>
      </w:tblGrid>
      <w:tr w:rsidR="00074D0E" w14:paraId="78A68AFD" w14:textId="77777777" w:rsidTr="00094BFF">
        <w:tc>
          <w:tcPr>
            <w:tcW w:w="4788" w:type="dxa"/>
          </w:tcPr>
          <w:p w14:paraId="06BBE7BF" w14:textId="77777777" w:rsidR="00074D0E" w:rsidRPr="00282242" w:rsidRDefault="00074D0E" w:rsidP="00094BFF">
            <w:pPr>
              <w:jc w:val="center"/>
              <w:rPr>
                <w:b/>
                <w:i/>
              </w:rPr>
            </w:pPr>
            <w:r w:rsidRPr="00282242">
              <w:rPr>
                <w:b/>
                <w:i/>
              </w:rPr>
              <w:t>2011 Stakeholder Comments</w:t>
            </w:r>
          </w:p>
        </w:tc>
        <w:tc>
          <w:tcPr>
            <w:tcW w:w="4788" w:type="dxa"/>
          </w:tcPr>
          <w:p w14:paraId="71B645F4" w14:textId="77777777" w:rsidR="00074D0E" w:rsidRPr="00282242" w:rsidRDefault="00074D0E" w:rsidP="00094BFF">
            <w:pPr>
              <w:jc w:val="center"/>
              <w:rPr>
                <w:b/>
                <w:i/>
              </w:rPr>
            </w:pPr>
            <w:r w:rsidRPr="00282242">
              <w:rPr>
                <w:b/>
                <w:i/>
              </w:rPr>
              <w:t>2015 Stakeholder Comments</w:t>
            </w:r>
          </w:p>
        </w:tc>
      </w:tr>
      <w:tr w:rsidR="00074D0E" w:rsidRPr="00FB639C" w14:paraId="2C6FAEA2" w14:textId="77777777" w:rsidTr="00094BFF">
        <w:tc>
          <w:tcPr>
            <w:tcW w:w="9576" w:type="dxa"/>
            <w:gridSpan w:val="2"/>
          </w:tcPr>
          <w:p w14:paraId="282EF4BD" w14:textId="77777777" w:rsidR="00074D0E" w:rsidRPr="00372F11" w:rsidRDefault="00074D0E" w:rsidP="00094BFF">
            <w:pPr>
              <w:jc w:val="center"/>
              <w:rPr>
                <w:b/>
              </w:rPr>
            </w:pPr>
            <w:r>
              <w:rPr>
                <w:b/>
              </w:rPr>
              <w:t xml:space="preserve">The </w:t>
            </w:r>
            <w:r w:rsidRPr="00372F11">
              <w:rPr>
                <w:b/>
              </w:rPr>
              <w:t>Fuel-Switching</w:t>
            </w:r>
            <w:r>
              <w:rPr>
                <w:b/>
              </w:rPr>
              <w:t xml:space="preserve"> Issue</w:t>
            </w:r>
          </w:p>
        </w:tc>
      </w:tr>
      <w:tr w:rsidR="00074D0E" w14:paraId="1602B274" w14:textId="77777777" w:rsidTr="00094BFF">
        <w:tc>
          <w:tcPr>
            <w:tcW w:w="4788" w:type="dxa"/>
          </w:tcPr>
          <w:p w14:paraId="538B4AA0" w14:textId="77777777" w:rsidR="00074D0E" w:rsidRDefault="00074D0E" w:rsidP="00094BFF">
            <w:r>
              <w:t>Many gas industry stakeholders believe that the Final Rule</w:t>
            </w:r>
            <w:r w:rsidRPr="003359D1">
              <w:t xml:space="preserve"> will promote fuel-switching to </w:t>
            </w:r>
            <w:r w:rsidRPr="003359D1">
              <w:rPr>
                <w:rFonts w:ascii="Calibri" w:eastAsia="Times New Roman" w:hAnsi="Calibri" w:cs="Times New Roman"/>
                <w:color w:val="000000"/>
              </w:rPr>
              <w:t>electric furnaces,</w:t>
            </w:r>
            <w:r>
              <w:rPr>
                <w:rFonts w:ascii="Calibri" w:eastAsia="Times New Roman" w:hAnsi="Calibri" w:cs="Times New Roman"/>
                <w:color w:val="000000"/>
              </w:rPr>
              <w:t xml:space="preserve"> resulting in </w:t>
            </w:r>
            <w:r w:rsidRPr="003359D1">
              <w:rPr>
                <w:rFonts w:ascii="Calibri" w:eastAsia="Times New Roman" w:hAnsi="Calibri" w:cs="Times New Roman"/>
                <w:color w:val="000000"/>
              </w:rPr>
              <w:t>higher carbon emissions than the least efficie</w:t>
            </w:r>
            <w:r>
              <w:rPr>
                <w:rFonts w:ascii="Calibri" w:eastAsia="Times New Roman" w:hAnsi="Calibri" w:cs="Times New Roman"/>
                <w:color w:val="000000"/>
              </w:rPr>
              <w:t>nt gas furnaces available today, unintended reductions in energy efficiency, higher operating costs, and increased GHG emissions.</w:t>
            </w:r>
          </w:p>
        </w:tc>
        <w:tc>
          <w:tcPr>
            <w:tcW w:w="4788" w:type="dxa"/>
          </w:tcPr>
          <w:p w14:paraId="21BACACC" w14:textId="77777777" w:rsidR="00074D0E" w:rsidRDefault="00074D0E" w:rsidP="00094BFF">
            <w:r>
              <w:t xml:space="preserve">A Gas Technology Institute (GTI) Cost-Switching Survey of builders and contractors determined that respondents believe there </w:t>
            </w:r>
            <w:r>
              <w:rPr>
                <w:rFonts w:ascii="Calibri" w:eastAsia="Times New Roman" w:hAnsi="Calibri" w:cs="Times New Roman"/>
                <w:color w:val="000000"/>
              </w:rPr>
              <w:t xml:space="preserve">will be </w:t>
            </w:r>
            <w:r w:rsidRPr="00F83F1D">
              <w:rPr>
                <w:rFonts w:ascii="Calibri" w:eastAsia="Times New Roman" w:hAnsi="Calibri" w:cs="Times New Roman"/>
                <w:color w:val="000000"/>
              </w:rPr>
              <w:t>increase</w:t>
            </w:r>
            <w:r>
              <w:rPr>
                <w:rFonts w:ascii="Calibri" w:eastAsia="Times New Roman" w:hAnsi="Calibri" w:cs="Times New Roman"/>
                <w:color w:val="000000"/>
              </w:rPr>
              <w:t>s</w:t>
            </w:r>
            <w:r w:rsidRPr="00F83F1D">
              <w:rPr>
                <w:rFonts w:ascii="Calibri" w:eastAsia="Times New Roman" w:hAnsi="Calibri" w:cs="Times New Roman"/>
                <w:color w:val="000000"/>
              </w:rPr>
              <w:t xml:space="preserve"> </w:t>
            </w:r>
            <w:r>
              <w:rPr>
                <w:rFonts w:ascii="Calibri" w:eastAsia="Times New Roman" w:hAnsi="Calibri" w:cs="Times New Roman"/>
                <w:color w:val="000000"/>
              </w:rPr>
              <w:t xml:space="preserve">in overall energy costs, </w:t>
            </w:r>
            <w:r w:rsidRPr="00F83F1D">
              <w:rPr>
                <w:rFonts w:ascii="Calibri" w:eastAsia="Times New Roman" w:hAnsi="Calibri" w:cs="Times New Roman"/>
                <w:color w:val="000000"/>
              </w:rPr>
              <w:t>source energy usa</w:t>
            </w:r>
            <w:r>
              <w:rPr>
                <w:rFonts w:ascii="Calibri" w:eastAsia="Times New Roman" w:hAnsi="Calibri" w:cs="Times New Roman"/>
                <w:color w:val="000000"/>
              </w:rPr>
              <w:t>ge, and CO2 emissions with the new standards.</w:t>
            </w:r>
          </w:p>
        </w:tc>
      </w:tr>
      <w:tr w:rsidR="00074D0E" w14:paraId="5E031EEE" w14:textId="77777777" w:rsidTr="00094BFF">
        <w:tc>
          <w:tcPr>
            <w:tcW w:w="4788" w:type="dxa"/>
          </w:tcPr>
          <w:p w14:paraId="0084C46A" w14:textId="77777777" w:rsidR="00074D0E" w:rsidRPr="003359D1" w:rsidRDefault="00074D0E" w:rsidP="00094BFF"/>
        </w:tc>
        <w:tc>
          <w:tcPr>
            <w:tcW w:w="4788" w:type="dxa"/>
          </w:tcPr>
          <w:p w14:paraId="006FD9CC" w14:textId="77777777" w:rsidR="00074D0E" w:rsidRDefault="00074D0E" w:rsidP="00094BFF">
            <w:r w:rsidRPr="00F83F1D">
              <w:rPr>
                <w:rFonts w:ascii="Calibri" w:eastAsia="Times New Roman" w:hAnsi="Calibri" w:cs="Times New Roman"/>
                <w:color w:val="000000"/>
              </w:rPr>
              <w:t>Fuel switching is expected to occur in both heating and water heating systems.</w:t>
            </w:r>
          </w:p>
        </w:tc>
      </w:tr>
      <w:tr w:rsidR="00074D0E" w14:paraId="65B59225" w14:textId="77777777" w:rsidTr="00094BFF">
        <w:tc>
          <w:tcPr>
            <w:tcW w:w="4788" w:type="dxa"/>
          </w:tcPr>
          <w:p w14:paraId="38C6822A" w14:textId="77777777" w:rsidR="00074D0E" w:rsidRPr="003359D1" w:rsidRDefault="00074D0E" w:rsidP="00094BFF"/>
        </w:tc>
        <w:tc>
          <w:tcPr>
            <w:tcW w:w="4788" w:type="dxa"/>
          </w:tcPr>
          <w:p w14:paraId="327C4D7D" w14:textId="77777777" w:rsidR="00074D0E" w:rsidRPr="00F83F1D" w:rsidRDefault="00074D0E" w:rsidP="00094BFF">
            <w:pPr>
              <w:rPr>
                <w:rFonts w:ascii="Calibri" w:eastAsia="Times New Roman" w:hAnsi="Calibri" w:cs="Times New Roman"/>
                <w:color w:val="000000"/>
              </w:rPr>
            </w:pPr>
            <w:r w:rsidRPr="00D55CCE">
              <w:t>DOE’s own analysis alr</w:t>
            </w:r>
            <w:r>
              <w:t>eady acknowledges that fully 60-</w:t>
            </w:r>
            <w:r w:rsidRPr="00D55CCE">
              <w:t>percent of the energy savings from reduced natural gas consumption will be offset by increased electricity usage due to fuel switching.</w:t>
            </w:r>
          </w:p>
        </w:tc>
      </w:tr>
      <w:tr w:rsidR="00074D0E" w:rsidRPr="00FB639C" w14:paraId="0373FF71" w14:textId="77777777" w:rsidTr="00094BFF">
        <w:tc>
          <w:tcPr>
            <w:tcW w:w="9576" w:type="dxa"/>
            <w:gridSpan w:val="2"/>
          </w:tcPr>
          <w:p w14:paraId="01B47833" w14:textId="77777777" w:rsidR="00074D0E" w:rsidRPr="00016B94" w:rsidRDefault="00074D0E" w:rsidP="00094BFF">
            <w:pPr>
              <w:jc w:val="center"/>
              <w:rPr>
                <w:b/>
              </w:rPr>
            </w:pPr>
            <w:r w:rsidRPr="00016B94">
              <w:rPr>
                <w:b/>
              </w:rPr>
              <w:t>Consumer Impacts</w:t>
            </w:r>
          </w:p>
        </w:tc>
      </w:tr>
      <w:tr w:rsidR="00074D0E" w14:paraId="029F59B7" w14:textId="77777777" w:rsidTr="00094BFF">
        <w:tc>
          <w:tcPr>
            <w:tcW w:w="4788" w:type="dxa"/>
          </w:tcPr>
          <w:p w14:paraId="141B4D66" w14:textId="77777777" w:rsidR="00074D0E" w:rsidRDefault="00074D0E" w:rsidP="00094BFF">
            <w:r>
              <w:rPr>
                <w:rFonts w:ascii="Calibri" w:eastAsia="Times New Roman" w:hAnsi="Calibri" w:cs="Times New Roman"/>
                <w:color w:val="000000"/>
              </w:rPr>
              <w:t>Average i</w:t>
            </w:r>
            <w:r w:rsidRPr="003359D1">
              <w:rPr>
                <w:rFonts w:ascii="Calibri" w:eastAsia="Times New Roman" w:hAnsi="Calibri" w:cs="Times New Roman"/>
                <w:color w:val="000000"/>
              </w:rPr>
              <w:t>ncreases of 25% to 40% in the cost to replace an 80</w:t>
            </w:r>
            <w:r>
              <w:rPr>
                <w:rFonts w:ascii="Calibri" w:eastAsia="Times New Roman" w:hAnsi="Calibri" w:cs="Times New Roman"/>
                <w:color w:val="000000"/>
              </w:rPr>
              <w:t xml:space="preserve"> AFUE</w:t>
            </w:r>
            <w:r w:rsidRPr="003359D1">
              <w:rPr>
                <w:rFonts w:ascii="Calibri" w:eastAsia="Times New Roman" w:hAnsi="Calibri" w:cs="Times New Roman"/>
                <w:color w:val="000000"/>
              </w:rPr>
              <w:t xml:space="preserve"> with a 90 AFUE </w:t>
            </w:r>
            <w:r>
              <w:rPr>
                <w:rFonts w:ascii="Calibri" w:eastAsia="Times New Roman" w:hAnsi="Calibri" w:cs="Times New Roman"/>
                <w:color w:val="000000"/>
              </w:rPr>
              <w:t xml:space="preserve">were suggested because of furnace </w:t>
            </w:r>
            <w:r w:rsidRPr="003359D1">
              <w:rPr>
                <w:rFonts w:ascii="Calibri" w:eastAsia="Times New Roman" w:hAnsi="Calibri" w:cs="Times New Roman"/>
                <w:color w:val="000000"/>
              </w:rPr>
              <w:t>and venting</w:t>
            </w:r>
            <w:r>
              <w:rPr>
                <w:rFonts w:ascii="Calibri" w:eastAsia="Times New Roman" w:hAnsi="Calibri" w:cs="Times New Roman"/>
                <w:color w:val="000000"/>
              </w:rPr>
              <w:t xml:space="preserve"> costs retrofits,</w:t>
            </w:r>
            <w:r w:rsidRPr="003359D1">
              <w:rPr>
                <w:rFonts w:ascii="Calibri" w:eastAsia="Times New Roman" w:hAnsi="Calibri" w:cs="Times New Roman"/>
                <w:color w:val="000000"/>
              </w:rPr>
              <w:t xml:space="preserve"> </w:t>
            </w:r>
            <w:r>
              <w:rPr>
                <w:rFonts w:ascii="Calibri" w:eastAsia="Times New Roman" w:hAnsi="Calibri" w:cs="Times New Roman"/>
                <w:color w:val="000000"/>
              </w:rPr>
              <w:t xml:space="preserve">leaving consumers to choose between electric furnaces and maintaining current inefficient furnaces. The proposed rule was expected to have </w:t>
            </w:r>
            <w:r w:rsidRPr="003359D1">
              <w:rPr>
                <w:rFonts w:ascii="Calibri" w:eastAsia="Times New Roman" w:hAnsi="Calibri" w:cs="Times New Roman"/>
                <w:color w:val="000000"/>
              </w:rPr>
              <w:t>a disproportionate impact on lower-income consumers and renters.</w:t>
            </w:r>
          </w:p>
        </w:tc>
        <w:tc>
          <w:tcPr>
            <w:tcW w:w="4788" w:type="dxa"/>
          </w:tcPr>
          <w:p w14:paraId="76750720" w14:textId="77777777" w:rsidR="00074D0E" w:rsidRDefault="00074D0E" w:rsidP="00094BFF">
            <w:r>
              <w:t>DOE’s economic analysis underestimates the standards’ costs to consumers and has other adverse impacts. Furthermore, its own analysis shows that 20-percent of households nationwide will see a net life cycle cost increase; 31-percent of consumers in the Southern region will experience net life cycle cost increases, and low-income consumers will be disproportionately affected – 39-percent of low-income consumers in the South will bear net life-cycle costs increases.</w:t>
            </w:r>
          </w:p>
        </w:tc>
      </w:tr>
      <w:tr w:rsidR="00074D0E" w14:paraId="4BDD7F49" w14:textId="77777777" w:rsidTr="00094BFF">
        <w:tc>
          <w:tcPr>
            <w:tcW w:w="4788" w:type="dxa"/>
          </w:tcPr>
          <w:p w14:paraId="36417FBF" w14:textId="77777777" w:rsidR="00074D0E" w:rsidRDefault="00074D0E" w:rsidP="00094BFF">
            <w:r>
              <w:rPr>
                <w:rFonts w:ascii="Calibri" w:eastAsia="Times New Roman" w:hAnsi="Calibri" w:cs="Times New Roman"/>
                <w:color w:val="000000"/>
              </w:rPr>
              <w:t xml:space="preserve">The American Gas Association (AGA) estimated the </w:t>
            </w:r>
            <w:r>
              <w:rPr>
                <w:rFonts w:ascii="Calibri" w:eastAsia="Times New Roman" w:hAnsi="Calibri" w:cs="Times New Roman"/>
                <w:color w:val="000000"/>
              </w:rPr>
              <w:lastRenderedPageBreak/>
              <w:t>installation costs of condensing furnaces would range from $1,500 to $2,200 at the time.</w:t>
            </w:r>
          </w:p>
        </w:tc>
        <w:tc>
          <w:tcPr>
            <w:tcW w:w="4788" w:type="dxa"/>
          </w:tcPr>
          <w:p w14:paraId="09CE9A0F" w14:textId="77777777" w:rsidR="00074D0E" w:rsidRDefault="00EC0772" w:rsidP="00140D72">
            <w:pPr>
              <w:pStyle w:val="ListParagraph"/>
              <w:ind w:left="0"/>
              <w:rPr>
                <w:sz w:val="24"/>
                <w:szCs w:val="24"/>
              </w:rPr>
            </w:pPr>
            <w:r w:rsidRPr="00EC0772">
              <w:lastRenderedPageBreak/>
              <w:t>DOE’s NOPR provides a</w:t>
            </w:r>
            <w:r w:rsidR="00140D72">
              <w:t xml:space="preserve"> national average total </w:t>
            </w:r>
            <w:r w:rsidR="00140D72">
              <w:lastRenderedPageBreak/>
              <w:t xml:space="preserve">installation cost ($1,342.61 average purchase price and $1,369.70 average installation cost) of </w:t>
            </w:r>
            <w:r w:rsidR="00140D72">
              <w:rPr>
                <w:sz w:val="24"/>
                <w:szCs w:val="24"/>
              </w:rPr>
              <w:t>$2,712.31.</w:t>
            </w:r>
          </w:p>
          <w:p w14:paraId="55F8E97F" w14:textId="77777777" w:rsidR="00140D72" w:rsidRDefault="00140D72" w:rsidP="00140D72">
            <w:pPr>
              <w:pStyle w:val="ListParagraph"/>
              <w:ind w:left="0"/>
            </w:pPr>
          </w:p>
          <w:p w14:paraId="492281E1" w14:textId="77777777" w:rsidR="00074D0E" w:rsidRDefault="00074D0E" w:rsidP="00094BFF">
            <w:r>
              <w:t xml:space="preserve">As least one utility (PG&amp;E) brought up asbestos costs and concerns at the March 27, 2015 public hearing. According to </w:t>
            </w:r>
            <w:proofErr w:type="spellStart"/>
            <w:r>
              <w:t>BIRAenergy</w:t>
            </w:r>
            <w:proofErr w:type="spellEnd"/>
            <w:r>
              <w:t xml:space="preserve"> research done in the Los Angeles area in 2014, despite relatively small quantities of asbestos requiring mitigation, this mitigation can increase installation costs by as much as 40-percent.</w:t>
            </w:r>
          </w:p>
        </w:tc>
      </w:tr>
      <w:tr w:rsidR="00074D0E" w:rsidRPr="00FB639C" w14:paraId="5515E0B2" w14:textId="77777777" w:rsidTr="00094BFF">
        <w:tc>
          <w:tcPr>
            <w:tcW w:w="9576" w:type="dxa"/>
            <w:gridSpan w:val="2"/>
          </w:tcPr>
          <w:p w14:paraId="0B68F89A" w14:textId="77777777" w:rsidR="00074D0E" w:rsidRPr="0004702C" w:rsidRDefault="00074D0E" w:rsidP="00094BFF">
            <w:pPr>
              <w:jc w:val="center"/>
              <w:rPr>
                <w:b/>
              </w:rPr>
            </w:pPr>
            <w:r w:rsidRPr="0004702C">
              <w:rPr>
                <w:b/>
              </w:rPr>
              <w:lastRenderedPageBreak/>
              <w:t>Gas Utilities Impacts</w:t>
            </w:r>
          </w:p>
        </w:tc>
      </w:tr>
      <w:tr w:rsidR="00074D0E" w14:paraId="043C4C29" w14:textId="77777777" w:rsidTr="00094BFF">
        <w:tc>
          <w:tcPr>
            <w:tcW w:w="4788" w:type="dxa"/>
          </w:tcPr>
          <w:p w14:paraId="4359E1B5" w14:textId="77777777" w:rsidR="00074D0E" w:rsidRDefault="00074D0E" w:rsidP="00094BFF">
            <w:r w:rsidRPr="003359D1">
              <w:rPr>
                <w:rFonts w:ascii="Calibri" w:eastAsia="Times New Roman" w:hAnsi="Calibri" w:cs="Times New Roman"/>
                <w:color w:val="000000"/>
              </w:rPr>
              <w:t xml:space="preserve">Utility rebate programs designed to encourage conservation and increased energy efficiency will </w:t>
            </w:r>
            <w:r>
              <w:rPr>
                <w:rFonts w:ascii="Calibri" w:eastAsia="Times New Roman" w:hAnsi="Calibri" w:cs="Times New Roman"/>
                <w:color w:val="000000"/>
              </w:rPr>
              <w:t>likely be eliminated and/or reduced. S</w:t>
            </w:r>
            <w:r w:rsidRPr="003359D1">
              <w:rPr>
                <w:rFonts w:ascii="Calibri" w:eastAsia="Times New Roman" w:hAnsi="Calibri" w:cs="Times New Roman"/>
                <w:color w:val="000000"/>
              </w:rPr>
              <w:t>tate-approved incentive program</w:t>
            </w:r>
            <w:r>
              <w:rPr>
                <w:rFonts w:ascii="Calibri" w:eastAsia="Times New Roman" w:hAnsi="Calibri" w:cs="Times New Roman"/>
                <w:color w:val="000000"/>
              </w:rPr>
              <w:t>s and associated rebates would be jeopardized.</w:t>
            </w:r>
          </w:p>
        </w:tc>
        <w:tc>
          <w:tcPr>
            <w:tcW w:w="4788" w:type="dxa"/>
          </w:tcPr>
          <w:p w14:paraId="6A34BCCF" w14:textId="77777777" w:rsidR="00074D0E" w:rsidRDefault="00074D0E" w:rsidP="00094BFF">
            <w:r>
              <w:rPr>
                <w:rFonts w:ascii="Calibri" w:eastAsia="Times New Roman" w:hAnsi="Calibri" w:cs="Times New Roman"/>
                <w:color w:val="000000"/>
              </w:rPr>
              <w:t>Fuel switching conflicts with the gas utility industry’s</w:t>
            </w:r>
            <w:r w:rsidRPr="00F83F1D">
              <w:rPr>
                <w:rFonts w:ascii="Calibri" w:eastAsia="Times New Roman" w:hAnsi="Calibri" w:cs="Times New Roman"/>
                <w:color w:val="000000"/>
              </w:rPr>
              <w:t xml:space="preserve"> commitment to</w:t>
            </w:r>
            <w:r>
              <w:rPr>
                <w:rFonts w:ascii="Calibri" w:eastAsia="Times New Roman" w:hAnsi="Calibri" w:cs="Times New Roman"/>
                <w:color w:val="000000"/>
              </w:rPr>
              <w:t xml:space="preserve"> h</w:t>
            </w:r>
            <w:r w:rsidRPr="00F83F1D">
              <w:rPr>
                <w:rFonts w:ascii="Calibri" w:eastAsia="Times New Roman" w:hAnsi="Calibri" w:cs="Times New Roman"/>
                <w:color w:val="000000"/>
              </w:rPr>
              <w:t>elp customers save money</w:t>
            </w:r>
            <w:r>
              <w:rPr>
                <w:rFonts w:ascii="Calibri" w:eastAsia="Times New Roman" w:hAnsi="Calibri" w:cs="Times New Roman"/>
                <w:color w:val="000000"/>
              </w:rPr>
              <w:t xml:space="preserve"> and reduce emissions, while improving</w:t>
            </w:r>
            <w:r w:rsidRPr="00F83F1D">
              <w:rPr>
                <w:rFonts w:ascii="Calibri" w:eastAsia="Times New Roman" w:hAnsi="Calibri" w:cs="Times New Roman"/>
                <w:color w:val="000000"/>
              </w:rPr>
              <w:t xml:space="preserve"> the </w:t>
            </w:r>
            <w:r>
              <w:rPr>
                <w:rFonts w:ascii="Calibri" w:eastAsia="Times New Roman" w:hAnsi="Calibri" w:cs="Times New Roman"/>
                <w:color w:val="000000"/>
              </w:rPr>
              <w:t>efficiency of how we use energy.</w:t>
            </w:r>
          </w:p>
        </w:tc>
      </w:tr>
      <w:tr w:rsidR="00074D0E" w14:paraId="0FFA5C6C" w14:textId="77777777" w:rsidTr="00094BFF">
        <w:tc>
          <w:tcPr>
            <w:tcW w:w="4788" w:type="dxa"/>
          </w:tcPr>
          <w:p w14:paraId="18427725" w14:textId="77777777" w:rsidR="00074D0E" w:rsidRDefault="00074D0E" w:rsidP="00094BFF">
            <w:r>
              <w:rPr>
                <w:rFonts w:ascii="Calibri" w:eastAsia="Times New Roman" w:hAnsi="Calibri" w:cs="Times New Roman"/>
                <w:color w:val="000000"/>
              </w:rPr>
              <w:t>Utility rebates were suggested as an option</w:t>
            </w:r>
            <w:r w:rsidRPr="003359D1">
              <w:rPr>
                <w:rFonts w:ascii="Calibri" w:eastAsia="Times New Roman" w:hAnsi="Calibri" w:cs="Times New Roman"/>
                <w:color w:val="000000"/>
              </w:rPr>
              <w:t xml:space="preserve"> to cover </w:t>
            </w:r>
            <w:r>
              <w:rPr>
                <w:rFonts w:ascii="Calibri" w:eastAsia="Times New Roman" w:hAnsi="Calibri" w:cs="Times New Roman"/>
                <w:color w:val="000000"/>
              </w:rPr>
              <w:t xml:space="preserve">the </w:t>
            </w:r>
            <w:r w:rsidRPr="003359D1">
              <w:rPr>
                <w:rFonts w:ascii="Calibri" w:eastAsia="Times New Roman" w:hAnsi="Calibri" w:cs="Times New Roman"/>
                <w:color w:val="000000"/>
              </w:rPr>
              <w:t>cost</w:t>
            </w:r>
            <w:r>
              <w:rPr>
                <w:rFonts w:ascii="Calibri" w:eastAsia="Times New Roman" w:hAnsi="Calibri" w:cs="Times New Roman"/>
                <w:color w:val="000000"/>
              </w:rPr>
              <w:t>s</w:t>
            </w:r>
            <w:r w:rsidRPr="003359D1">
              <w:rPr>
                <w:rFonts w:ascii="Calibri" w:eastAsia="Times New Roman" w:hAnsi="Calibri" w:cs="Times New Roman"/>
                <w:color w:val="000000"/>
              </w:rPr>
              <w:t xml:space="preserve"> of converting </w:t>
            </w:r>
            <w:r>
              <w:rPr>
                <w:rFonts w:ascii="Calibri" w:eastAsia="Times New Roman" w:hAnsi="Calibri" w:cs="Times New Roman"/>
                <w:color w:val="000000"/>
              </w:rPr>
              <w:t xml:space="preserve">to a higher efficiency furnace, </w:t>
            </w:r>
            <w:r w:rsidRPr="003359D1">
              <w:rPr>
                <w:rFonts w:ascii="Calibri" w:eastAsia="Times New Roman" w:hAnsi="Calibri" w:cs="Times New Roman"/>
                <w:color w:val="000000"/>
              </w:rPr>
              <w:t>and it mig</w:t>
            </w:r>
            <w:r>
              <w:rPr>
                <w:rFonts w:ascii="Calibri" w:eastAsia="Times New Roman" w:hAnsi="Calibri" w:cs="Times New Roman"/>
                <w:color w:val="000000"/>
              </w:rPr>
              <w:t>ht be worth doing, but that would increase rates and program expenses substantially.</w:t>
            </w:r>
          </w:p>
        </w:tc>
        <w:tc>
          <w:tcPr>
            <w:tcW w:w="4788" w:type="dxa"/>
          </w:tcPr>
          <w:p w14:paraId="48E18D66" w14:textId="77777777" w:rsidR="00074D0E" w:rsidRDefault="00074D0E" w:rsidP="00094BFF">
            <w:r>
              <w:t xml:space="preserve">The proposed rule will effectively outlaw non-condensing furnaces and in consideration of the </w:t>
            </w:r>
            <w:r w:rsidRPr="00F83F1D">
              <w:rPr>
                <w:rFonts w:ascii="Calibri" w:eastAsia="Times New Roman" w:hAnsi="Calibri" w:cs="Times New Roman"/>
                <w:color w:val="000000"/>
              </w:rPr>
              <w:t xml:space="preserve">significant adverse consequences </w:t>
            </w:r>
            <w:r>
              <w:rPr>
                <w:rFonts w:ascii="Calibri" w:eastAsia="Times New Roman" w:hAnsi="Calibri" w:cs="Times New Roman"/>
                <w:color w:val="000000"/>
              </w:rPr>
              <w:t xml:space="preserve">under a </w:t>
            </w:r>
            <w:r w:rsidRPr="00F83F1D">
              <w:rPr>
                <w:rFonts w:ascii="Calibri" w:eastAsia="Times New Roman" w:hAnsi="Calibri" w:cs="Times New Roman"/>
                <w:color w:val="000000"/>
              </w:rPr>
              <w:t xml:space="preserve">national </w:t>
            </w:r>
            <w:r>
              <w:rPr>
                <w:rFonts w:ascii="Calibri" w:eastAsia="Times New Roman" w:hAnsi="Calibri" w:cs="Times New Roman"/>
                <w:color w:val="000000"/>
              </w:rPr>
              <w:t>(</w:t>
            </w:r>
            <w:r w:rsidRPr="00F83F1D">
              <w:rPr>
                <w:rFonts w:ascii="Calibri" w:eastAsia="Times New Roman" w:hAnsi="Calibri" w:cs="Times New Roman"/>
                <w:color w:val="000000"/>
              </w:rPr>
              <w:t>condensing</w:t>
            </w:r>
            <w:r>
              <w:rPr>
                <w:rFonts w:ascii="Calibri" w:eastAsia="Times New Roman" w:hAnsi="Calibri" w:cs="Times New Roman"/>
                <w:color w:val="000000"/>
              </w:rPr>
              <w:t>)</w:t>
            </w:r>
            <w:r w:rsidRPr="00F83F1D">
              <w:rPr>
                <w:rFonts w:ascii="Calibri" w:eastAsia="Times New Roman" w:hAnsi="Calibri" w:cs="Times New Roman"/>
                <w:color w:val="000000"/>
              </w:rPr>
              <w:t xml:space="preserve"> rule, the </w:t>
            </w:r>
            <w:r>
              <w:rPr>
                <w:rFonts w:ascii="Calibri" w:eastAsia="Times New Roman" w:hAnsi="Calibri" w:cs="Times New Roman"/>
                <w:color w:val="000000"/>
              </w:rPr>
              <w:t xml:space="preserve">final </w:t>
            </w:r>
            <w:r w:rsidRPr="00F83F1D">
              <w:rPr>
                <w:rFonts w:ascii="Calibri" w:eastAsia="Times New Roman" w:hAnsi="Calibri" w:cs="Times New Roman"/>
                <w:color w:val="000000"/>
              </w:rPr>
              <w:t xml:space="preserve">rule </w:t>
            </w:r>
            <w:r>
              <w:rPr>
                <w:rFonts w:ascii="Calibri" w:eastAsia="Times New Roman" w:hAnsi="Calibri" w:cs="Times New Roman"/>
                <w:color w:val="000000"/>
              </w:rPr>
              <w:t xml:space="preserve">should be </w:t>
            </w:r>
            <w:r w:rsidRPr="00F83F1D">
              <w:rPr>
                <w:rFonts w:ascii="Calibri" w:eastAsia="Times New Roman" w:hAnsi="Calibri" w:cs="Times New Roman"/>
                <w:color w:val="000000"/>
              </w:rPr>
              <w:t>structured to minimize the likelihood of fuel switching</w:t>
            </w:r>
            <w:r>
              <w:rPr>
                <w:rFonts w:ascii="Calibri" w:eastAsia="Times New Roman" w:hAnsi="Calibri" w:cs="Times New Roman"/>
                <w:color w:val="000000"/>
              </w:rPr>
              <w:t xml:space="preserve"> (away from natural gas).</w:t>
            </w:r>
          </w:p>
        </w:tc>
      </w:tr>
      <w:tr w:rsidR="00074D0E" w14:paraId="4EB1207E" w14:textId="77777777" w:rsidTr="00094BFF">
        <w:tc>
          <w:tcPr>
            <w:tcW w:w="4788" w:type="dxa"/>
          </w:tcPr>
          <w:p w14:paraId="12B850F6" w14:textId="77777777" w:rsidR="00074D0E" w:rsidRPr="003359D1" w:rsidRDefault="00074D0E" w:rsidP="00094BFF">
            <w:pPr>
              <w:rPr>
                <w:rFonts w:ascii="Calibri" w:eastAsia="Times New Roman" w:hAnsi="Calibri" w:cs="Times New Roman"/>
                <w:color w:val="000000"/>
              </w:rPr>
            </w:pPr>
          </w:p>
        </w:tc>
        <w:tc>
          <w:tcPr>
            <w:tcW w:w="4788" w:type="dxa"/>
          </w:tcPr>
          <w:p w14:paraId="4406A9E9" w14:textId="77777777" w:rsidR="00074D0E" w:rsidRDefault="00074D0E" w:rsidP="00094BFF">
            <w:r>
              <w:rPr>
                <w:rFonts w:ascii="Calibri" w:eastAsia="Times New Roman" w:hAnsi="Calibri" w:cs="Times New Roman"/>
                <w:color w:val="000000"/>
              </w:rPr>
              <w:t>Wi</w:t>
            </w:r>
            <w:r w:rsidRPr="00F83F1D">
              <w:rPr>
                <w:rFonts w:ascii="Calibri" w:eastAsia="Times New Roman" w:hAnsi="Calibri" w:cs="Times New Roman"/>
                <w:color w:val="000000"/>
              </w:rPr>
              <w:t>thout the substantial financial intervention provided by a DSM program, equipment will not be broadly installed in places where the old housing stock and customer socio-ec</w:t>
            </w:r>
            <w:r>
              <w:rPr>
                <w:rFonts w:ascii="Calibri" w:eastAsia="Times New Roman" w:hAnsi="Calibri" w:cs="Times New Roman"/>
                <w:color w:val="000000"/>
              </w:rPr>
              <w:t>onomic status create barriers.</w:t>
            </w:r>
          </w:p>
        </w:tc>
      </w:tr>
      <w:tr w:rsidR="00074D0E" w:rsidRPr="00FB639C" w14:paraId="1911085B" w14:textId="77777777" w:rsidTr="00094BFF">
        <w:tc>
          <w:tcPr>
            <w:tcW w:w="9576" w:type="dxa"/>
            <w:gridSpan w:val="2"/>
          </w:tcPr>
          <w:p w14:paraId="7C385B3C" w14:textId="77777777" w:rsidR="00074D0E" w:rsidRPr="0006614E" w:rsidRDefault="00074D0E" w:rsidP="00094BFF">
            <w:pPr>
              <w:jc w:val="center"/>
              <w:rPr>
                <w:b/>
              </w:rPr>
            </w:pPr>
            <w:r>
              <w:rPr>
                <w:rFonts w:ascii="Calibri" w:eastAsia="Times New Roman" w:hAnsi="Calibri" w:cs="Times New Roman"/>
                <w:b/>
                <w:color w:val="000000"/>
              </w:rPr>
              <w:t xml:space="preserve">The </w:t>
            </w:r>
            <w:r w:rsidRPr="0006614E">
              <w:rPr>
                <w:rFonts w:ascii="Calibri" w:eastAsia="Times New Roman" w:hAnsi="Calibri" w:cs="Times New Roman"/>
                <w:b/>
                <w:color w:val="000000"/>
              </w:rPr>
              <w:t>Separate Product Classes</w:t>
            </w:r>
            <w:r>
              <w:rPr>
                <w:rFonts w:ascii="Calibri" w:eastAsia="Times New Roman" w:hAnsi="Calibri" w:cs="Times New Roman"/>
                <w:b/>
                <w:color w:val="000000"/>
              </w:rPr>
              <w:t xml:space="preserve"> Issue</w:t>
            </w:r>
          </w:p>
        </w:tc>
      </w:tr>
      <w:tr w:rsidR="00074D0E" w:rsidRPr="00CD6DE1" w14:paraId="7E7579EA" w14:textId="77777777" w:rsidTr="00094BFF">
        <w:tc>
          <w:tcPr>
            <w:tcW w:w="4788" w:type="dxa"/>
          </w:tcPr>
          <w:p w14:paraId="3D7A52C4" w14:textId="77777777" w:rsidR="00074D0E" w:rsidRPr="00CD6DE1" w:rsidRDefault="00074D0E" w:rsidP="00094BFF">
            <w:pPr>
              <w:spacing w:before="100" w:beforeAutospacing="1" w:after="100" w:afterAutospacing="1"/>
              <w:rPr>
                <w:rFonts w:ascii="Calibri" w:eastAsia="Times New Roman" w:hAnsi="Calibri" w:cs="Times New Roman"/>
                <w:color w:val="000000"/>
              </w:rPr>
            </w:pPr>
            <w:r>
              <w:rPr>
                <w:rFonts w:ascii="Calibri" w:eastAsia="Times New Roman" w:hAnsi="Calibri" w:cs="Times New Roman"/>
                <w:color w:val="000000"/>
              </w:rPr>
              <w:t>This was not a major issue in 2011.</w:t>
            </w:r>
          </w:p>
        </w:tc>
        <w:tc>
          <w:tcPr>
            <w:tcW w:w="4788" w:type="dxa"/>
          </w:tcPr>
          <w:p w14:paraId="18C5FC87" w14:textId="77777777" w:rsidR="00074D0E" w:rsidRPr="00CD6DE1" w:rsidRDefault="00074D0E" w:rsidP="00094BFF">
            <w:r w:rsidRPr="00F83F1D">
              <w:rPr>
                <w:rFonts w:ascii="Calibri" w:eastAsia="Times New Roman" w:hAnsi="Calibri" w:cs="Times New Roman"/>
                <w:color w:val="000000"/>
              </w:rPr>
              <w:t>If DOE proposes a new furnace efficiency rule that adopts a condensing standard</w:t>
            </w:r>
            <w:r>
              <w:rPr>
                <w:rFonts w:ascii="Calibri" w:eastAsia="Times New Roman" w:hAnsi="Calibri" w:cs="Times New Roman"/>
                <w:color w:val="000000"/>
              </w:rPr>
              <w:t xml:space="preserve"> as a minimum</w:t>
            </w:r>
            <w:r w:rsidRPr="00F83F1D">
              <w:rPr>
                <w:rFonts w:ascii="Calibri" w:eastAsia="Times New Roman" w:hAnsi="Calibri" w:cs="Times New Roman"/>
                <w:color w:val="000000"/>
              </w:rPr>
              <w:t xml:space="preserve">, </w:t>
            </w:r>
            <w:r>
              <w:rPr>
                <w:rFonts w:ascii="Calibri" w:eastAsia="Times New Roman" w:hAnsi="Calibri" w:cs="Times New Roman"/>
                <w:color w:val="000000"/>
              </w:rPr>
              <w:t xml:space="preserve">then it must, in the </w:t>
            </w:r>
            <w:r w:rsidRPr="00F83F1D">
              <w:rPr>
                <w:rFonts w:ascii="Calibri" w:eastAsia="Times New Roman" w:hAnsi="Calibri" w:cs="Times New Roman"/>
                <w:color w:val="000000"/>
              </w:rPr>
              <w:t>view</w:t>
            </w:r>
            <w:r>
              <w:rPr>
                <w:rFonts w:ascii="Calibri" w:eastAsia="Times New Roman" w:hAnsi="Calibri" w:cs="Times New Roman"/>
                <w:color w:val="000000"/>
              </w:rPr>
              <w:t xml:space="preserve"> of some in the gas industry</w:t>
            </w:r>
            <w:r w:rsidRPr="00F83F1D">
              <w:rPr>
                <w:rFonts w:ascii="Calibri" w:eastAsia="Times New Roman" w:hAnsi="Calibri" w:cs="Times New Roman"/>
                <w:color w:val="000000"/>
              </w:rPr>
              <w:t xml:space="preserve">, also provide that non-condensing furnaces are a </w:t>
            </w:r>
            <w:r>
              <w:rPr>
                <w:rFonts w:ascii="Calibri" w:eastAsia="Times New Roman" w:hAnsi="Calibri" w:cs="Times New Roman"/>
                <w:color w:val="000000"/>
              </w:rPr>
              <w:t>completely separate product class if the DOE</w:t>
            </w:r>
            <w:r w:rsidRPr="00F83F1D">
              <w:rPr>
                <w:rFonts w:ascii="Calibri" w:eastAsia="Times New Roman" w:hAnsi="Calibri" w:cs="Times New Roman"/>
                <w:color w:val="000000"/>
              </w:rPr>
              <w:t xml:space="preserve"> wishes to avoid wholesale fuel switching and to promote </w:t>
            </w:r>
            <w:r>
              <w:rPr>
                <w:rFonts w:ascii="Calibri" w:eastAsia="Times New Roman" w:hAnsi="Calibri" w:cs="Times New Roman"/>
                <w:color w:val="000000"/>
              </w:rPr>
              <w:t xml:space="preserve">overall </w:t>
            </w:r>
            <w:r w:rsidRPr="00F83F1D">
              <w:rPr>
                <w:rFonts w:ascii="Calibri" w:eastAsia="Times New Roman" w:hAnsi="Calibri" w:cs="Times New Roman"/>
                <w:color w:val="000000"/>
              </w:rPr>
              <w:t>fuel efficiency</w:t>
            </w:r>
            <w:r>
              <w:rPr>
                <w:rFonts w:ascii="Calibri" w:eastAsia="Times New Roman" w:hAnsi="Calibri" w:cs="Times New Roman"/>
                <w:color w:val="000000"/>
              </w:rPr>
              <w:t>.</w:t>
            </w:r>
          </w:p>
        </w:tc>
      </w:tr>
      <w:tr w:rsidR="00074D0E" w:rsidRPr="00CD6DE1" w14:paraId="3372C665" w14:textId="77777777" w:rsidTr="00094BFF">
        <w:tc>
          <w:tcPr>
            <w:tcW w:w="4788" w:type="dxa"/>
          </w:tcPr>
          <w:p w14:paraId="7BD31305" w14:textId="77777777" w:rsidR="00074D0E" w:rsidRPr="00CD6DE1" w:rsidRDefault="00074D0E" w:rsidP="00094BFF">
            <w:pPr>
              <w:spacing w:before="100" w:beforeAutospacing="1" w:after="100" w:afterAutospacing="1"/>
              <w:rPr>
                <w:rFonts w:ascii="Calibri" w:eastAsia="Times New Roman" w:hAnsi="Calibri" w:cs="Times New Roman"/>
                <w:color w:val="000000"/>
              </w:rPr>
            </w:pPr>
          </w:p>
        </w:tc>
        <w:tc>
          <w:tcPr>
            <w:tcW w:w="4788" w:type="dxa"/>
          </w:tcPr>
          <w:p w14:paraId="6B8DA152" w14:textId="77777777" w:rsidR="00074D0E" w:rsidRPr="00F83F1D" w:rsidRDefault="00074D0E" w:rsidP="00094BFF">
            <w:pPr>
              <w:rPr>
                <w:rFonts w:ascii="Calibri" w:eastAsia="Times New Roman" w:hAnsi="Calibri" w:cs="Times New Roman"/>
                <w:color w:val="000000"/>
              </w:rPr>
            </w:pPr>
            <w:r>
              <w:rPr>
                <w:rFonts w:ascii="Calibri" w:eastAsia="Times New Roman" w:hAnsi="Calibri" w:cs="Times New Roman"/>
                <w:color w:val="000000"/>
              </w:rPr>
              <w:t>Establishing separate product classes (condensing, and non-condensing classes) will</w:t>
            </w:r>
            <w:r w:rsidRPr="00F83F1D">
              <w:rPr>
                <w:rFonts w:ascii="Calibri" w:eastAsia="Times New Roman" w:hAnsi="Calibri" w:cs="Times New Roman"/>
                <w:color w:val="000000"/>
              </w:rPr>
              <w:t xml:space="preserve"> largely eliminate pressure on consumers to switch from natural gas to electric space and water heating equipment when condensing natural gas furnace options are not viable alternatives</w:t>
            </w:r>
            <w:r>
              <w:rPr>
                <w:rFonts w:ascii="Calibri" w:eastAsia="Times New Roman" w:hAnsi="Calibri" w:cs="Times New Roman"/>
                <w:color w:val="000000"/>
              </w:rPr>
              <w:t>.</w:t>
            </w:r>
          </w:p>
        </w:tc>
      </w:tr>
      <w:tr w:rsidR="00074D0E" w:rsidRPr="00CD6DE1" w14:paraId="421F76D4" w14:textId="77777777" w:rsidTr="00094BFF">
        <w:tc>
          <w:tcPr>
            <w:tcW w:w="4788" w:type="dxa"/>
          </w:tcPr>
          <w:p w14:paraId="5531D10E" w14:textId="77777777" w:rsidR="00074D0E" w:rsidRPr="00CD6DE1" w:rsidRDefault="00074D0E" w:rsidP="00094BFF">
            <w:pPr>
              <w:spacing w:before="100" w:beforeAutospacing="1" w:after="100" w:afterAutospacing="1"/>
              <w:rPr>
                <w:rFonts w:ascii="Calibri" w:eastAsia="Times New Roman" w:hAnsi="Calibri" w:cs="Times New Roman"/>
                <w:color w:val="000000"/>
              </w:rPr>
            </w:pPr>
          </w:p>
        </w:tc>
        <w:tc>
          <w:tcPr>
            <w:tcW w:w="4788" w:type="dxa"/>
          </w:tcPr>
          <w:p w14:paraId="732DE10C" w14:textId="77777777" w:rsidR="00074D0E" w:rsidRDefault="00074D0E" w:rsidP="00094BFF">
            <w:pPr>
              <w:rPr>
                <w:rFonts w:ascii="Calibri" w:eastAsia="Times New Roman" w:hAnsi="Calibri" w:cs="Times New Roman"/>
                <w:color w:val="000000"/>
              </w:rPr>
            </w:pPr>
            <w:r>
              <w:rPr>
                <w:rFonts w:ascii="Calibri" w:eastAsia="Times New Roman" w:hAnsi="Calibri" w:cs="Times New Roman"/>
                <w:color w:val="000000"/>
              </w:rPr>
              <w:t>DOE has</w:t>
            </w:r>
            <w:r w:rsidRPr="00F83F1D">
              <w:rPr>
                <w:rFonts w:ascii="Calibri" w:eastAsia="Times New Roman" w:hAnsi="Calibri" w:cs="Times New Roman"/>
                <w:color w:val="000000"/>
              </w:rPr>
              <w:t xml:space="preserve"> the legal authority</w:t>
            </w:r>
            <w:r>
              <w:rPr>
                <w:rFonts w:ascii="Calibri" w:eastAsia="Times New Roman" w:hAnsi="Calibri" w:cs="Times New Roman"/>
                <w:color w:val="000000"/>
              </w:rPr>
              <w:t xml:space="preserve"> and an extensive precedent</w:t>
            </w:r>
            <w:r w:rsidRPr="00F83F1D">
              <w:rPr>
                <w:rFonts w:ascii="Calibri" w:eastAsia="Times New Roman" w:hAnsi="Calibri" w:cs="Times New Roman"/>
                <w:color w:val="000000"/>
              </w:rPr>
              <w:t xml:space="preserve"> to establish separate product classe</w:t>
            </w:r>
            <w:r>
              <w:rPr>
                <w:rFonts w:ascii="Calibri" w:eastAsia="Times New Roman" w:hAnsi="Calibri" w:cs="Times New Roman"/>
                <w:color w:val="000000"/>
              </w:rPr>
              <w:t xml:space="preserve">s </w:t>
            </w:r>
            <w:r w:rsidRPr="00F83F1D">
              <w:rPr>
                <w:rFonts w:ascii="Calibri" w:eastAsia="Times New Roman" w:hAnsi="Calibri" w:cs="Times New Roman"/>
                <w:color w:val="000000"/>
              </w:rPr>
              <w:t>for condensing and non-condensing furnaces</w:t>
            </w:r>
            <w:r>
              <w:rPr>
                <w:rFonts w:ascii="Calibri" w:eastAsia="Times New Roman" w:hAnsi="Calibri" w:cs="Times New Roman"/>
                <w:color w:val="000000"/>
              </w:rPr>
              <w:t>.</w:t>
            </w:r>
          </w:p>
        </w:tc>
      </w:tr>
      <w:tr w:rsidR="00074D0E" w:rsidRPr="00CD6DE1" w14:paraId="50A68B37" w14:textId="77777777" w:rsidTr="00094BFF">
        <w:tc>
          <w:tcPr>
            <w:tcW w:w="4788" w:type="dxa"/>
          </w:tcPr>
          <w:p w14:paraId="4C1E8B64" w14:textId="77777777" w:rsidR="00074D0E" w:rsidRPr="00CD6DE1" w:rsidRDefault="00074D0E" w:rsidP="00094BFF">
            <w:pPr>
              <w:spacing w:before="100" w:beforeAutospacing="1" w:after="100" w:afterAutospacing="1"/>
              <w:rPr>
                <w:rFonts w:ascii="Calibri" w:eastAsia="Times New Roman" w:hAnsi="Calibri" w:cs="Times New Roman"/>
                <w:color w:val="000000"/>
              </w:rPr>
            </w:pPr>
          </w:p>
        </w:tc>
        <w:tc>
          <w:tcPr>
            <w:tcW w:w="4788" w:type="dxa"/>
          </w:tcPr>
          <w:p w14:paraId="4AD65624" w14:textId="77777777" w:rsidR="00074D0E" w:rsidRDefault="00074D0E" w:rsidP="00094BFF">
            <w:pPr>
              <w:jc w:val="right"/>
              <w:rPr>
                <w:rFonts w:ascii="Calibri" w:eastAsia="Times New Roman" w:hAnsi="Calibri" w:cs="Times New Roman"/>
                <w:color w:val="000000"/>
              </w:rPr>
            </w:pPr>
            <w:r>
              <w:rPr>
                <w:rFonts w:ascii="Calibri" w:eastAsia="Times New Roman" w:hAnsi="Calibri" w:cs="Times New Roman"/>
                <w:color w:val="000000"/>
              </w:rPr>
              <w:t xml:space="preserve">See APGA/AGA White Paper on </w:t>
            </w:r>
          </w:p>
          <w:p w14:paraId="1BB3829D" w14:textId="77777777" w:rsidR="00074D0E" w:rsidRDefault="00074D0E" w:rsidP="00094BFF">
            <w:pPr>
              <w:jc w:val="right"/>
              <w:rPr>
                <w:rFonts w:ascii="Calibri" w:eastAsia="Times New Roman" w:hAnsi="Calibri" w:cs="Times New Roman"/>
                <w:color w:val="000000"/>
              </w:rPr>
            </w:pPr>
            <w:r>
              <w:rPr>
                <w:rFonts w:ascii="Calibri" w:eastAsia="Times New Roman" w:hAnsi="Calibri" w:cs="Times New Roman"/>
                <w:color w:val="000000"/>
              </w:rPr>
              <w:t>Separate Product Classes</w:t>
            </w:r>
          </w:p>
        </w:tc>
      </w:tr>
    </w:tbl>
    <w:p w14:paraId="07BFC79A" w14:textId="1494FD3F" w:rsidR="00074D0E" w:rsidRDefault="00074D0E" w:rsidP="00D83A66">
      <w:pPr>
        <w:rPr>
          <w:b/>
          <w:sz w:val="24"/>
          <w:szCs w:val="24"/>
        </w:rPr>
      </w:pPr>
      <w:r w:rsidRPr="00074D0E">
        <w:rPr>
          <w:sz w:val="24"/>
          <w:szCs w:val="24"/>
        </w:rPr>
        <w:br w:type="page"/>
      </w:r>
      <w:r>
        <w:rPr>
          <w:b/>
          <w:sz w:val="24"/>
          <w:szCs w:val="24"/>
        </w:rPr>
        <w:lastRenderedPageBreak/>
        <w:t xml:space="preserve">Appendix C </w:t>
      </w:r>
      <w:r w:rsidRPr="00870826">
        <w:rPr>
          <w:b/>
          <w:sz w:val="24"/>
          <w:szCs w:val="24"/>
        </w:rPr>
        <w:t>Stakeholder Involvement in 2011 and 2015</w:t>
      </w:r>
    </w:p>
    <w:p w14:paraId="63590B73" w14:textId="77777777" w:rsidR="00074D0E" w:rsidRDefault="00074D0E" w:rsidP="00074D0E">
      <w:pPr>
        <w:pStyle w:val="ListParagraph"/>
        <w:spacing w:after="0" w:line="240" w:lineRule="auto"/>
        <w:ind w:left="0"/>
        <w:rPr>
          <w:sz w:val="24"/>
          <w:szCs w:val="24"/>
        </w:rPr>
      </w:pPr>
    </w:p>
    <w:tbl>
      <w:tblPr>
        <w:tblStyle w:val="TableGrid"/>
        <w:tblW w:w="0" w:type="auto"/>
        <w:tblLook w:val="04A0" w:firstRow="1" w:lastRow="0" w:firstColumn="1" w:lastColumn="0" w:noHBand="0" w:noVBand="1"/>
      </w:tblPr>
      <w:tblGrid>
        <w:gridCol w:w="4788"/>
        <w:gridCol w:w="4788"/>
      </w:tblGrid>
      <w:tr w:rsidR="003560E9" w:rsidRPr="00074D0E" w14:paraId="645D47D6" w14:textId="77777777" w:rsidTr="00094BFF">
        <w:tc>
          <w:tcPr>
            <w:tcW w:w="9576" w:type="dxa"/>
            <w:gridSpan w:val="2"/>
          </w:tcPr>
          <w:p w14:paraId="6A1936EE" w14:textId="77777777" w:rsidR="003560E9" w:rsidRPr="00074D0E" w:rsidRDefault="003560E9" w:rsidP="00094BFF">
            <w:pPr>
              <w:pStyle w:val="ListParagraph"/>
              <w:ind w:left="162"/>
              <w:jc w:val="center"/>
            </w:pPr>
            <w:r>
              <w:rPr>
                <w:rFonts w:ascii="Calibri" w:eastAsia="Times New Roman" w:hAnsi="Calibri" w:cs="Times New Roman"/>
                <w:color w:val="000000"/>
                <w:u w:val="single"/>
              </w:rPr>
              <w:t>K</w:t>
            </w:r>
            <w:r w:rsidRPr="00074D0E">
              <w:rPr>
                <w:rFonts w:ascii="Calibri" w:eastAsia="Times New Roman" w:hAnsi="Calibri" w:cs="Times New Roman"/>
                <w:color w:val="000000"/>
                <w:u w:val="single"/>
              </w:rPr>
              <w:t xml:space="preserve">ey Supporters </w:t>
            </w:r>
            <w:r>
              <w:rPr>
                <w:rFonts w:ascii="Calibri" w:eastAsia="Times New Roman" w:hAnsi="Calibri" w:cs="Times New Roman"/>
                <w:color w:val="000000"/>
                <w:u w:val="single"/>
              </w:rPr>
              <w:t xml:space="preserve">and Opponents </w:t>
            </w:r>
            <w:r w:rsidRPr="00074D0E">
              <w:rPr>
                <w:rFonts w:ascii="Calibri" w:eastAsia="Times New Roman" w:hAnsi="Calibri" w:cs="Times New Roman"/>
                <w:color w:val="000000"/>
                <w:u w:val="single"/>
              </w:rPr>
              <w:t xml:space="preserve">of the </w:t>
            </w:r>
            <w:r>
              <w:rPr>
                <w:rFonts w:ascii="Calibri" w:eastAsia="Times New Roman" w:hAnsi="Calibri" w:cs="Times New Roman"/>
                <w:color w:val="000000"/>
                <w:u w:val="single"/>
              </w:rPr>
              <w:t xml:space="preserve">2011 </w:t>
            </w:r>
            <w:r w:rsidRPr="00074D0E">
              <w:rPr>
                <w:rFonts w:ascii="Calibri" w:eastAsia="Times New Roman" w:hAnsi="Calibri" w:cs="Times New Roman"/>
                <w:color w:val="000000"/>
                <w:u w:val="single"/>
              </w:rPr>
              <w:t>Direct Final Rule</w:t>
            </w:r>
          </w:p>
        </w:tc>
      </w:tr>
      <w:tr w:rsidR="003560E9" w:rsidRPr="00074D0E" w14:paraId="35D678F9" w14:textId="77777777" w:rsidTr="00094BFF">
        <w:tc>
          <w:tcPr>
            <w:tcW w:w="4788" w:type="dxa"/>
          </w:tcPr>
          <w:p w14:paraId="6999D4DA" w14:textId="77777777" w:rsidR="003560E9" w:rsidRPr="00074D0E" w:rsidRDefault="003560E9" w:rsidP="00094BFF">
            <w:pPr>
              <w:rPr>
                <w:rFonts w:ascii="Calibri" w:eastAsia="Times New Roman" w:hAnsi="Calibri" w:cs="Times New Roman"/>
                <w:color w:val="000000"/>
              </w:rPr>
            </w:pPr>
            <w:r w:rsidRPr="00074D0E">
              <w:rPr>
                <w:rFonts w:ascii="Calibri" w:eastAsia="Times New Roman" w:hAnsi="Calibri" w:cs="Times New Roman"/>
                <w:color w:val="000000"/>
              </w:rPr>
              <w:t>The “Joint Petitioners”</w:t>
            </w:r>
          </w:p>
          <w:p w14:paraId="4D878F8D" w14:textId="77777777" w:rsidR="003560E9" w:rsidRPr="00074D0E" w:rsidRDefault="003560E9" w:rsidP="003560E9">
            <w:pPr>
              <w:pStyle w:val="ListParagraph"/>
              <w:numPr>
                <w:ilvl w:val="0"/>
                <w:numId w:val="14"/>
              </w:numPr>
              <w:ind w:left="180" w:hanging="180"/>
              <w:rPr>
                <w:rFonts w:cs="Helvetica"/>
                <w:b/>
                <w:color w:val="333333"/>
                <w:shd w:val="clear" w:color="auto" w:fill="FFFFFF"/>
              </w:rPr>
            </w:pPr>
            <w:r w:rsidRPr="00074D0E">
              <w:rPr>
                <w:rFonts w:cs="Helvetica"/>
                <w:b/>
                <w:color w:val="333333"/>
                <w:shd w:val="clear" w:color="auto" w:fill="FFFFFF"/>
              </w:rPr>
              <w:t>California Energy Commission (CEC)</w:t>
            </w:r>
          </w:p>
          <w:p w14:paraId="649B04B0"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American Heating and Refrigeration Institute (AHRI)</w:t>
            </w:r>
          </w:p>
          <w:p w14:paraId="2A0FC66E"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American Council for an Energy-Efficient Economy (ACEEE)</w:t>
            </w:r>
          </w:p>
          <w:p w14:paraId="3A3C326B"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Alliance to Save Energy (ASE)</w:t>
            </w:r>
          </w:p>
          <w:p w14:paraId="3266FF26"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Natural Resources Defense Council (NRDC)</w:t>
            </w:r>
          </w:p>
          <w:p w14:paraId="34572B33"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Appliance Standard Awareness Project (ASAP)</w:t>
            </w:r>
          </w:p>
          <w:p w14:paraId="0F210791"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Northeast Energy Efficiency Partnerships (NEEP)</w:t>
            </w:r>
          </w:p>
          <w:p w14:paraId="012BF675"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Northwest Power and Conservation Council (NPCC)</w:t>
            </w:r>
          </w:p>
          <w:p w14:paraId="0E9AA380"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Bard Manufacturing Company Inc.</w:t>
            </w:r>
          </w:p>
          <w:p w14:paraId="5D7F136E"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Carrier Residential and Light Commercial Systems</w:t>
            </w:r>
          </w:p>
          <w:p w14:paraId="6F195590"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Goodman Global Inc.</w:t>
            </w:r>
          </w:p>
          <w:p w14:paraId="39F45B5E"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Lennox Residential</w:t>
            </w:r>
          </w:p>
          <w:p w14:paraId="6E61E7E8"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Mitsubishi Electric &amp; Electronics USA</w:t>
            </w:r>
          </w:p>
          <w:p w14:paraId="3D0AA96A"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National Comfort Products</w:t>
            </w:r>
          </w:p>
          <w:p w14:paraId="5D122458" w14:textId="77777777" w:rsidR="003560E9" w:rsidRPr="00074D0E" w:rsidRDefault="003560E9" w:rsidP="003560E9">
            <w:pPr>
              <w:pStyle w:val="ListParagraph"/>
              <w:numPr>
                <w:ilvl w:val="0"/>
                <w:numId w:val="14"/>
              </w:numPr>
              <w:ind w:left="180" w:hanging="180"/>
              <w:rPr>
                <w:rFonts w:cs="Helvetica"/>
                <w:color w:val="333333"/>
                <w:shd w:val="clear" w:color="auto" w:fill="FFFFFF"/>
              </w:rPr>
            </w:pPr>
            <w:proofErr w:type="spellStart"/>
            <w:r w:rsidRPr="00074D0E">
              <w:rPr>
                <w:rFonts w:cs="Helvetica"/>
                <w:color w:val="333333"/>
                <w:shd w:val="clear" w:color="auto" w:fill="FFFFFF"/>
              </w:rPr>
              <w:t>Rheem</w:t>
            </w:r>
            <w:proofErr w:type="spellEnd"/>
            <w:r w:rsidRPr="00074D0E">
              <w:rPr>
                <w:rFonts w:cs="Helvetica"/>
                <w:color w:val="333333"/>
                <w:shd w:val="clear" w:color="auto" w:fill="FFFFFF"/>
              </w:rPr>
              <w:t xml:space="preserve"> Manufacturing Company</w:t>
            </w:r>
          </w:p>
          <w:p w14:paraId="1C091FD5"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 xml:space="preserve">Trane Residential </w:t>
            </w:r>
          </w:p>
          <w:p w14:paraId="2516FC62" w14:textId="77777777" w:rsidR="003560E9" w:rsidRPr="00074D0E" w:rsidRDefault="003560E9" w:rsidP="00094BFF">
            <w:pPr>
              <w:rPr>
                <w:rFonts w:ascii="Calibri" w:eastAsia="Times New Roman" w:hAnsi="Calibri" w:cs="Times New Roman"/>
                <w:color w:val="000000"/>
              </w:rPr>
            </w:pPr>
          </w:p>
          <w:p w14:paraId="7DDCF272" w14:textId="77777777" w:rsidR="003560E9" w:rsidRPr="00074D0E" w:rsidRDefault="003560E9" w:rsidP="00094BFF">
            <w:pPr>
              <w:rPr>
                <w:rFonts w:ascii="Calibri" w:eastAsia="Times New Roman" w:hAnsi="Calibri" w:cs="Times New Roman"/>
                <w:color w:val="000000"/>
                <w:u w:val="single"/>
              </w:rPr>
            </w:pPr>
            <w:r w:rsidRPr="00074D0E">
              <w:rPr>
                <w:rFonts w:ascii="Calibri" w:eastAsia="Times New Roman" w:hAnsi="Calibri" w:cs="Times New Roman"/>
                <w:color w:val="000000"/>
                <w:u w:val="single"/>
              </w:rPr>
              <w:t>Additional Supporters</w:t>
            </w:r>
          </w:p>
          <w:p w14:paraId="204DFE1F" w14:textId="77777777" w:rsidR="003560E9" w:rsidRPr="00074D0E" w:rsidRDefault="003560E9" w:rsidP="003560E9">
            <w:pPr>
              <w:pStyle w:val="ListParagraph"/>
              <w:numPr>
                <w:ilvl w:val="0"/>
                <w:numId w:val="13"/>
              </w:numPr>
              <w:ind w:left="180" w:hanging="180"/>
              <w:rPr>
                <w:rFonts w:ascii="Calibri" w:eastAsia="Times New Roman" w:hAnsi="Calibri" w:cs="Times New Roman"/>
                <w:color w:val="000000"/>
              </w:rPr>
            </w:pPr>
            <w:r w:rsidRPr="00074D0E">
              <w:rPr>
                <w:rFonts w:ascii="Calibri" w:eastAsia="Times New Roman" w:hAnsi="Calibri" w:cs="Times New Roman"/>
                <w:color w:val="000000"/>
              </w:rPr>
              <w:t>Bonneville Power Administration</w:t>
            </w:r>
          </w:p>
          <w:p w14:paraId="6B1AA4BB" w14:textId="77777777" w:rsidR="003560E9" w:rsidRPr="00074D0E" w:rsidRDefault="003560E9" w:rsidP="003560E9">
            <w:pPr>
              <w:pStyle w:val="ListParagraph"/>
              <w:numPr>
                <w:ilvl w:val="0"/>
                <w:numId w:val="13"/>
              </w:numPr>
              <w:ind w:left="180" w:hanging="180"/>
              <w:rPr>
                <w:rFonts w:ascii="Calibri" w:eastAsia="Times New Roman" w:hAnsi="Calibri" w:cs="Times New Roman"/>
                <w:color w:val="000000"/>
              </w:rPr>
            </w:pPr>
            <w:r w:rsidRPr="00074D0E">
              <w:rPr>
                <w:rFonts w:ascii="Calibri" w:eastAsia="Times New Roman" w:hAnsi="Calibri" w:cs="Times New Roman"/>
                <w:color w:val="000000"/>
              </w:rPr>
              <w:t>Consumer Federation of America, National Consumer Law Center</w:t>
            </w:r>
          </w:p>
          <w:p w14:paraId="782E7FFC" w14:textId="77777777" w:rsidR="003560E9" w:rsidRPr="00074D0E" w:rsidRDefault="003560E9" w:rsidP="003560E9">
            <w:pPr>
              <w:pStyle w:val="ListParagraph"/>
              <w:numPr>
                <w:ilvl w:val="0"/>
                <w:numId w:val="13"/>
              </w:numPr>
              <w:ind w:left="180" w:hanging="180"/>
              <w:rPr>
                <w:rFonts w:ascii="Calibri" w:eastAsia="Times New Roman" w:hAnsi="Calibri" w:cs="Times New Roman"/>
                <w:color w:val="000000"/>
              </w:rPr>
            </w:pPr>
            <w:proofErr w:type="spellStart"/>
            <w:r w:rsidRPr="00074D0E">
              <w:rPr>
                <w:rFonts w:ascii="Calibri" w:eastAsia="Times New Roman" w:hAnsi="Calibri" w:cs="Times New Roman"/>
                <w:color w:val="000000"/>
              </w:rPr>
              <w:t>Earthjustice</w:t>
            </w:r>
            <w:proofErr w:type="spellEnd"/>
          </w:p>
          <w:p w14:paraId="2AF0CFAC" w14:textId="77777777" w:rsidR="003560E9" w:rsidRPr="00074D0E" w:rsidRDefault="003560E9" w:rsidP="003560E9">
            <w:pPr>
              <w:pStyle w:val="ListParagraph"/>
              <w:numPr>
                <w:ilvl w:val="0"/>
                <w:numId w:val="13"/>
              </w:numPr>
              <w:ind w:left="180" w:hanging="180"/>
              <w:rPr>
                <w:rFonts w:ascii="Calibri" w:eastAsia="Times New Roman" w:hAnsi="Calibri" w:cs="Times New Roman"/>
                <w:color w:val="000000"/>
              </w:rPr>
            </w:pPr>
            <w:r w:rsidRPr="00074D0E">
              <w:rPr>
                <w:rFonts w:ascii="Calibri" w:eastAsia="Times New Roman" w:hAnsi="Calibri" w:cs="Times New Roman"/>
                <w:color w:val="000000"/>
              </w:rPr>
              <w:t>Northwest Energy Efficiency</w:t>
            </w:r>
          </w:p>
          <w:p w14:paraId="735BCD54" w14:textId="77777777" w:rsidR="003560E9" w:rsidRPr="00074D0E" w:rsidRDefault="003560E9" w:rsidP="003560E9">
            <w:pPr>
              <w:pStyle w:val="ListParagraph"/>
              <w:numPr>
                <w:ilvl w:val="0"/>
                <w:numId w:val="13"/>
              </w:numPr>
              <w:ind w:left="180" w:hanging="180"/>
              <w:rPr>
                <w:rFonts w:ascii="Calibri" w:eastAsia="Times New Roman" w:hAnsi="Calibri" w:cs="Times New Roman"/>
                <w:color w:val="000000"/>
              </w:rPr>
            </w:pPr>
            <w:proofErr w:type="spellStart"/>
            <w:r w:rsidRPr="00074D0E">
              <w:rPr>
                <w:rFonts w:ascii="Calibri" w:eastAsia="Times New Roman" w:hAnsi="Calibri" w:cs="Times New Roman"/>
                <w:color w:val="000000"/>
              </w:rPr>
              <w:t>NationalGrid</w:t>
            </w:r>
            <w:proofErr w:type="spellEnd"/>
          </w:p>
          <w:p w14:paraId="23E0F32C" w14:textId="77777777" w:rsidR="003560E9" w:rsidRPr="00074D0E" w:rsidRDefault="003560E9" w:rsidP="003560E9">
            <w:pPr>
              <w:pStyle w:val="ListParagraph"/>
              <w:numPr>
                <w:ilvl w:val="0"/>
                <w:numId w:val="13"/>
              </w:numPr>
              <w:ind w:left="180" w:hanging="180"/>
              <w:rPr>
                <w:rFonts w:ascii="Calibri" w:eastAsia="Times New Roman" w:hAnsi="Calibri" w:cs="Times New Roman"/>
                <w:color w:val="000000"/>
              </w:rPr>
            </w:pPr>
            <w:r w:rsidRPr="00074D0E">
              <w:rPr>
                <w:rFonts w:ascii="Calibri" w:eastAsia="Times New Roman" w:hAnsi="Calibri" w:cs="Times New Roman"/>
                <w:color w:val="000000"/>
              </w:rPr>
              <w:t>Environment America</w:t>
            </w:r>
          </w:p>
          <w:p w14:paraId="07DDA8F1" w14:textId="77777777" w:rsidR="003560E9" w:rsidRPr="00074D0E" w:rsidRDefault="003560E9" w:rsidP="00094BFF">
            <w:pPr>
              <w:pStyle w:val="ListParagraph"/>
              <w:ind w:left="180"/>
            </w:pPr>
          </w:p>
        </w:tc>
        <w:tc>
          <w:tcPr>
            <w:tcW w:w="4788" w:type="dxa"/>
          </w:tcPr>
          <w:p w14:paraId="5DA6E3BD" w14:textId="77777777" w:rsidR="003560E9" w:rsidRPr="00074D0E" w:rsidRDefault="003560E9" w:rsidP="00094BFF">
            <w:pPr>
              <w:rPr>
                <w:rFonts w:ascii="Calibri" w:eastAsia="Times New Roman" w:hAnsi="Calibri" w:cs="Times New Roman"/>
                <w:color w:val="000000"/>
                <w:u w:val="single"/>
              </w:rPr>
            </w:pPr>
            <w:r w:rsidRPr="00074D0E">
              <w:rPr>
                <w:rFonts w:ascii="Calibri" w:eastAsia="Times New Roman" w:hAnsi="Calibri" w:cs="Times New Roman"/>
                <w:color w:val="000000"/>
                <w:u w:val="single"/>
              </w:rPr>
              <w:t>Key Opponents</w:t>
            </w:r>
          </w:p>
          <w:p w14:paraId="667BC0B8" w14:textId="77777777" w:rsidR="003560E9" w:rsidRPr="00074D0E" w:rsidRDefault="003560E9" w:rsidP="003560E9">
            <w:pPr>
              <w:pStyle w:val="ListParagraph"/>
              <w:numPr>
                <w:ilvl w:val="0"/>
                <w:numId w:val="12"/>
              </w:numPr>
              <w:ind w:left="180" w:hanging="180"/>
              <w:rPr>
                <w:rFonts w:ascii="Calibri" w:eastAsia="Times New Roman" w:hAnsi="Calibri" w:cs="Times New Roman"/>
                <w:color w:val="000000"/>
              </w:rPr>
            </w:pPr>
            <w:r w:rsidRPr="00074D0E">
              <w:rPr>
                <w:rFonts w:ascii="Calibri" w:eastAsia="Times New Roman" w:hAnsi="Calibri" w:cs="Times New Roman"/>
                <w:color w:val="000000"/>
              </w:rPr>
              <w:t>American Gas Association</w:t>
            </w:r>
          </w:p>
          <w:p w14:paraId="349D44BC" w14:textId="77777777" w:rsidR="003560E9" w:rsidRPr="00074D0E" w:rsidRDefault="003560E9" w:rsidP="003560E9">
            <w:pPr>
              <w:pStyle w:val="ListParagraph"/>
              <w:numPr>
                <w:ilvl w:val="0"/>
                <w:numId w:val="12"/>
              </w:numPr>
              <w:ind w:left="180" w:hanging="180"/>
              <w:rPr>
                <w:rFonts w:ascii="Calibri" w:eastAsia="Times New Roman" w:hAnsi="Calibri" w:cs="Times New Roman"/>
                <w:color w:val="000000"/>
              </w:rPr>
            </w:pPr>
            <w:r w:rsidRPr="00074D0E">
              <w:rPr>
                <w:rFonts w:ascii="Calibri" w:eastAsia="Times New Roman" w:hAnsi="Calibri" w:cs="Times New Roman"/>
                <w:color w:val="000000"/>
              </w:rPr>
              <w:t>American Public Gas Association</w:t>
            </w:r>
          </w:p>
          <w:p w14:paraId="1062BDBC" w14:textId="77777777" w:rsidR="003560E9" w:rsidRPr="00074D0E" w:rsidRDefault="003560E9" w:rsidP="003560E9">
            <w:pPr>
              <w:pStyle w:val="ListParagraph"/>
              <w:numPr>
                <w:ilvl w:val="0"/>
                <w:numId w:val="11"/>
              </w:numPr>
              <w:ind w:left="180" w:hanging="180"/>
            </w:pPr>
            <w:r w:rsidRPr="00074D0E">
              <w:t xml:space="preserve">Air Conditioning Contractors Association </w:t>
            </w:r>
          </w:p>
          <w:p w14:paraId="37159C2E" w14:textId="77777777" w:rsidR="003560E9" w:rsidRPr="00074D0E" w:rsidRDefault="003560E9" w:rsidP="003560E9">
            <w:pPr>
              <w:pStyle w:val="ListParagraph"/>
              <w:numPr>
                <w:ilvl w:val="0"/>
                <w:numId w:val="12"/>
              </w:numPr>
              <w:ind w:left="180" w:hanging="180"/>
              <w:rPr>
                <w:rFonts w:ascii="Calibri" w:eastAsia="Times New Roman" w:hAnsi="Calibri" w:cs="Times New Roman"/>
                <w:color w:val="000000"/>
              </w:rPr>
            </w:pPr>
            <w:r w:rsidRPr="00074D0E">
              <w:rPr>
                <w:rFonts w:ascii="Calibri" w:eastAsia="Times New Roman" w:hAnsi="Calibri" w:cs="Times New Roman"/>
                <w:color w:val="000000"/>
              </w:rPr>
              <w:t>National Propane Gas Association</w:t>
            </w:r>
          </w:p>
          <w:p w14:paraId="5315641B" w14:textId="77777777" w:rsidR="003560E9" w:rsidRPr="00074D0E" w:rsidRDefault="003560E9" w:rsidP="00094BFF"/>
          <w:p w14:paraId="76AE4003" w14:textId="77777777" w:rsidR="003560E9" w:rsidRPr="00074D0E" w:rsidRDefault="003560E9" w:rsidP="00094BFF">
            <w:pPr>
              <w:rPr>
                <w:u w:val="single"/>
              </w:rPr>
            </w:pPr>
            <w:r w:rsidRPr="00074D0E">
              <w:rPr>
                <w:u w:val="single"/>
              </w:rPr>
              <w:t>Other Opponents</w:t>
            </w:r>
          </w:p>
          <w:p w14:paraId="15DABBFD" w14:textId="77777777" w:rsidR="003560E9" w:rsidRPr="00074D0E" w:rsidRDefault="003560E9" w:rsidP="003560E9">
            <w:pPr>
              <w:pStyle w:val="ListParagraph"/>
              <w:numPr>
                <w:ilvl w:val="0"/>
                <w:numId w:val="11"/>
              </w:numPr>
              <w:ind w:left="180" w:hanging="180"/>
            </w:pPr>
            <w:r w:rsidRPr="00074D0E">
              <w:t>Alabama Gas Corporation</w:t>
            </w:r>
          </w:p>
          <w:p w14:paraId="036A86FF" w14:textId="77777777" w:rsidR="003560E9" w:rsidRPr="00074D0E" w:rsidRDefault="003560E9" w:rsidP="003560E9">
            <w:pPr>
              <w:pStyle w:val="ListParagraph"/>
              <w:numPr>
                <w:ilvl w:val="0"/>
                <w:numId w:val="11"/>
              </w:numPr>
              <w:ind w:left="180" w:hanging="180"/>
            </w:pPr>
            <w:r w:rsidRPr="00074D0E">
              <w:t>AGL Resources (Atlanta Gas Light, Chattanooga Gas, Elizabethtown Gas, Elkton Gas, Florida City Gas, Virginia Natural Gas)</w:t>
            </w:r>
          </w:p>
          <w:p w14:paraId="28C98CF3" w14:textId="77777777" w:rsidR="003560E9" w:rsidRPr="00074D0E" w:rsidRDefault="003560E9" w:rsidP="003560E9">
            <w:pPr>
              <w:pStyle w:val="ListParagraph"/>
              <w:numPr>
                <w:ilvl w:val="0"/>
                <w:numId w:val="11"/>
              </w:numPr>
              <w:ind w:left="180" w:hanging="180"/>
            </w:pPr>
            <w:proofErr w:type="spellStart"/>
            <w:r w:rsidRPr="00074D0E">
              <w:t>Atmos</w:t>
            </w:r>
            <w:proofErr w:type="spellEnd"/>
            <w:r w:rsidRPr="00074D0E">
              <w:t xml:space="preserve"> Energy (Dallas, TX)</w:t>
            </w:r>
          </w:p>
          <w:p w14:paraId="5731157A" w14:textId="77777777" w:rsidR="003560E9" w:rsidRPr="00074D0E" w:rsidRDefault="003560E9" w:rsidP="003560E9">
            <w:pPr>
              <w:pStyle w:val="ListParagraph"/>
              <w:numPr>
                <w:ilvl w:val="0"/>
                <w:numId w:val="11"/>
              </w:numPr>
              <w:ind w:left="180" w:hanging="180"/>
            </w:pPr>
            <w:proofErr w:type="spellStart"/>
            <w:r w:rsidRPr="00074D0E">
              <w:t>CenterPoint</w:t>
            </w:r>
            <w:proofErr w:type="spellEnd"/>
            <w:r w:rsidRPr="00074D0E">
              <w:t xml:space="preserve"> Energy (Minneapolis, MN)</w:t>
            </w:r>
          </w:p>
          <w:p w14:paraId="1111C2F0" w14:textId="77777777" w:rsidR="003560E9" w:rsidRPr="00074D0E" w:rsidRDefault="003560E9" w:rsidP="003560E9">
            <w:pPr>
              <w:pStyle w:val="ListParagraph"/>
              <w:numPr>
                <w:ilvl w:val="0"/>
                <w:numId w:val="11"/>
              </w:numPr>
              <w:ind w:left="180" w:hanging="180"/>
            </w:pPr>
            <w:proofErr w:type="spellStart"/>
            <w:r w:rsidRPr="00074D0E">
              <w:t>CGKoch</w:t>
            </w:r>
            <w:proofErr w:type="spellEnd"/>
            <w:r w:rsidRPr="00074D0E">
              <w:t xml:space="preserve"> Institute (Arlington, VA)</w:t>
            </w:r>
          </w:p>
          <w:p w14:paraId="71702DF4" w14:textId="77777777" w:rsidR="003560E9" w:rsidRPr="00074D0E" w:rsidRDefault="003560E9" w:rsidP="003560E9">
            <w:pPr>
              <w:pStyle w:val="ListParagraph"/>
              <w:numPr>
                <w:ilvl w:val="0"/>
                <w:numId w:val="11"/>
              </w:numPr>
              <w:ind w:left="180" w:hanging="180"/>
            </w:pPr>
            <w:r w:rsidRPr="00074D0E">
              <w:t>City Utilities of Springfield, MO</w:t>
            </w:r>
          </w:p>
          <w:p w14:paraId="779FCF64" w14:textId="77777777" w:rsidR="003560E9" w:rsidRPr="00074D0E" w:rsidRDefault="003560E9" w:rsidP="003560E9">
            <w:pPr>
              <w:pStyle w:val="ListParagraph"/>
              <w:numPr>
                <w:ilvl w:val="0"/>
                <w:numId w:val="11"/>
              </w:numPr>
              <w:ind w:left="180" w:hanging="180"/>
            </w:pPr>
            <w:r w:rsidRPr="00074D0E">
              <w:t>City of Chanute, KS</w:t>
            </w:r>
          </w:p>
          <w:p w14:paraId="48E422F1" w14:textId="77777777" w:rsidR="003560E9" w:rsidRPr="00074D0E" w:rsidRDefault="003560E9" w:rsidP="003560E9">
            <w:pPr>
              <w:pStyle w:val="ListParagraph"/>
              <w:numPr>
                <w:ilvl w:val="0"/>
                <w:numId w:val="11"/>
              </w:numPr>
              <w:ind w:left="180" w:hanging="180"/>
            </w:pPr>
            <w:r w:rsidRPr="00074D0E">
              <w:rPr>
                <w:rFonts w:ascii="Calibri" w:eastAsia="Times New Roman" w:hAnsi="Calibri" w:cs="Times New Roman"/>
                <w:color w:val="000000"/>
              </w:rPr>
              <w:t>Consolidated Edison of New York</w:t>
            </w:r>
            <w:r w:rsidRPr="00074D0E">
              <w:t xml:space="preserve"> </w:t>
            </w:r>
          </w:p>
          <w:p w14:paraId="731D5BE1" w14:textId="77777777" w:rsidR="003560E9" w:rsidRPr="00074D0E" w:rsidRDefault="003560E9" w:rsidP="003560E9">
            <w:pPr>
              <w:pStyle w:val="ListParagraph"/>
              <w:numPr>
                <w:ilvl w:val="0"/>
                <w:numId w:val="11"/>
              </w:numPr>
              <w:ind w:left="180" w:hanging="180"/>
            </w:pPr>
            <w:r w:rsidRPr="00074D0E">
              <w:t xml:space="preserve">Heating, </w:t>
            </w:r>
            <w:proofErr w:type="spellStart"/>
            <w:r w:rsidRPr="00074D0E">
              <w:t>Airconditioning</w:t>
            </w:r>
            <w:proofErr w:type="spellEnd"/>
            <w:r w:rsidRPr="00074D0E">
              <w:t>, and Refrigeration Distributors International (HARDI)</w:t>
            </w:r>
          </w:p>
          <w:p w14:paraId="485AA8E5" w14:textId="77777777" w:rsidR="003560E9" w:rsidRPr="00074D0E" w:rsidRDefault="003560E9" w:rsidP="003560E9">
            <w:pPr>
              <w:pStyle w:val="ListParagraph"/>
              <w:numPr>
                <w:ilvl w:val="0"/>
                <w:numId w:val="11"/>
              </w:numPr>
              <w:ind w:left="180" w:hanging="180"/>
            </w:pPr>
            <w:r w:rsidRPr="00074D0E">
              <w:t>Laclede Group (Missouri)</w:t>
            </w:r>
          </w:p>
          <w:p w14:paraId="590E313B" w14:textId="77777777" w:rsidR="003560E9" w:rsidRPr="00074D0E" w:rsidRDefault="003560E9" w:rsidP="003560E9">
            <w:pPr>
              <w:pStyle w:val="ListParagraph"/>
              <w:numPr>
                <w:ilvl w:val="0"/>
                <w:numId w:val="11"/>
              </w:numPr>
              <w:ind w:left="180" w:hanging="180"/>
            </w:pPr>
            <w:r w:rsidRPr="00074D0E">
              <w:t>Metropolitan Utilities District (Omaha, NE)</w:t>
            </w:r>
          </w:p>
          <w:p w14:paraId="10838EAF" w14:textId="77777777" w:rsidR="003560E9" w:rsidRPr="00074D0E" w:rsidRDefault="003560E9" w:rsidP="003560E9">
            <w:pPr>
              <w:pStyle w:val="ListParagraph"/>
              <w:numPr>
                <w:ilvl w:val="0"/>
                <w:numId w:val="11"/>
              </w:numPr>
              <w:ind w:left="180" w:hanging="180"/>
            </w:pPr>
            <w:r w:rsidRPr="00074D0E">
              <w:t>National Fuel Gas Distribution Corporation (western NY and NW Pennsylvania)</w:t>
            </w:r>
          </w:p>
          <w:p w14:paraId="220598C8" w14:textId="77777777" w:rsidR="003560E9" w:rsidRPr="00074D0E" w:rsidRDefault="003560E9" w:rsidP="003560E9">
            <w:pPr>
              <w:pStyle w:val="ListParagraph"/>
              <w:numPr>
                <w:ilvl w:val="0"/>
                <w:numId w:val="11"/>
              </w:numPr>
              <w:ind w:left="180" w:hanging="180"/>
            </w:pPr>
            <w:proofErr w:type="spellStart"/>
            <w:r w:rsidRPr="00074D0E">
              <w:rPr>
                <w:rFonts w:ascii="Calibri" w:eastAsia="Times New Roman" w:hAnsi="Calibri" w:cs="Times New Roman"/>
                <w:color w:val="000000"/>
              </w:rPr>
              <w:t>Nicor</w:t>
            </w:r>
            <w:proofErr w:type="spellEnd"/>
            <w:r w:rsidRPr="00074D0E">
              <w:rPr>
                <w:rFonts w:ascii="Calibri" w:eastAsia="Times New Roman" w:hAnsi="Calibri" w:cs="Times New Roman"/>
                <w:color w:val="000000"/>
              </w:rPr>
              <w:t xml:space="preserve"> Gas (Atlanta, GA)</w:t>
            </w:r>
          </w:p>
          <w:p w14:paraId="4BC2F5E4" w14:textId="77777777" w:rsidR="003560E9" w:rsidRPr="00074D0E" w:rsidRDefault="003560E9" w:rsidP="003560E9">
            <w:pPr>
              <w:pStyle w:val="ListParagraph"/>
              <w:numPr>
                <w:ilvl w:val="0"/>
                <w:numId w:val="11"/>
              </w:numPr>
              <w:ind w:left="180" w:hanging="180"/>
            </w:pPr>
            <w:r w:rsidRPr="00074D0E">
              <w:rPr>
                <w:rFonts w:ascii="Calibri" w:eastAsia="Times New Roman" w:hAnsi="Calibri" w:cs="Times New Roman"/>
                <w:color w:val="000000"/>
              </w:rPr>
              <w:t>NW Natural Gas (Portland, OR)</w:t>
            </w:r>
          </w:p>
          <w:p w14:paraId="115FFF60" w14:textId="77777777" w:rsidR="003560E9" w:rsidRPr="00074D0E" w:rsidRDefault="003560E9" w:rsidP="003560E9">
            <w:pPr>
              <w:pStyle w:val="ListParagraph"/>
              <w:numPr>
                <w:ilvl w:val="0"/>
                <w:numId w:val="11"/>
              </w:numPr>
              <w:ind w:left="180" w:hanging="180"/>
            </w:pPr>
            <w:r w:rsidRPr="00074D0E">
              <w:t>Philadelphia Gas Works</w:t>
            </w:r>
          </w:p>
          <w:p w14:paraId="2AD4CDA8" w14:textId="77777777" w:rsidR="003560E9" w:rsidRPr="00074D0E" w:rsidRDefault="003560E9" w:rsidP="003560E9">
            <w:pPr>
              <w:pStyle w:val="ListParagraph"/>
              <w:numPr>
                <w:ilvl w:val="0"/>
                <w:numId w:val="11"/>
              </w:numPr>
              <w:ind w:left="180" w:hanging="180"/>
            </w:pPr>
            <w:r w:rsidRPr="00074D0E">
              <w:t xml:space="preserve">Piedmont Natural </w:t>
            </w:r>
            <w:r w:rsidR="000B4066">
              <w:t>SoCalGas</w:t>
            </w:r>
            <w:r w:rsidRPr="00074D0E">
              <w:t xml:space="preserve"> (Dallas, TX)</w:t>
            </w:r>
          </w:p>
          <w:p w14:paraId="40E28052" w14:textId="77777777" w:rsidR="003560E9" w:rsidRPr="00074D0E" w:rsidRDefault="003560E9" w:rsidP="003560E9">
            <w:pPr>
              <w:pStyle w:val="ListParagraph"/>
              <w:numPr>
                <w:ilvl w:val="0"/>
                <w:numId w:val="11"/>
              </w:numPr>
              <w:ind w:left="180" w:hanging="180"/>
            </w:pPr>
            <w:proofErr w:type="spellStart"/>
            <w:r w:rsidRPr="00074D0E">
              <w:t>Questar</w:t>
            </w:r>
            <w:proofErr w:type="spellEnd"/>
            <w:r w:rsidRPr="00074D0E">
              <w:t xml:space="preserve"> Gas (Utah, SW Wyoming, and SE Idaho)</w:t>
            </w:r>
          </w:p>
          <w:p w14:paraId="4C619EE8" w14:textId="77777777" w:rsidR="003560E9" w:rsidRPr="00074D0E" w:rsidRDefault="003560E9" w:rsidP="003560E9">
            <w:pPr>
              <w:pStyle w:val="ListParagraph"/>
              <w:numPr>
                <w:ilvl w:val="0"/>
                <w:numId w:val="11"/>
              </w:numPr>
              <w:ind w:left="180" w:hanging="180"/>
            </w:pPr>
            <w:r w:rsidRPr="00074D0E">
              <w:t>UGI Distribution Companies (Gas Division, UGI Penn Natural Gas, UGI Central Penn Gas)</w:t>
            </w:r>
          </w:p>
          <w:p w14:paraId="581A114E" w14:textId="77777777" w:rsidR="003560E9" w:rsidRDefault="003560E9" w:rsidP="00094BFF">
            <w:pPr>
              <w:pStyle w:val="ListParagraph"/>
              <w:ind w:left="162"/>
            </w:pPr>
            <w:r w:rsidRPr="00074D0E">
              <w:t xml:space="preserve">U.S. Senators Chambliss and </w:t>
            </w:r>
            <w:proofErr w:type="spellStart"/>
            <w:r w:rsidRPr="00074D0E">
              <w:t>Landreiu</w:t>
            </w:r>
            <w:proofErr w:type="spellEnd"/>
            <w:r w:rsidRPr="00074D0E">
              <w:t xml:space="preserve"> (Senate Natural Gas Caucus Co-Chairs)</w:t>
            </w:r>
          </w:p>
          <w:p w14:paraId="7B16D42B" w14:textId="77777777" w:rsidR="003560E9" w:rsidRPr="00074D0E" w:rsidRDefault="003560E9" w:rsidP="00094BFF">
            <w:pPr>
              <w:pStyle w:val="ListParagraph"/>
              <w:ind w:left="162"/>
            </w:pPr>
          </w:p>
        </w:tc>
      </w:tr>
      <w:tr w:rsidR="003560E9" w:rsidRPr="00074D0E" w14:paraId="0F3115D3" w14:textId="77777777" w:rsidTr="00094BFF">
        <w:tc>
          <w:tcPr>
            <w:tcW w:w="9576" w:type="dxa"/>
            <w:gridSpan w:val="2"/>
          </w:tcPr>
          <w:p w14:paraId="7FEBABF7" w14:textId="77777777" w:rsidR="003560E9" w:rsidRPr="00074D0E" w:rsidRDefault="003560E9" w:rsidP="00094BFF">
            <w:pPr>
              <w:jc w:val="center"/>
            </w:pPr>
            <w:r w:rsidRPr="00074D0E">
              <w:rPr>
                <w:u w:val="single"/>
              </w:rPr>
              <w:t>Key Supporters</w:t>
            </w:r>
            <w:r>
              <w:rPr>
                <w:u w:val="single"/>
              </w:rPr>
              <w:t xml:space="preserve"> and Opponents of the 2015 </w:t>
            </w:r>
            <w:r w:rsidRPr="00074D0E">
              <w:rPr>
                <w:u w:val="single"/>
              </w:rPr>
              <w:t>92% AFUE</w:t>
            </w:r>
            <w:r>
              <w:rPr>
                <w:u w:val="single"/>
              </w:rPr>
              <w:t xml:space="preserve"> National Standard</w:t>
            </w:r>
          </w:p>
        </w:tc>
      </w:tr>
      <w:tr w:rsidR="003560E9" w:rsidRPr="00074D0E" w14:paraId="06CA8954" w14:textId="77777777" w:rsidTr="00094BFF">
        <w:tc>
          <w:tcPr>
            <w:tcW w:w="4788" w:type="dxa"/>
          </w:tcPr>
          <w:p w14:paraId="691EF320" w14:textId="77777777" w:rsidR="003560E9" w:rsidRPr="007742D0" w:rsidRDefault="003560E9" w:rsidP="00094BFF">
            <w:pPr>
              <w:pStyle w:val="ListParagraph"/>
              <w:ind w:left="0"/>
              <w:rPr>
                <w:rFonts w:cs="Helvetica"/>
                <w:color w:val="333333"/>
                <w:u w:val="single"/>
                <w:shd w:val="clear" w:color="auto" w:fill="FFFFFF"/>
              </w:rPr>
            </w:pPr>
            <w:r w:rsidRPr="007742D0">
              <w:rPr>
                <w:rFonts w:cs="Helvetica"/>
                <w:color w:val="333333"/>
                <w:u w:val="single"/>
                <w:shd w:val="clear" w:color="auto" w:fill="FFFFFF"/>
              </w:rPr>
              <w:t>Key Supporters</w:t>
            </w:r>
          </w:p>
          <w:p w14:paraId="63620AA9"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American Heating and Refrigeration Institute (AHRI)</w:t>
            </w:r>
          </w:p>
          <w:p w14:paraId="433FCEC9"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American Council for an Energy-Efficient Economy (ACEEE)</w:t>
            </w:r>
          </w:p>
          <w:p w14:paraId="01ECC340"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Alliance to Save Energy (ASE)</w:t>
            </w:r>
          </w:p>
          <w:p w14:paraId="730B13A3"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Natural Resources Defense Council (NRDC)</w:t>
            </w:r>
          </w:p>
          <w:p w14:paraId="0AFD4690" w14:textId="77777777" w:rsidR="003560E9" w:rsidRPr="00074D0E" w:rsidRDefault="003560E9" w:rsidP="003560E9">
            <w:pPr>
              <w:pStyle w:val="ListParagraph"/>
              <w:numPr>
                <w:ilvl w:val="0"/>
                <w:numId w:val="14"/>
              </w:numPr>
              <w:ind w:left="180" w:hanging="180"/>
              <w:rPr>
                <w:rFonts w:cs="Helvetica"/>
                <w:color w:val="333333"/>
                <w:shd w:val="clear" w:color="auto" w:fill="FFFFFF"/>
              </w:rPr>
            </w:pPr>
            <w:r w:rsidRPr="00074D0E">
              <w:rPr>
                <w:rFonts w:cs="Helvetica"/>
                <w:color w:val="333333"/>
                <w:shd w:val="clear" w:color="auto" w:fill="FFFFFF"/>
              </w:rPr>
              <w:t>Appliance Standard Awareness Project (ASAP)</w:t>
            </w:r>
          </w:p>
          <w:p w14:paraId="3188AD8C" w14:textId="77777777" w:rsidR="003560E9" w:rsidRPr="00074D0E" w:rsidRDefault="003560E9" w:rsidP="00094BFF">
            <w:pPr>
              <w:rPr>
                <w:rFonts w:ascii="Calibri" w:eastAsia="Times New Roman" w:hAnsi="Calibri" w:cs="Times New Roman"/>
                <w:color w:val="000000"/>
                <w:u w:val="single"/>
              </w:rPr>
            </w:pPr>
          </w:p>
        </w:tc>
        <w:tc>
          <w:tcPr>
            <w:tcW w:w="4788" w:type="dxa"/>
          </w:tcPr>
          <w:p w14:paraId="6376A647" w14:textId="77777777" w:rsidR="003560E9" w:rsidRPr="00074D0E" w:rsidRDefault="003560E9" w:rsidP="00094BFF">
            <w:pPr>
              <w:rPr>
                <w:u w:val="single"/>
              </w:rPr>
            </w:pPr>
            <w:r w:rsidRPr="00074D0E">
              <w:rPr>
                <w:u w:val="single"/>
              </w:rPr>
              <w:t>Key Opponents</w:t>
            </w:r>
          </w:p>
          <w:p w14:paraId="59D5EA80" w14:textId="77777777" w:rsidR="003560E9" w:rsidRPr="00074D0E" w:rsidRDefault="003560E9" w:rsidP="003560E9">
            <w:pPr>
              <w:pStyle w:val="ListParagraph"/>
              <w:numPr>
                <w:ilvl w:val="0"/>
                <w:numId w:val="15"/>
              </w:numPr>
              <w:ind w:left="162" w:hanging="162"/>
            </w:pPr>
            <w:r w:rsidRPr="00074D0E">
              <w:t>American Gas Association</w:t>
            </w:r>
          </w:p>
          <w:p w14:paraId="7E92223D" w14:textId="77777777" w:rsidR="003560E9" w:rsidRPr="00074D0E" w:rsidRDefault="003560E9" w:rsidP="003560E9">
            <w:pPr>
              <w:pStyle w:val="ListParagraph"/>
              <w:numPr>
                <w:ilvl w:val="0"/>
                <w:numId w:val="15"/>
              </w:numPr>
              <w:ind w:left="162" w:hanging="162"/>
            </w:pPr>
            <w:r w:rsidRPr="00074D0E">
              <w:t>American Public Gas Association</w:t>
            </w:r>
          </w:p>
          <w:p w14:paraId="47387406" w14:textId="77777777" w:rsidR="003560E9" w:rsidRDefault="003560E9" w:rsidP="003560E9">
            <w:pPr>
              <w:pStyle w:val="ListParagraph"/>
              <w:numPr>
                <w:ilvl w:val="0"/>
                <w:numId w:val="15"/>
              </w:numPr>
              <w:ind w:left="162" w:hanging="162"/>
            </w:pPr>
            <w:r w:rsidRPr="00074D0E">
              <w:t>Laclede Group (Missouri)</w:t>
            </w:r>
          </w:p>
          <w:p w14:paraId="5BC7D961" w14:textId="77777777" w:rsidR="003560E9" w:rsidRDefault="003560E9" w:rsidP="00094BFF">
            <w:r w:rsidRPr="00074D0E">
              <w:t>Philadelphia Gas Works</w:t>
            </w:r>
          </w:p>
          <w:p w14:paraId="1CEB37DB" w14:textId="77777777" w:rsidR="003560E9" w:rsidRPr="00074D0E" w:rsidRDefault="003560E9" w:rsidP="00094BFF">
            <w:pPr>
              <w:rPr>
                <w:u w:val="single"/>
              </w:rPr>
            </w:pPr>
          </w:p>
        </w:tc>
      </w:tr>
      <w:tr w:rsidR="003560E9" w:rsidRPr="00074D0E" w14:paraId="388A9CEB" w14:textId="77777777" w:rsidTr="00094BFF">
        <w:tc>
          <w:tcPr>
            <w:tcW w:w="4788" w:type="dxa"/>
          </w:tcPr>
          <w:p w14:paraId="23031AE8" w14:textId="77777777" w:rsidR="003560E9" w:rsidRPr="007742D0" w:rsidRDefault="003560E9" w:rsidP="00094BFF">
            <w:pPr>
              <w:pStyle w:val="ListParagraph"/>
              <w:ind w:left="0"/>
              <w:rPr>
                <w:rFonts w:cs="Helvetica"/>
                <w:color w:val="333333"/>
                <w:u w:val="single"/>
                <w:shd w:val="clear" w:color="auto" w:fill="FFFFFF"/>
              </w:rPr>
            </w:pPr>
          </w:p>
        </w:tc>
        <w:tc>
          <w:tcPr>
            <w:tcW w:w="4788" w:type="dxa"/>
          </w:tcPr>
          <w:p w14:paraId="492C0362" w14:textId="77777777" w:rsidR="003560E9" w:rsidRPr="00074D0E" w:rsidRDefault="003560E9" w:rsidP="00094BFF">
            <w:pPr>
              <w:rPr>
                <w:u w:val="single"/>
              </w:rPr>
            </w:pPr>
          </w:p>
        </w:tc>
      </w:tr>
    </w:tbl>
    <w:p w14:paraId="38B2C6CD" w14:textId="77777777" w:rsidR="00074D0E" w:rsidRDefault="00074D0E" w:rsidP="00074D0E">
      <w:pPr>
        <w:pStyle w:val="ListParagraph"/>
        <w:spacing w:after="0" w:line="240" w:lineRule="auto"/>
        <w:ind w:left="0"/>
        <w:rPr>
          <w:b/>
          <w:sz w:val="24"/>
          <w:szCs w:val="24"/>
        </w:rPr>
      </w:pPr>
      <w:r>
        <w:rPr>
          <w:b/>
          <w:sz w:val="24"/>
          <w:szCs w:val="24"/>
        </w:rPr>
        <w:t>Appendix D DOE Criticism in 2011 and 2015</w:t>
      </w:r>
    </w:p>
    <w:p w14:paraId="3D8181BC" w14:textId="77777777" w:rsidR="00074D0E" w:rsidRPr="00074D0E" w:rsidRDefault="00074D0E" w:rsidP="00074D0E">
      <w:pPr>
        <w:pStyle w:val="ListParagraph"/>
        <w:spacing w:after="0" w:line="240" w:lineRule="auto"/>
        <w:ind w:left="0"/>
        <w:rPr>
          <w:sz w:val="24"/>
          <w:szCs w:val="24"/>
        </w:rPr>
      </w:pPr>
    </w:p>
    <w:tbl>
      <w:tblPr>
        <w:tblStyle w:val="TableGrid"/>
        <w:tblW w:w="0" w:type="auto"/>
        <w:tblLook w:val="04A0" w:firstRow="1" w:lastRow="0" w:firstColumn="1" w:lastColumn="0" w:noHBand="0" w:noVBand="1"/>
      </w:tblPr>
      <w:tblGrid>
        <w:gridCol w:w="4788"/>
        <w:gridCol w:w="4788"/>
      </w:tblGrid>
      <w:tr w:rsidR="00074D0E" w:rsidRPr="00FB639C" w14:paraId="3727379C" w14:textId="77777777" w:rsidTr="00094BFF">
        <w:tc>
          <w:tcPr>
            <w:tcW w:w="9576" w:type="dxa"/>
            <w:gridSpan w:val="2"/>
          </w:tcPr>
          <w:p w14:paraId="2C5AEC47" w14:textId="77777777" w:rsidR="00074D0E" w:rsidRPr="00126F0A" w:rsidRDefault="00074D0E" w:rsidP="00094BFF">
            <w:pPr>
              <w:jc w:val="center"/>
              <w:rPr>
                <w:b/>
              </w:rPr>
            </w:pPr>
            <w:r w:rsidRPr="00126F0A">
              <w:rPr>
                <w:b/>
              </w:rPr>
              <w:t>The Department of Energy Rulemaking Process</w:t>
            </w:r>
          </w:p>
        </w:tc>
      </w:tr>
      <w:tr w:rsidR="00074D0E" w14:paraId="75C38583" w14:textId="77777777" w:rsidTr="00094BFF">
        <w:tc>
          <w:tcPr>
            <w:tcW w:w="4788" w:type="dxa"/>
          </w:tcPr>
          <w:p w14:paraId="768D3103" w14:textId="77777777" w:rsidR="00074D0E" w:rsidRPr="00CD6DE1" w:rsidRDefault="00074D0E" w:rsidP="00094BFF">
            <w:pPr>
              <w:rPr>
                <w:rFonts w:ascii="Calibri" w:eastAsia="Times New Roman" w:hAnsi="Calibri" w:cs="Times New Roman"/>
                <w:color w:val="000000"/>
              </w:rPr>
            </w:pPr>
            <w:r>
              <w:rPr>
                <w:rFonts w:ascii="Calibri" w:eastAsia="Times New Roman" w:hAnsi="Calibri" w:cs="Times New Roman"/>
                <w:color w:val="000000"/>
              </w:rPr>
              <w:t>Stakeholder comments concerning DOE:</w:t>
            </w:r>
          </w:p>
          <w:p w14:paraId="219E3C06" w14:textId="77777777" w:rsidR="00074D0E" w:rsidRPr="00EE3DB1" w:rsidRDefault="00074D0E" w:rsidP="00094BFF">
            <w:pPr>
              <w:pStyle w:val="ListParagraph"/>
              <w:numPr>
                <w:ilvl w:val="0"/>
                <w:numId w:val="10"/>
              </w:numPr>
              <w:ind w:left="450"/>
              <w:rPr>
                <w:rFonts w:ascii="Calibri" w:eastAsia="Times New Roman" w:hAnsi="Calibri" w:cs="Times New Roman"/>
                <w:color w:val="000000"/>
              </w:rPr>
            </w:pPr>
            <w:r>
              <w:rPr>
                <w:rFonts w:ascii="Calibri" w:eastAsia="Times New Roman" w:hAnsi="Calibri" w:cs="Times New Roman"/>
                <w:color w:val="000000"/>
              </w:rPr>
              <w:t>DOE did</w:t>
            </w:r>
            <w:r w:rsidRPr="00EE3DB1">
              <w:rPr>
                <w:rFonts w:ascii="Calibri" w:eastAsia="Times New Roman" w:hAnsi="Calibri" w:cs="Times New Roman"/>
                <w:color w:val="000000"/>
              </w:rPr>
              <w:t xml:space="preserve"> not define the enforcement roles and responsibilities under the Direct Final Rule</w:t>
            </w:r>
            <w:r>
              <w:rPr>
                <w:rFonts w:ascii="Calibri" w:eastAsia="Times New Roman" w:hAnsi="Calibri" w:cs="Times New Roman"/>
                <w:color w:val="000000"/>
              </w:rPr>
              <w:t>, nor did</w:t>
            </w:r>
            <w:r w:rsidRPr="00EE3DB1">
              <w:rPr>
                <w:rFonts w:ascii="Calibri" w:eastAsia="Times New Roman" w:hAnsi="Calibri" w:cs="Times New Roman"/>
                <w:color w:val="000000"/>
              </w:rPr>
              <w:t xml:space="preserve"> it analyze the economic burden </w:t>
            </w:r>
            <w:r>
              <w:rPr>
                <w:rFonts w:ascii="Calibri" w:eastAsia="Times New Roman" w:hAnsi="Calibri" w:cs="Times New Roman"/>
                <w:color w:val="000000"/>
              </w:rPr>
              <w:t xml:space="preserve">imposed by the </w:t>
            </w:r>
            <w:r w:rsidRPr="00EE3DB1">
              <w:rPr>
                <w:rFonts w:ascii="Calibri" w:eastAsia="Times New Roman" w:hAnsi="Calibri" w:cs="Times New Roman"/>
                <w:color w:val="000000"/>
              </w:rPr>
              <w:t>enforcement of regional standards.</w:t>
            </w:r>
          </w:p>
          <w:p w14:paraId="4E717670" w14:textId="77777777" w:rsidR="00074D0E" w:rsidRPr="00EE3DB1" w:rsidRDefault="00074D0E" w:rsidP="00094BFF">
            <w:pPr>
              <w:pStyle w:val="ListParagraph"/>
              <w:numPr>
                <w:ilvl w:val="0"/>
                <w:numId w:val="10"/>
              </w:numPr>
              <w:ind w:left="450"/>
              <w:rPr>
                <w:rFonts w:ascii="Calibri" w:eastAsia="Times New Roman" w:hAnsi="Calibri" w:cs="Times New Roman"/>
                <w:color w:val="000000"/>
              </w:rPr>
            </w:pPr>
            <w:r>
              <w:rPr>
                <w:rFonts w:ascii="Calibri" w:eastAsia="Times New Roman" w:hAnsi="Calibri" w:cs="Times New Roman"/>
                <w:color w:val="000000"/>
              </w:rPr>
              <w:t xml:space="preserve">DOE </w:t>
            </w:r>
            <w:r w:rsidRPr="00EE3DB1">
              <w:rPr>
                <w:rFonts w:ascii="Calibri" w:eastAsia="Times New Roman" w:hAnsi="Calibri" w:cs="Times New Roman"/>
                <w:color w:val="000000"/>
              </w:rPr>
              <w:t xml:space="preserve">data </w:t>
            </w:r>
            <w:r>
              <w:rPr>
                <w:rFonts w:ascii="Calibri" w:eastAsia="Times New Roman" w:hAnsi="Calibri" w:cs="Times New Roman"/>
                <w:color w:val="000000"/>
              </w:rPr>
              <w:t>fields were</w:t>
            </w:r>
            <w:r w:rsidRPr="00EE3DB1">
              <w:rPr>
                <w:rFonts w:ascii="Calibri" w:eastAsia="Times New Roman" w:hAnsi="Calibri" w:cs="Times New Roman"/>
                <w:color w:val="000000"/>
              </w:rPr>
              <w:t xml:space="preserve"> unrealistically high in some cases and unrealistically low in others. </w:t>
            </w:r>
          </w:p>
          <w:p w14:paraId="71D992BB" w14:textId="77777777" w:rsidR="00074D0E" w:rsidRPr="00EE3DB1" w:rsidRDefault="00074D0E" w:rsidP="00094BFF">
            <w:pPr>
              <w:pStyle w:val="ListParagraph"/>
              <w:numPr>
                <w:ilvl w:val="0"/>
                <w:numId w:val="10"/>
              </w:numPr>
              <w:ind w:left="450"/>
              <w:rPr>
                <w:rFonts w:ascii="Calibri" w:eastAsia="Times New Roman" w:hAnsi="Calibri" w:cs="Times New Roman"/>
                <w:color w:val="000000"/>
              </w:rPr>
            </w:pPr>
            <w:r>
              <w:rPr>
                <w:rFonts w:ascii="Calibri" w:eastAsia="Times New Roman" w:hAnsi="Calibri" w:cs="Times New Roman"/>
                <w:color w:val="000000"/>
              </w:rPr>
              <w:t>DOE e</w:t>
            </w:r>
            <w:r w:rsidRPr="00EE3DB1">
              <w:rPr>
                <w:rFonts w:ascii="Calibri" w:eastAsia="Times New Roman" w:hAnsi="Calibri" w:cs="Times New Roman"/>
                <w:color w:val="000000"/>
              </w:rPr>
              <w:t>rr</w:t>
            </w:r>
            <w:r>
              <w:rPr>
                <w:rFonts w:ascii="Calibri" w:eastAsia="Times New Roman" w:hAnsi="Calibri" w:cs="Times New Roman"/>
                <w:color w:val="000000"/>
              </w:rPr>
              <w:t>ed</w:t>
            </w:r>
            <w:r w:rsidRPr="00EE3DB1">
              <w:rPr>
                <w:rFonts w:ascii="Calibri" w:eastAsia="Times New Roman" w:hAnsi="Calibri" w:cs="Times New Roman"/>
                <w:color w:val="000000"/>
              </w:rPr>
              <w:t xml:space="preserve"> by using t</w:t>
            </w:r>
            <w:r>
              <w:rPr>
                <w:rFonts w:ascii="Calibri" w:eastAsia="Times New Roman" w:hAnsi="Calibri" w:cs="Times New Roman"/>
                <w:color w:val="000000"/>
              </w:rPr>
              <w:t>he Direct Final R</w:t>
            </w:r>
            <w:r w:rsidRPr="00EE3DB1">
              <w:rPr>
                <w:rFonts w:ascii="Calibri" w:eastAsia="Times New Roman" w:hAnsi="Calibri" w:cs="Times New Roman"/>
                <w:color w:val="000000"/>
              </w:rPr>
              <w:t>ule</w:t>
            </w:r>
            <w:r>
              <w:rPr>
                <w:rFonts w:ascii="Calibri" w:eastAsia="Times New Roman" w:hAnsi="Calibri" w:cs="Times New Roman"/>
                <w:color w:val="000000"/>
              </w:rPr>
              <w:t xml:space="preserve"> (DFR)—essentially a procedural shortcut process—t</w:t>
            </w:r>
            <w:r w:rsidRPr="00EE3DB1">
              <w:rPr>
                <w:rFonts w:ascii="Calibri" w:eastAsia="Times New Roman" w:hAnsi="Calibri" w:cs="Times New Roman"/>
                <w:color w:val="000000"/>
              </w:rPr>
              <w:t>o promulgate a final rule.  DOE knew that the joint statement upon which it based the DFR was not a consensus</w:t>
            </w:r>
            <w:r>
              <w:rPr>
                <w:rFonts w:ascii="Calibri" w:eastAsia="Times New Roman" w:hAnsi="Calibri" w:cs="Times New Roman"/>
                <w:color w:val="000000"/>
              </w:rPr>
              <w:t>-based</w:t>
            </w:r>
            <w:r w:rsidRPr="00EE3DB1">
              <w:rPr>
                <w:rFonts w:ascii="Calibri" w:eastAsia="Times New Roman" w:hAnsi="Calibri" w:cs="Times New Roman"/>
                <w:color w:val="000000"/>
              </w:rPr>
              <w:t xml:space="preserve"> document of all (or even most) relevant sectors of the industry.</w:t>
            </w:r>
          </w:p>
          <w:p w14:paraId="42DF0D4A" w14:textId="77777777" w:rsidR="00074D0E" w:rsidRDefault="00074D0E" w:rsidP="00094BFF">
            <w:pPr>
              <w:pStyle w:val="ListParagraph"/>
              <w:numPr>
                <w:ilvl w:val="0"/>
                <w:numId w:val="10"/>
              </w:numPr>
              <w:ind w:left="450"/>
            </w:pPr>
            <w:r>
              <w:rPr>
                <w:rFonts w:ascii="Calibri" w:eastAsia="Times New Roman" w:hAnsi="Calibri" w:cs="Times New Roman"/>
                <w:color w:val="000000"/>
              </w:rPr>
              <w:t xml:space="preserve">DOE was criticized for having </w:t>
            </w:r>
            <w:r w:rsidRPr="00CD6DE1">
              <w:rPr>
                <w:rFonts w:ascii="Calibri" w:eastAsia="Times New Roman" w:hAnsi="Calibri" w:cs="Times New Roman"/>
                <w:color w:val="000000"/>
              </w:rPr>
              <w:t>significant flaws in its appro</w:t>
            </w:r>
            <w:r>
              <w:rPr>
                <w:rFonts w:ascii="Calibri" w:eastAsia="Times New Roman" w:hAnsi="Calibri" w:cs="Times New Roman"/>
                <w:color w:val="000000"/>
              </w:rPr>
              <w:t xml:space="preserve">ach, methodology and analyses. </w:t>
            </w:r>
          </w:p>
        </w:tc>
        <w:tc>
          <w:tcPr>
            <w:tcW w:w="4788" w:type="dxa"/>
          </w:tcPr>
          <w:p w14:paraId="020DA561" w14:textId="77777777" w:rsidR="00074D0E" w:rsidRDefault="00074D0E" w:rsidP="006A625C">
            <w:pPr>
              <w:tabs>
                <w:tab w:val="left" w:pos="1017"/>
              </w:tabs>
            </w:pPr>
            <w:r>
              <w:t>Recent (2015) stakeholder comments concerning DOE:</w:t>
            </w:r>
          </w:p>
          <w:p w14:paraId="608E3761" w14:textId="77777777" w:rsidR="00074D0E" w:rsidRDefault="00074D0E" w:rsidP="00094BFF">
            <w:pPr>
              <w:pStyle w:val="ListParagraph"/>
              <w:numPr>
                <w:ilvl w:val="0"/>
                <w:numId w:val="9"/>
              </w:numPr>
            </w:pPr>
            <w:r>
              <w:t>DOE underestimates the adverse impacts of fuel switching.</w:t>
            </w:r>
          </w:p>
          <w:p w14:paraId="4AEF6679" w14:textId="77777777" w:rsidR="00074D0E" w:rsidRDefault="00074D0E" w:rsidP="00094BFF">
            <w:pPr>
              <w:pStyle w:val="ListParagraph"/>
              <w:numPr>
                <w:ilvl w:val="0"/>
                <w:numId w:val="9"/>
              </w:numPr>
            </w:pPr>
            <w:r>
              <w:t xml:space="preserve">DOE overestimates product lifetime (21.5 years, instead of closer to 16 years). </w:t>
            </w:r>
          </w:p>
          <w:p w14:paraId="5D3AFF74" w14:textId="77777777" w:rsidR="00074D0E" w:rsidRDefault="00074D0E" w:rsidP="00094BFF">
            <w:pPr>
              <w:pStyle w:val="ListParagraph"/>
              <w:numPr>
                <w:ilvl w:val="0"/>
                <w:numId w:val="9"/>
              </w:numPr>
            </w:pPr>
            <w:r>
              <w:t>DOE overestimates the size of the affected market, this making the cost-benefit analysis look for “rosy.”</w:t>
            </w:r>
          </w:p>
          <w:p w14:paraId="3B66FAA1" w14:textId="77777777" w:rsidR="00074D0E" w:rsidRDefault="00074D0E" w:rsidP="00094BFF">
            <w:pPr>
              <w:pStyle w:val="ListParagraph"/>
              <w:numPr>
                <w:ilvl w:val="0"/>
                <w:numId w:val="9"/>
              </w:numPr>
            </w:pPr>
            <w:r>
              <w:t xml:space="preserve">DOE uses unexplained and inconsistent installation costs in its Life Cycle Costs (LCC) analysis. </w:t>
            </w:r>
          </w:p>
          <w:p w14:paraId="78A9C522" w14:textId="77777777" w:rsidR="00074D0E" w:rsidRDefault="00074D0E" w:rsidP="00094BFF">
            <w:pPr>
              <w:pStyle w:val="ListParagraph"/>
              <w:numPr>
                <w:ilvl w:val="0"/>
                <w:numId w:val="9"/>
              </w:numPr>
            </w:pPr>
            <w:r>
              <w:t>DOE uses unexplained and inconsistent payback criteria in its Life Cycle Cost analysis.</w:t>
            </w:r>
          </w:p>
          <w:p w14:paraId="23FC909B" w14:textId="77777777" w:rsidR="00074D0E" w:rsidRDefault="00074D0E" w:rsidP="00094BFF">
            <w:pPr>
              <w:pStyle w:val="ListParagraph"/>
              <w:numPr>
                <w:ilvl w:val="0"/>
                <w:numId w:val="9"/>
              </w:numPr>
            </w:pPr>
            <w:r>
              <w:t>DOE errs in not considering the performance characteristics of (lower efficiency) non-condensing furnaces.</w:t>
            </w:r>
          </w:p>
          <w:p w14:paraId="2B44497A" w14:textId="77777777" w:rsidR="00074D0E" w:rsidRDefault="00074D0E" w:rsidP="00094BFF"/>
        </w:tc>
      </w:tr>
    </w:tbl>
    <w:p w14:paraId="68E5FBA2" w14:textId="77777777" w:rsidR="00074D0E" w:rsidRPr="00074D0E" w:rsidRDefault="00074D0E" w:rsidP="00074D0E">
      <w:pPr>
        <w:pStyle w:val="ListParagraph"/>
        <w:spacing w:after="0" w:line="240" w:lineRule="auto"/>
        <w:ind w:left="0"/>
        <w:rPr>
          <w:sz w:val="24"/>
          <w:szCs w:val="24"/>
        </w:rPr>
      </w:pPr>
    </w:p>
    <w:p w14:paraId="59F3583B" w14:textId="77777777" w:rsidR="00D43968" w:rsidRDefault="00D43968">
      <w:pPr>
        <w:rPr>
          <w:sz w:val="24"/>
          <w:szCs w:val="24"/>
        </w:rPr>
      </w:pPr>
    </w:p>
    <w:p w14:paraId="678CBC3A" w14:textId="77777777" w:rsidR="002A5A10" w:rsidRDefault="002A5A10">
      <w:pPr>
        <w:rPr>
          <w:b/>
          <w:sz w:val="24"/>
          <w:szCs w:val="24"/>
        </w:rPr>
      </w:pPr>
      <w:r>
        <w:rPr>
          <w:b/>
          <w:sz w:val="24"/>
          <w:szCs w:val="24"/>
        </w:rPr>
        <w:br w:type="page"/>
      </w:r>
    </w:p>
    <w:p w14:paraId="1D1DF362" w14:textId="77777777" w:rsidR="00D43968" w:rsidRPr="002A5A10" w:rsidRDefault="00D43968">
      <w:pPr>
        <w:rPr>
          <w:b/>
          <w:sz w:val="24"/>
          <w:szCs w:val="24"/>
        </w:rPr>
      </w:pPr>
      <w:proofErr w:type="gramStart"/>
      <w:r w:rsidRPr="002A5A10">
        <w:rPr>
          <w:b/>
          <w:sz w:val="24"/>
          <w:szCs w:val="24"/>
        </w:rPr>
        <w:lastRenderedPageBreak/>
        <w:t>Appendix E.</w:t>
      </w:r>
      <w:proofErr w:type="gramEnd"/>
      <w:r w:rsidRPr="002A5A10">
        <w:rPr>
          <w:b/>
          <w:sz w:val="24"/>
          <w:szCs w:val="24"/>
        </w:rPr>
        <w:t xml:space="preserve">  Makeup of Residential Furnace Market</w:t>
      </w:r>
    </w:p>
    <w:p w14:paraId="210EC92D" w14:textId="77777777" w:rsidR="00D43968" w:rsidRDefault="00456BD1" w:rsidP="00D43968">
      <w:r>
        <w:rPr>
          <w:noProof/>
        </w:rPr>
        <mc:AlternateContent>
          <mc:Choice Requires="wps">
            <w:drawing>
              <wp:anchor distT="45720" distB="45720" distL="114300" distR="114300" simplePos="0" relativeHeight="251661312" behindDoc="0" locked="0" layoutInCell="1" allowOverlap="1" wp14:anchorId="7CDD6446" wp14:editId="545CD6F3">
                <wp:simplePos x="0" y="0"/>
                <wp:positionH relativeFrom="column">
                  <wp:posOffset>5535295</wp:posOffset>
                </wp:positionH>
                <wp:positionV relativeFrom="paragraph">
                  <wp:posOffset>1073150</wp:posOffset>
                </wp:positionV>
                <wp:extent cx="826935" cy="691763"/>
                <wp:effectExtent l="0" t="0" r="1143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35" cy="691763"/>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5C6B6C62" w14:textId="77777777" w:rsidR="00D83A66" w:rsidRPr="0066419D" w:rsidRDefault="00D83A66">
                            <w:pPr>
                              <w:rPr>
                                <w:sz w:val="16"/>
                              </w:rPr>
                            </w:pPr>
                            <w:r>
                              <w:rPr>
                                <w:sz w:val="16"/>
                              </w:rPr>
                              <w:t>US</w:t>
                            </w:r>
                            <w:r w:rsidRPr="0066419D">
                              <w:rPr>
                                <w:sz w:val="16"/>
                              </w:rPr>
                              <w:t xml:space="preserve"> EIA – Energy I</w:t>
                            </w:r>
                            <w:r>
                              <w:rPr>
                                <w:sz w:val="16"/>
                              </w:rPr>
                              <w:t>nformation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85pt;margin-top:84.5pt;width:65.1pt;height:5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" fillcolor="white [3201]" strokecolor="#4f81bd [3204]">
                <v:textbox>
                  <w:txbxContent>
                    <w:p w14:paraId="5C6B6C62" w14:textId="77777777" w:rsidR="00D83A66" w:rsidRPr="0066419D" w:rsidRDefault="00D83A66">
                      <w:pPr>
                        <w:rPr>
                          <w:sz w:val="16"/>
                        </w:rPr>
                      </w:pPr>
                      <w:r>
                        <w:rPr>
                          <w:sz w:val="16"/>
                        </w:rPr>
                        <w:t>US</w:t>
                      </w:r>
                      <w:r w:rsidRPr="0066419D">
                        <w:rPr>
                          <w:sz w:val="16"/>
                        </w:rPr>
                        <w:t xml:space="preserve"> EIA – Energy I</w:t>
                      </w:r>
                      <w:r>
                        <w:rPr>
                          <w:sz w:val="16"/>
                        </w:rPr>
                        <w:t>nformation Administration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8AF1C7F" wp14:editId="40E4DD0C">
                <wp:simplePos x="0" y="0"/>
                <wp:positionH relativeFrom="column">
                  <wp:posOffset>3638550</wp:posOffset>
                </wp:positionH>
                <wp:positionV relativeFrom="paragraph">
                  <wp:posOffset>1202055</wp:posOffset>
                </wp:positionV>
                <wp:extent cx="1590675" cy="838200"/>
                <wp:effectExtent l="19050" t="19050" r="333375" b="38100"/>
                <wp:wrapNone/>
                <wp:docPr id="10" name="Oval Callout 10"/>
                <wp:cNvGraphicFramePr/>
                <a:graphic xmlns:a="http://schemas.openxmlformats.org/drawingml/2006/main">
                  <a:graphicData uri="http://schemas.microsoft.com/office/word/2010/wordprocessingShape">
                    <wps:wsp>
                      <wps:cNvSpPr/>
                      <wps:spPr>
                        <a:xfrm>
                          <a:off x="0" y="0"/>
                          <a:ext cx="1590675" cy="838200"/>
                        </a:xfrm>
                        <a:prstGeom prst="wedgeEllipseCallout">
                          <a:avLst>
                            <a:gd name="adj1" fmla="val 68675"/>
                            <a:gd name="adj2" fmla="val -28721"/>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00954E3" w14:textId="77777777" w:rsidR="00D83A66" w:rsidRDefault="00D83A66" w:rsidP="00BF4C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7" type="#_x0000_t63" style="position:absolute;margin-left:286.5pt;margin-top:94.65pt;width:125.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" adj="25634,4596" filled="f" strokecolor="#243f60 [1604]">
                <v:textbox>
                  <w:txbxContent>
                    <w:p w14:paraId="000954E3" w14:textId="77777777" w:rsidR="00D83A66" w:rsidRDefault="00D83A66" w:rsidP="00BF4C94">
                      <w:pPr>
                        <w:jc w:val="center"/>
                      </w:pPr>
                    </w:p>
                  </w:txbxContent>
                </v:textbox>
              </v:shape>
            </w:pict>
          </mc:Fallback>
        </mc:AlternateContent>
      </w:r>
      <w:r w:rsidR="00D43968">
        <w:rPr>
          <w:noProof/>
        </w:rPr>
        <w:drawing>
          <wp:inline distT="0" distB="0" distL="0" distR="0" wp14:anchorId="2700F5F2" wp14:editId="6AE7FD8F">
            <wp:extent cx="5478145" cy="2734945"/>
            <wp:effectExtent l="0" t="0" r="8255" b="8255"/>
            <wp:docPr id="9" name="Picture 9" descr="cid:image001.png@01D0705A.2BBDF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705A.2BBDF0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78145" cy="2734945"/>
                    </a:xfrm>
                    <a:prstGeom prst="rect">
                      <a:avLst/>
                    </a:prstGeom>
                    <a:noFill/>
                    <a:ln>
                      <a:noFill/>
                    </a:ln>
                  </pic:spPr>
                </pic:pic>
              </a:graphicData>
            </a:graphic>
          </wp:inline>
        </w:drawing>
      </w:r>
    </w:p>
    <w:p w14:paraId="4F487D44" w14:textId="77777777" w:rsidR="00D43968" w:rsidRDefault="00D43968" w:rsidP="00D43968">
      <w:r>
        <w:t>“Proposed efficiency standards may eliminate noncondensing gas furnaces”, U.S. Energy Information Administration, February 17, 2015 (</w:t>
      </w:r>
      <w:hyperlink r:id="rId25" w:history="1">
        <w:r>
          <w:rPr>
            <w:rStyle w:val="Hyperlink"/>
          </w:rPr>
          <w:t>http://www.eia.gov/todayinenergy/detail.cfm?id=20011</w:t>
        </w:r>
      </w:hyperlink>
      <w:r>
        <w:t>)</w:t>
      </w:r>
    </w:p>
    <w:p w14:paraId="2AFA8334" w14:textId="77777777" w:rsidR="005273D9" w:rsidRDefault="00074D0E" w:rsidP="005273D9">
      <w:pPr>
        <w:spacing w:line="259" w:lineRule="auto"/>
        <w:ind w:left="852"/>
        <w:jc w:val="center"/>
      </w:pPr>
      <w:r>
        <w:rPr>
          <w:sz w:val="24"/>
          <w:szCs w:val="24"/>
        </w:rPr>
        <w:br w:type="page"/>
      </w:r>
      <w:r w:rsidR="005273D9">
        <w:rPr>
          <w:rFonts w:ascii="Times New Roman" w:eastAsia="Times New Roman" w:hAnsi="Times New Roman" w:cs="Times New Roman"/>
          <w:b/>
        </w:rPr>
        <w:lastRenderedPageBreak/>
        <w:t>APPENDIX F</w:t>
      </w:r>
    </w:p>
    <w:p w14:paraId="67883223" w14:textId="77777777" w:rsidR="005273D9" w:rsidRDefault="005273D9" w:rsidP="005273D9">
      <w:pPr>
        <w:spacing w:line="259" w:lineRule="auto"/>
        <w:ind w:left="852" w:right="2"/>
        <w:jc w:val="center"/>
      </w:pPr>
      <w:r>
        <w:rPr>
          <w:rFonts w:ascii="Times New Roman" w:eastAsia="Times New Roman" w:hAnsi="Times New Roman" w:cs="Times New Roman"/>
          <w:b/>
        </w:rPr>
        <w:t xml:space="preserve">California Climate Zone Descriptions </w:t>
      </w:r>
    </w:p>
    <w:p w14:paraId="6EF85728" w14:textId="77777777" w:rsidR="005273D9" w:rsidRDefault="005273D9" w:rsidP="005273D9">
      <w:pPr>
        <w:spacing w:line="259" w:lineRule="auto"/>
        <w:ind w:left="902"/>
        <w:jc w:val="center"/>
      </w:pPr>
      <w:r>
        <w:rPr>
          <w:rFonts w:ascii="Times New Roman" w:eastAsia="Times New Roman" w:hAnsi="Times New Roman" w:cs="Times New Roman"/>
          <w:b/>
        </w:rPr>
        <w:t xml:space="preserve"> </w:t>
      </w:r>
    </w:p>
    <w:p w14:paraId="48348FB1" w14:textId="77777777" w:rsidR="005273D9" w:rsidRDefault="005273D9" w:rsidP="005273D9">
      <w:pPr>
        <w:ind w:left="-5"/>
      </w:pPr>
      <w:r>
        <w:t xml:space="preserve">The table below lists the representative cities that climate zone data are generally based upon.  The </w:t>
      </w:r>
      <w:proofErr w:type="gramStart"/>
      <w:r>
        <w:t>table also lists winter and summer design</w:t>
      </w:r>
      <w:proofErr w:type="gramEnd"/>
      <w:r>
        <w:t xml:space="preserve"> temperatures and heating and cooling degree-days for the representative cities.  A map of California climate zones is provided on the following page. </w:t>
      </w:r>
    </w:p>
    <w:p w14:paraId="23796460" w14:textId="77777777" w:rsidR="005273D9" w:rsidRDefault="005273D9" w:rsidP="005273D9">
      <w:pPr>
        <w:spacing w:line="259" w:lineRule="auto"/>
      </w:pPr>
      <w:r>
        <w:t xml:space="preserve"> </w:t>
      </w:r>
    </w:p>
    <w:tbl>
      <w:tblPr>
        <w:tblStyle w:val="TableGrid0"/>
        <w:tblW w:w="12000" w:type="dxa"/>
        <w:jc w:val="center"/>
        <w:tblInd w:w="-1318" w:type="dxa"/>
        <w:tblCellMar>
          <w:top w:w="12" w:type="dxa"/>
          <w:left w:w="107" w:type="dxa"/>
          <w:right w:w="49" w:type="dxa"/>
        </w:tblCellMar>
        <w:tblLook w:val="04A0" w:firstRow="1" w:lastRow="0" w:firstColumn="1" w:lastColumn="0" w:noHBand="0" w:noVBand="1"/>
      </w:tblPr>
      <w:tblGrid>
        <w:gridCol w:w="1054"/>
        <w:gridCol w:w="2474"/>
        <w:gridCol w:w="3600"/>
        <w:gridCol w:w="1098"/>
        <w:gridCol w:w="1098"/>
        <w:gridCol w:w="1296"/>
        <w:gridCol w:w="1380"/>
      </w:tblGrid>
      <w:tr w:rsidR="005273D9" w14:paraId="1774EC04" w14:textId="77777777" w:rsidTr="00C3273B">
        <w:trPr>
          <w:trHeight w:val="562"/>
          <w:jc w:val="center"/>
        </w:trPr>
        <w:tc>
          <w:tcPr>
            <w:tcW w:w="1054" w:type="dxa"/>
            <w:tcBorders>
              <w:top w:val="single" w:sz="4" w:space="0" w:color="000000"/>
              <w:left w:val="single" w:sz="4" w:space="0" w:color="000000"/>
              <w:bottom w:val="single" w:sz="4" w:space="0" w:color="000000"/>
              <w:right w:val="single" w:sz="4" w:space="0" w:color="000000"/>
            </w:tcBorders>
          </w:tcPr>
          <w:p w14:paraId="030C8002" w14:textId="77777777" w:rsidR="005273D9" w:rsidRDefault="005273D9" w:rsidP="00C02602">
            <w:pPr>
              <w:spacing w:line="259" w:lineRule="auto"/>
              <w:jc w:val="center"/>
            </w:pPr>
            <w:r>
              <w:rPr>
                <w:rFonts w:ascii="Times New Roman" w:eastAsia="Times New Roman" w:hAnsi="Times New Roman" w:cs="Times New Roman"/>
                <w:b/>
              </w:rPr>
              <w:t xml:space="preserve">Climate Zone </w:t>
            </w:r>
          </w:p>
        </w:tc>
        <w:tc>
          <w:tcPr>
            <w:tcW w:w="2474" w:type="dxa"/>
            <w:tcBorders>
              <w:top w:val="single" w:sz="4" w:space="0" w:color="000000"/>
              <w:left w:val="single" w:sz="4" w:space="0" w:color="000000"/>
              <w:bottom w:val="single" w:sz="4" w:space="0" w:color="000000"/>
              <w:right w:val="single" w:sz="4" w:space="0" w:color="000000"/>
            </w:tcBorders>
          </w:tcPr>
          <w:p w14:paraId="11978AFF" w14:textId="77777777" w:rsidR="005273D9" w:rsidRDefault="005273D9" w:rsidP="00C02602">
            <w:pPr>
              <w:spacing w:line="259" w:lineRule="auto"/>
              <w:ind w:left="2"/>
              <w:jc w:val="center"/>
            </w:pPr>
            <w:r>
              <w:rPr>
                <w:rFonts w:ascii="Times New Roman" w:eastAsia="Times New Roman" w:hAnsi="Times New Roman" w:cs="Times New Roman"/>
                <w:b/>
              </w:rPr>
              <w:t xml:space="preserve"> </w:t>
            </w:r>
          </w:p>
          <w:p w14:paraId="7DBC09F0" w14:textId="77777777" w:rsidR="005273D9" w:rsidRDefault="005273D9" w:rsidP="00C02602">
            <w:pPr>
              <w:spacing w:line="259" w:lineRule="auto"/>
              <w:ind w:right="59"/>
              <w:jc w:val="center"/>
            </w:pPr>
            <w:r>
              <w:rPr>
                <w:rFonts w:ascii="Times New Roman" w:eastAsia="Times New Roman" w:hAnsi="Times New Roman" w:cs="Times New Roman"/>
                <w:b/>
              </w:rPr>
              <w:t xml:space="preserve">City </w:t>
            </w:r>
          </w:p>
        </w:tc>
        <w:tc>
          <w:tcPr>
            <w:tcW w:w="3600" w:type="dxa"/>
            <w:tcBorders>
              <w:top w:val="single" w:sz="4" w:space="0" w:color="000000"/>
              <w:left w:val="single" w:sz="4" w:space="0" w:color="000000"/>
              <w:bottom w:val="single" w:sz="4" w:space="0" w:color="000000"/>
              <w:right w:val="single" w:sz="4" w:space="0" w:color="000000"/>
            </w:tcBorders>
          </w:tcPr>
          <w:p w14:paraId="31D640F6" w14:textId="77777777" w:rsidR="005273D9" w:rsidRDefault="005273D9" w:rsidP="00C02602">
            <w:pPr>
              <w:spacing w:line="259" w:lineRule="auto"/>
              <w:ind w:left="2"/>
              <w:jc w:val="center"/>
            </w:pPr>
            <w:r>
              <w:rPr>
                <w:rFonts w:ascii="Times New Roman" w:eastAsia="Times New Roman" w:hAnsi="Times New Roman" w:cs="Times New Roman"/>
                <w:b/>
              </w:rPr>
              <w:t xml:space="preserve"> </w:t>
            </w:r>
          </w:p>
          <w:p w14:paraId="0386F21D" w14:textId="77777777" w:rsidR="005273D9" w:rsidRDefault="005273D9" w:rsidP="00C02602">
            <w:pPr>
              <w:spacing w:line="259" w:lineRule="auto"/>
              <w:ind w:right="58"/>
              <w:jc w:val="center"/>
            </w:pPr>
            <w:r>
              <w:rPr>
                <w:rFonts w:ascii="Times New Roman" w:eastAsia="Times New Roman" w:hAnsi="Times New Roman" w:cs="Times New Roman"/>
                <w:b/>
              </w:rPr>
              <w:t xml:space="preserve">Description </w:t>
            </w:r>
          </w:p>
        </w:tc>
        <w:tc>
          <w:tcPr>
            <w:tcW w:w="1098" w:type="dxa"/>
            <w:tcBorders>
              <w:top w:val="single" w:sz="4" w:space="0" w:color="000000"/>
              <w:left w:val="single" w:sz="4" w:space="0" w:color="000000"/>
              <w:bottom w:val="single" w:sz="4" w:space="0" w:color="000000"/>
              <w:right w:val="single" w:sz="4" w:space="0" w:color="000000"/>
            </w:tcBorders>
          </w:tcPr>
          <w:p w14:paraId="6B0306B8" w14:textId="77777777" w:rsidR="005273D9" w:rsidRDefault="005273D9" w:rsidP="00C02602">
            <w:pPr>
              <w:spacing w:line="259" w:lineRule="auto"/>
              <w:jc w:val="center"/>
            </w:pPr>
            <w:r>
              <w:rPr>
                <w:rFonts w:ascii="Times New Roman" w:eastAsia="Times New Roman" w:hAnsi="Times New Roman" w:cs="Times New Roman"/>
                <w:b/>
              </w:rPr>
              <w:t xml:space="preserve">Winter Design </w:t>
            </w:r>
          </w:p>
        </w:tc>
        <w:tc>
          <w:tcPr>
            <w:tcW w:w="1098" w:type="dxa"/>
            <w:tcBorders>
              <w:top w:val="single" w:sz="4" w:space="0" w:color="000000"/>
              <w:left w:val="single" w:sz="4" w:space="0" w:color="000000"/>
              <w:bottom w:val="single" w:sz="4" w:space="0" w:color="000000"/>
              <w:right w:val="single" w:sz="4" w:space="0" w:color="000000"/>
            </w:tcBorders>
          </w:tcPr>
          <w:p w14:paraId="6E25A5EB" w14:textId="77777777" w:rsidR="005273D9" w:rsidRDefault="005273D9" w:rsidP="00C02602">
            <w:pPr>
              <w:spacing w:line="259" w:lineRule="auto"/>
              <w:ind w:left="1"/>
              <w:jc w:val="both"/>
            </w:pPr>
            <w:r>
              <w:rPr>
                <w:rFonts w:ascii="Times New Roman" w:eastAsia="Times New Roman" w:hAnsi="Times New Roman" w:cs="Times New Roman"/>
                <w:b/>
              </w:rPr>
              <w:t xml:space="preserve">Summer </w:t>
            </w:r>
          </w:p>
          <w:p w14:paraId="355B29EC" w14:textId="77777777" w:rsidR="005273D9" w:rsidRDefault="005273D9" w:rsidP="00C02602">
            <w:pPr>
              <w:spacing w:line="259" w:lineRule="auto"/>
              <w:ind w:left="95"/>
            </w:pPr>
            <w:r>
              <w:rPr>
                <w:rFonts w:ascii="Times New Roman" w:eastAsia="Times New Roman" w:hAnsi="Times New Roman" w:cs="Times New Roman"/>
                <w:b/>
              </w:rPr>
              <w:t xml:space="preserve">Design </w:t>
            </w:r>
          </w:p>
        </w:tc>
        <w:tc>
          <w:tcPr>
            <w:tcW w:w="1296" w:type="dxa"/>
            <w:tcBorders>
              <w:top w:val="single" w:sz="4" w:space="0" w:color="000000"/>
              <w:left w:val="single" w:sz="4" w:space="0" w:color="000000"/>
              <w:bottom w:val="single" w:sz="4" w:space="0" w:color="000000"/>
              <w:right w:val="single" w:sz="4" w:space="0" w:color="000000"/>
            </w:tcBorders>
          </w:tcPr>
          <w:p w14:paraId="05641ED3" w14:textId="77777777" w:rsidR="005273D9" w:rsidRDefault="005273D9" w:rsidP="00C02602">
            <w:pPr>
              <w:spacing w:line="259" w:lineRule="auto"/>
              <w:jc w:val="center"/>
            </w:pPr>
            <w:r>
              <w:rPr>
                <w:rFonts w:ascii="Times New Roman" w:eastAsia="Times New Roman" w:hAnsi="Times New Roman" w:cs="Times New Roman"/>
                <w:b/>
              </w:rPr>
              <w:t xml:space="preserve">Heating Deg. Days </w:t>
            </w:r>
          </w:p>
        </w:tc>
        <w:tc>
          <w:tcPr>
            <w:tcW w:w="1380" w:type="dxa"/>
            <w:tcBorders>
              <w:top w:val="single" w:sz="4" w:space="0" w:color="000000"/>
              <w:left w:val="single" w:sz="4" w:space="0" w:color="000000"/>
              <w:bottom w:val="single" w:sz="4" w:space="0" w:color="000000"/>
              <w:right w:val="single" w:sz="4" w:space="0" w:color="000000"/>
            </w:tcBorders>
          </w:tcPr>
          <w:p w14:paraId="6CFF4131" w14:textId="77777777" w:rsidR="005273D9" w:rsidRDefault="005273D9" w:rsidP="00C02602">
            <w:pPr>
              <w:spacing w:line="259" w:lineRule="auto"/>
              <w:jc w:val="center"/>
            </w:pPr>
            <w:r>
              <w:rPr>
                <w:rFonts w:ascii="Times New Roman" w:eastAsia="Times New Roman" w:hAnsi="Times New Roman" w:cs="Times New Roman"/>
                <w:b/>
              </w:rPr>
              <w:t xml:space="preserve">Cooling Deg. Days </w:t>
            </w:r>
          </w:p>
        </w:tc>
      </w:tr>
      <w:tr w:rsidR="005273D9" w14:paraId="084196F2"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7B8F08A0" w14:textId="77777777" w:rsidR="005273D9" w:rsidRDefault="005273D9" w:rsidP="00C02602">
            <w:pPr>
              <w:spacing w:line="259" w:lineRule="auto"/>
              <w:ind w:right="58"/>
              <w:jc w:val="center"/>
            </w:pPr>
            <w:r>
              <w:t xml:space="preserve">1 </w:t>
            </w:r>
          </w:p>
        </w:tc>
        <w:tc>
          <w:tcPr>
            <w:tcW w:w="2474" w:type="dxa"/>
            <w:tcBorders>
              <w:top w:val="single" w:sz="4" w:space="0" w:color="000000"/>
              <w:left w:val="single" w:sz="4" w:space="0" w:color="000000"/>
              <w:bottom w:val="single" w:sz="4" w:space="0" w:color="000000"/>
              <w:right w:val="single" w:sz="4" w:space="0" w:color="000000"/>
            </w:tcBorders>
          </w:tcPr>
          <w:p w14:paraId="394AE4A7" w14:textId="77777777" w:rsidR="005273D9" w:rsidRDefault="005273D9" w:rsidP="00C02602">
            <w:pPr>
              <w:spacing w:line="259" w:lineRule="auto"/>
              <w:ind w:right="60"/>
              <w:jc w:val="center"/>
            </w:pPr>
            <w:r>
              <w:t xml:space="preserve">Arcata (Eureka) </w:t>
            </w:r>
          </w:p>
        </w:tc>
        <w:tc>
          <w:tcPr>
            <w:tcW w:w="3600" w:type="dxa"/>
            <w:tcBorders>
              <w:top w:val="single" w:sz="4" w:space="0" w:color="000000"/>
              <w:left w:val="single" w:sz="4" w:space="0" w:color="000000"/>
              <w:bottom w:val="single" w:sz="4" w:space="0" w:color="000000"/>
              <w:right w:val="single" w:sz="4" w:space="0" w:color="000000"/>
            </w:tcBorders>
          </w:tcPr>
          <w:p w14:paraId="09329E55" w14:textId="77777777" w:rsidR="005273D9" w:rsidRDefault="005273D9" w:rsidP="00C02602">
            <w:pPr>
              <w:spacing w:line="259" w:lineRule="auto"/>
            </w:pPr>
            <w:r>
              <w:t xml:space="preserve">North coastal </w:t>
            </w:r>
          </w:p>
        </w:tc>
        <w:tc>
          <w:tcPr>
            <w:tcW w:w="1098" w:type="dxa"/>
            <w:tcBorders>
              <w:top w:val="single" w:sz="4" w:space="0" w:color="000000"/>
              <w:left w:val="single" w:sz="4" w:space="0" w:color="000000"/>
              <w:bottom w:val="single" w:sz="4" w:space="0" w:color="000000"/>
              <w:right w:val="single" w:sz="4" w:space="0" w:color="000000"/>
            </w:tcBorders>
          </w:tcPr>
          <w:p w14:paraId="75F0D72D" w14:textId="77777777" w:rsidR="005273D9" w:rsidRDefault="005273D9" w:rsidP="00C02602">
            <w:pPr>
              <w:spacing w:line="259" w:lineRule="auto"/>
              <w:ind w:right="62"/>
              <w:jc w:val="center"/>
            </w:pPr>
            <w:r>
              <w:t xml:space="preserve">35 </w:t>
            </w:r>
          </w:p>
        </w:tc>
        <w:tc>
          <w:tcPr>
            <w:tcW w:w="1098" w:type="dxa"/>
            <w:tcBorders>
              <w:top w:val="single" w:sz="4" w:space="0" w:color="000000"/>
              <w:left w:val="single" w:sz="4" w:space="0" w:color="000000"/>
              <w:bottom w:val="single" w:sz="4" w:space="0" w:color="000000"/>
              <w:right w:val="single" w:sz="4" w:space="0" w:color="000000"/>
            </w:tcBorders>
          </w:tcPr>
          <w:p w14:paraId="337BD14F" w14:textId="77777777" w:rsidR="005273D9" w:rsidRDefault="005273D9" w:rsidP="00C02602">
            <w:pPr>
              <w:spacing w:line="259" w:lineRule="auto"/>
              <w:ind w:right="61"/>
              <w:jc w:val="center"/>
            </w:pPr>
            <w:r>
              <w:t xml:space="preserve">69 </w:t>
            </w:r>
          </w:p>
        </w:tc>
        <w:tc>
          <w:tcPr>
            <w:tcW w:w="1296" w:type="dxa"/>
            <w:tcBorders>
              <w:top w:val="single" w:sz="4" w:space="0" w:color="000000"/>
              <w:left w:val="single" w:sz="4" w:space="0" w:color="000000"/>
              <w:bottom w:val="single" w:sz="4" w:space="0" w:color="000000"/>
              <w:right w:val="single" w:sz="4" w:space="0" w:color="000000"/>
            </w:tcBorders>
          </w:tcPr>
          <w:p w14:paraId="30199632" w14:textId="77777777" w:rsidR="005273D9" w:rsidRDefault="005273D9" w:rsidP="00C02602">
            <w:pPr>
              <w:spacing w:line="259" w:lineRule="auto"/>
              <w:ind w:right="59"/>
              <w:jc w:val="center"/>
            </w:pPr>
            <w:r>
              <w:t xml:space="preserve">4679 </w:t>
            </w:r>
          </w:p>
        </w:tc>
        <w:tc>
          <w:tcPr>
            <w:tcW w:w="1380" w:type="dxa"/>
            <w:tcBorders>
              <w:top w:val="single" w:sz="4" w:space="0" w:color="000000"/>
              <w:left w:val="single" w:sz="4" w:space="0" w:color="000000"/>
              <w:bottom w:val="single" w:sz="4" w:space="0" w:color="000000"/>
              <w:right w:val="single" w:sz="4" w:space="0" w:color="000000"/>
            </w:tcBorders>
          </w:tcPr>
          <w:p w14:paraId="60A3D57A" w14:textId="77777777" w:rsidR="005273D9" w:rsidRDefault="005273D9" w:rsidP="00C02602">
            <w:pPr>
              <w:spacing w:line="259" w:lineRule="auto"/>
              <w:ind w:right="58"/>
              <w:jc w:val="center"/>
            </w:pPr>
            <w:r>
              <w:t xml:space="preserve">0 </w:t>
            </w:r>
          </w:p>
        </w:tc>
      </w:tr>
      <w:tr w:rsidR="005273D9" w14:paraId="15F6D3D7" w14:textId="77777777" w:rsidTr="00C3273B">
        <w:trPr>
          <w:trHeight w:val="287"/>
          <w:jc w:val="center"/>
        </w:trPr>
        <w:tc>
          <w:tcPr>
            <w:tcW w:w="1054" w:type="dxa"/>
            <w:tcBorders>
              <w:top w:val="single" w:sz="4" w:space="0" w:color="000000"/>
              <w:left w:val="single" w:sz="4" w:space="0" w:color="000000"/>
              <w:bottom w:val="single" w:sz="4" w:space="0" w:color="000000"/>
              <w:right w:val="single" w:sz="4" w:space="0" w:color="000000"/>
            </w:tcBorders>
          </w:tcPr>
          <w:p w14:paraId="57486B6C" w14:textId="77777777" w:rsidR="005273D9" w:rsidRDefault="005273D9" w:rsidP="00C02602">
            <w:pPr>
              <w:spacing w:line="259" w:lineRule="auto"/>
              <w:ind w:right="58"/>
              <w:jc w:val="center"/>
            </w:pPr>
            <w:r>
              <w:t xml:space="preserve">2 </w:t>
            </w:r>
          </w:p>
        </w:tc>
        <w:tc>
          <w:tcPr>
            <w:tcW w:w="2474" w:type="dxa"/>
            <w:tcBorders>
              <w:top w:val="single" w:sz="4" w:space="0" w:color="000000"/>
              <w:left w:val="single" w:sz="4" w:space="0" w:color="000000"/>
              <w:bottom w:val="single" w:sz="4" w:space="0" w:color="000000"/>
              <w:right w:val="single" w:sz="4" w:space="0" w:color="000000"/>
            </w:tcBorders>
          </w:tcPr>
          <w:p w14:paraId="104E0034" w14:textId="77777777" w:rsidR="005273D9" w:rsidRDefault="005273D9" w:rsidP="00C02602">
            <w:pPr>
              <w:spacing w:line="259" w:lineRule="auto"/>
              <w:ind w:right="58"/>
              <w:jc w:val="center"/>
            </w:pPr>
            <w:r>
              <w:t xml:space="preserve">Santa Rosa </w:t>
            </w:r>
          </w:p>
        </w:tc>
        <w:tc>
          <w:tcPr>
            <w:tcW w:w="3600" w:type="dxa"/>
            <w:tcBorders>
              <w:top w:val="single" w:sz="4" w:space="0" w:color="000000"/>
              <w:left w:val="single" w:sz="4" w:space="0" w:color="000000"/>
              <w:bottom w:val="single" w:sz="4" w:space="0" w:color="000000"/>
              <w:right w:val="single" w:sz="4" w:space="0" w:color="000000"/>
            </w:tcBorders>
          </w:tcPr>
          <w:p w14:paraId="1B6A88EF" w14:textId="77777777" w:rsidR="005273D9" w:rsidRDefault="005273D9" w:rsidP="00C02602">
            <w:pPr>
              <w:spacing w:line="259" w:lineRule="auto"/>
              <w:ind w:left="2"/>
            </w:pPr>
            <w:r>
              <w:t xml:space="preserve">Northern coastal valley </w:t>
            </w:r>
          </w:p>
        </w:tc>
        <w:tc>
          <w:tcPr>
            <w:tcW w:w="1098" w:type="dxa"/>
            <w:tcBorders>
              <w:top w:val="single" w:sz="4" w:space="0" w:color="000000"/>
              <w:left w:val="single" w:sz="4" w:space="0" w:color="000000"/>
              <w:bottom w:val="single" w:sz="4" w:space="0" w:color="000000"/>
              <w:right w:val="single" w:sz="4" w:space="0" w:color="000000"/>
            </w:tcBorders>
          </w:tcPr>
          <w:p w14:paraId="6113FB95" w14:textId="77777777" w:rsidR="005273D9" w:rsidRDefault="005273D9" w:rsidP="00C02602">
            <w:pPr>
              <w:spacing w:line="259" w:lineRule="auto"/>
              <w:ind w:right="62"/>
              <w:jc w:val="center"/>
            </w:pPr>
            <w:r>
              <w:t xml:space="preserve">27 </w:t>
            </w:r>
          </w:p>
        </w:tc>
        <w:tc>
          <w:tcPr>
            <w:tcW w:w="1098" w:type="dxa"/>
            <w:tcBorders>
              <w:top w:val="single" w:sz="4" w:space="0" w:color="000000"/>
              <w:left w:val="single" w:sz="4" w:space="0" w:color="000000"/>
              <w:bottom w:val="single" w:sz="4" w:space="0" w:color="000000"/>
              <w:right w:val="single" w:sz="4" w:space="0" w:color="000000"/>
            </w:tcBorders>
          </w:tcPr>
          <w:p w14:paraId="56A77D43" w14:textId="77777777" w:rsidR="005273D9" w:rsidRDefault="005273D9" w:rsidP="00C02602">
            <w:pPr>
              <w:spacing w:line="259" w:lineRule="auto"/>
              <w:ind w:right="61"/>
              <w:jc w:val="center"/>
            </w:pPr>
            <w:r>
              <w:t xml:space="preserve">96 </w:t>
            </w:r>
          </w:p>
        </w:tc>
        <w:tc>
          <w:tcPr>
            <w:tcW w:w="1296" w:type="dxa"/>
            <w:tcBorders>
              <w:top w:val="single" w:sz="4" w:space="0" w:color="000000"/>
              <w:left w:val="single" w:sz="4" w:space="0" w:color="000000"/>
              <w:bottom w:val="single" w:sz="4" w:space="0" w:color="000000"/>
              <w:right w:val="single" w:sz="4" w:space="0" w:color="000000"/>
            </w:tcBorders>
          </w:tcPr>
          <w:p w14:paraId="727D5006" w14:textId="77777777" w:rsidR="005273D9" w:rsidRDefault="005273D9" w:rsidP="00C02602">
            <w:pPr>
              <w:spacing w:line="259" w:lineRule="auto"/>
              <w:ind w:right="59"/>
              <w:jc w:val="center"/>
            </w:pPr>
            <w:r>
              <w:t xml:space="preserve">3065 </w:t>
            </w:r>
          </w:p>
        </w:tc>
        <w:tc>
          <w:tcPr>
            <w:tcW w:w="1380" w:type="dxa"/>
            <w:tcBorders>
              <w:top w:val="single" w:sz="4" w:space="0" w:color="000000"/>
              <w:left w:val="single" w:sz="4" w:space="0" w:color="000000"/>
              <w:bottom w:val="single" w:sz="4" w:space="0" w:color="000000"/>
              <w:right w:val="single" w:sz="4" w:space="0" w:color="000000"/>
            </w:tcBorders>
          </w:tcPr>
          <w:p w14:paraId="4C73EA78" w14:textId="77777777" w:rsidR="005273D9" w:rsidRDefault="005273D9" w:rsidP="00C02602">
            <w:pPr>
              <w:spacing w:line="259" w:lineRule="auto"/>
              <w:ind w:right="59"/>
              <w:jc w:val="center"/>
            </w:pPr>
            <w:r>
              <w:t xml:space="preserve">315 </w:t>
            </w:r>
          </w:p>
        </w:tc>
      </w:tr>
      <w:tr w:rsidR="005273D9" w14:paraId="4939E9F1"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39299534" w14:textId="77777777" w:rsidR="005273D9" w:rsidRDefault="005273D9" w:rsidP="00C02602">
            <w:pPr>
              <w:spacing w:line="259" w:lineRule="auto"/>
              <w:ind w:right="58"/>
              <w:jc w:val="center"/>
            </w:pPr>
            <w:r>
              <w:t xml:space="preserve">3 </w:t>
            </w:r>
          </w:p>
        </w:tc>
        <w:tc>
          <w:tcPr>
            <w:tcW w:w="2474" w:type="dxa"/>
            <w:tcBorders>
              <w:top w:val="single" w:sz="4" w:space="0" w:color="000000"/>
              <w:left w:val="single" w:sz="4" w:space="0" w:color="000000"/>
              <w:bottom w:val="single" w:sz="4" w:space="0" w:color="000000"/>
              <w:right w:val="single" w:sz="4" w:space="0" w:color="000000"/>
            </w:tcBorders>
          </w:tcPr>
          <w:p w14:paraId="0B4DCB47" w14:textId="77777777" w:rsidR="005273D9" w:rsidRDefault="005273D9" w:rsidP="00C02602">
            <w:pPr>
              <w:spacing w:line="259" w:lineRule="auto"/>
              <w:ind w:right="57"/>
              <w:jc w:val="center"/>
            </w:pPr>
            <w:r>
              <w:t xml:space="preserve">Oakland </w:t>
            </w:r>
          </w:p>
        </w:tc>
        <w:tc>
          <w:tcPr>
            <w:tcW w:w="3600" w:type="dxa"/>
            <w:tcBorders>
              <w:top w:val="single" w:sz="4" w:space="0" w:color="000000"/>
              <w:left w:val="single" w:sz="4" w:space="0" w:color="000000"/>
              <w:bottom w:val="single" w:sz="4" w:space="0" w:color="000000"/>
              <w:right w:val="single" w:sz="4" w:space="0" w:color="000000"/>
            </w:tcBorders>
          </w:tcPr>
          <w:p w14:paraId="427C1F09" w14:textId="77777777" w:rsidR="005273D9" w:rsidRDefault="005273D9" w:rsidP="00C02602">
            <w:pPr>
              <w:spacing w:line="259" w:lineRule="auto"/>
              <w:ind w:left="2"/>
            </w:pPr>
            <w:r>
              <w:t xml:space="preserve">San Francisco bay area </w:t>
            </w:r>
          </w:p>
        </w:tc>
        <w:tc>
          <w:tcPr>
            <w:tcW w:w="1098" w:type="dxa"/>
            <w:tcBorders>
              <w:top w:val="single" w:sz="4" w:space="0" w:color="000000"/>
              <w:left w:val="single" w:sz="4" w:space="0" w:color="000000"/>
              <w:bottom w:val="single" w:sz="4" w:space="0" w:color="000000"/>
              <w:right w:val="single" w:sz="4" w:space="0" w:color="000000"/>
            </w:tcBorders>
          </w:tcPr>
          <w:p w14:paraId="2EBF779C" w14:textId="77777777" w:rsidR="005273D9" w:rsidRDefault="005273D9" w:rsidP="00C02602">
            <w:pPr>
              <w:spacing w:line="259" w:lineRule="auto"/>
              <w:ind w:right="61"/>
              <w:jc w:val="center"/>
            </w:pPr>
            <w:r>
              <w:t xml:space="preserve">33 </w:t>
            </w:r>
          </w:p>
        </w:tc>
        <w:tc>
          <w:tcPr>
            <w:tcW w:w="1098" w:type="dxa"/>
            <w:tcBorders>
              <w:top w:val="single" w:sz="4" w:space="0" w:color="000000"/>
              <w:left w:val="single" w:sz="4" w:space="0" w:color="000000"/>
              <w:bottom w:val="single" w:sz="4" w:space="0" w:color="000000"/>
              <w:right w:val="single" w:sz="4" w:space="0" w:color="000000"/>
            </w:tcBorders>
          </w:tcPr>
          <w:p w14:paraId="025C5F43" w14:textId="77777777" w:rsidR="005273D9" w:rsidRDefault="005273D9" w:rsidP="00C02602">
            <w:pPr>
              <w:spacing w:line="259" w:lineRule="auto"/>
              <w:ind w:right="60"/>
              <w:jc w:val="center"/>
            </w:pPr>
            <w:r>
              <w:t xml:space="preserve">84 </w:t>
            </w:r>
          </w:p>
        </w:tc>
        <w:tc>
          <w:tcPr>
            <w:tcW w:w="1296" w:type="dxa"/>
            <w:tcBorders>
              <w:top w:val="single" w:sz="4" w:space="0" w:color="000000"/>
              <w:left w:val="single" w:sz="4" w:space="0" w:color="000000"/>
              <w:bottom w:val="single" w:sz="4" w:space="0" w:color="000000"/>
              <w:right w:val="single" w:sz="4" w:space="0" w:color="000000"/>
            </w:tcBorders>
          </w:tcPr>
          <w:p w14:paraId="2CBF3AAC" w14:textId="77777777" w:rsidR="005273D9" w:rsidRDefault="005273D9" w:rsidP="00C02602">
            <w:pPr>
              <w:spacing w:line="259" w:lineRule="auto"/>
              <w:ind w:right="59"/>
              <w:jc w:val="center"/>
            </w:pPr>
            <w:r>
              <w:t xml:space="preserve">2909 </w:t>
            </w:r>
          </w:p>
        </w:tc>
        <w:tc>
          <w:tcPr>
            <w:tcW w:w="1380" w:type="dxa"/>
            <w:tcBorders>
              <w:top w:val="single" w:sz="4" w:space="0" w:color="000000"/>
              <w:left w:val="single" w:sz="4" w:space="0" w:color="000000"/>
              <w:bottom w:val="single" w:sz="4" w:space="0" w:color="000000"/>
              <w:right w:val="single" w:sz="4" w:space="0" w:color="000000"/>
            </w:tcBorders>
          </w:tcPr>
          <w:p w14:paraId="3F3AAE34" w14:textId="77777777" w:rsidR="005273D9" w:rsidRDefault="005273D9" w:rsidP="00C02602">
            <w:pPr>
              <w:spacing w:line="259" w:lineRule="auto"/>
              <w:ind w:right="58"/>
              <w:jc w:val="center"/>
            </w:pPr>
            <w:r>
              <w:t xml:space="preserve">128 </w:t>
            </w:r>
          </w:p>
        </w:tc>
      </w:tr>
      <w:tr w:rsidR="005273D9" w14:paraId="4DA854FD"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4DD08F5A" w14:textId="77777777" w:rsidR="005273D9" w:rsidRDefault="005273D9" w:rsidP="00C02602">
            <w:pPr>
              <w:spacing w:line="259" w:lineRule="auto"/>
              <w:ind w:right="58"/>
              <w:jc w:val="center"/>
            </w:pPr>
            <w:r>
              <w:t xml:space="preserve">4 </w:t>
            </w:r>
          </w:p>
        </w:tc>
        <w:tc>
          <w:tcPr>
            <w:tcW w:w="2474" w:type="dxa"/>
            <w:tcBorders>
              <w:top w:val="single" w:sz="4" w:space="0" w:color="000000"/>
              <w:left w:val="single" w:sz="4" w:space="0" w:color="000000"/>
              <w:bottom w:val="single" w:sz="4" w:space="0" w:color="000000"/>
              <w:right w:val="single" w:sz="4" w:space="0" w:color="000000"/>
            </w:tcBorders>
          </w:tcPr>
          <w:p w14:paraId="55185080" w14:textId="77777777" w:rsidR="005273D9" w:rsidRDefault="005273D9" w:rsidP="00C02602">
            <w:pPr>
              <w:spacing w:line="259" w:lineRule="auto"/>
              <w:ind w:right="57"/>
              <w:jc w:val="center"/>
            </w:pPr>
            <w:r>
              <w:t xml:space="preserve">Sunnyvale (San Jose) </w:t>
            </w:r>
          </w:p>
        </w:tc>
        <w:tc>
          <w:tcPr>
            <w:tcW w:w="3600" w:type="dxa"/>
            <w:tcBorders>
              <w:top w:val="single" w:sz="4" w:space="0" w:color="000000"/>
              <w:left w:val="single" w:sz="4" w:space="0" w:color="000000"/>
              <w:bottom w:val="single" w:sz="4" w:space="0" w:color="000000"/>
              <w:right w:val="single" w:sz="4" w:space="0" w:color="000000"/>
            </w:tcBorders>
          </w:tcPr>
          <w:p w14:paraId="20D5326B" w14:textId="77777777" w:rsidR="005273D9" w:rsidRDefault="005273D9" w:rsidP="00C02602">
            <w:pPr>
              <w:spacing w:line="259" w:lineRule="auto"/>
              <w:ind w:left="2"/>
            </w:pPr>
            <w:r>
              <w:t xml:space="preserve">Central coastal valley </w:t>
            </w:r>
          </w:p>
        </w:tc>
        <w:tc>
          <w:tcPr>
            <w:tcW w:w="1098" w:type="dxa"/>
            <w:tcBorders>
              <w:top w:val="single" w:sz="4" w:space="0" w:color="000000"/>
              <w:left w:val="single" w:sz="4" w:space="0" w:color="000000"/>
              <w:bottom w:val="single" w:sz="4" w:space="0" w:color="000000"/>
              <w:right w:val="single" w:sz="4" w:space="0" w:color="000000"/>
            </w:tcBorders>
          </w:tcPr>
          <w:p w14:paraId="2DFBE646" w14:textId="77777777" w:rsidR="005273D9" w:rsidRDefault="005273D9" w:rsidP="00C02602">
            <w:pPr>
              <w:spacing w:line="259" w:lineRule="auto"/>
              <w:ind w:right="62"/>
              <w:jc w:val="center"/>
            </w:pPr>
            <w:r>
              <w:t xml:space="preserve">34 </w:t>
            </w:r>
          </w:p>
        </w:tc>
        <w:tc>
          <w:tcPr>
            <w:tcW w:w="1098" w:type="dxa"/>
            <w:tcBorders>
              <w:top w:val="single" w:sz="4" w:space="0" w:color="000000"/>
              <w:left w:val="single" w:sz="4" w:space="0" w:color="000000"/>
              <w:bottom w:val="single" w:sz="4" w:space="0" w:color="000000"/>
              <w:right w:val="single" w:sz="4" w:space="0" w:color="000000"/>
            </w:tcBorders>
          </w:tcPr>
          <w:p w14:paraId="33BDD622" w14:textId="77777777" w:rsidR="005273D9" w:rsidRDefault="005273D9" w:rsidP="00C02602">
            <w:pPr>
              <w:spacing w:line="259" w:lineRule="auto"/>
              <w:ind w:right="61"/>
              <w:jc w:val="center"/>
            </w:pPr>
            <w:r>
              <w:t xml:space="preserve">88 </w:t>
            </w:r>
          </w:p>
        </w:tc>
        <w:tc>
          <w:tcPr>
            <w:tcW w:w="1296" w:type="dxa"/>
            <w:tcBorders>
              <w:top w:val="single" w:sz="4" w:space="0" w:color="000000"/>
              <w:left w:val="single" w:sz="4" w:space="0" w:color="000000"/>
              <w:bottom w:val="single" w:sz="4" w:space="0" w:color="000000"/>
              <w:right w:val="single" w:sz="4" w:space="0" w:color="000000"/>
            </w:tcBorders>
          </w:tcPr>
          <w:p w14:paraId="14CCB3DD" w14:textId="77777777" w:rsidR="005273D9" w:rsidRDefault="005273D9" w:rsidP="00C02602">
            <w:pPr>
              <w:spacing w:line="259" w:lineRule="auto"/>
              <w:ind w:right="59"/>
              <w:jc w:val="center"/>
            </w:pPr>
            <w:r>
              <w:t xml:space="preserve">2416 </w:t>
            </w:r>
          </w:p>
        </w:tc>
        <w:tc>
          <w:tcPr>
            <w:tcW w:w="1380" w:type="dxa"/>
            <w:tcBorders>
              <w:top w:val="single" w:sz="4" w:space="0" w:color="000000"/>
              <w:left w:val="single" w:sz="4" w:space="0" w:color="000000"/>
              <w:bottom w:val="single" w:sz="4" w:space="0" w:color="000000"/>
              <w:right w:val="single" w:sz="4" w:space="0" w:color="000000"/>
            </w:tcBorders>
          </w:tcPr>
          <w:p w14:paraId="0C1CF324" w14:textId="77777777" w:rsidR="005273D9" w:rsidRDefault="005273D9" w:rsidP="00C02602">
            <w:pPr>
              <w:spacing w:line="259" w:lineRule="auto"/>
              <w:ind w:right="58"/>
              <w:jc w:val="center"/>
            </w:pPr>
            <w:r>
              <w:t xml:space="preserve">444 </w:t>
            </w:r>
          </w:p>
        </w:tc>
      </w:tr>
      <w:tr w:rsidR="005273D9" w14:paraId="5EAF42E1" w14:textId="77777777" w:rsidTr="00C3273B">
        <w:trPr>
          <w:trHeight w:val="287"/>
          <w:jc w:val="center"/>
        </w:trPr>
        <w:tc>
          <w:tcPr>
            <w:tcW w:w="1054" w:type="dxa"/>
            <w:tcBorders>
              <w:top w:val="single" w:sz="4" w:space="0" w:color="000000"/>
              <w:left w:val="single" w:sz="4" w:space="0" w:color="000000"/>
              <w:bottom w:val="single" w:sz="4" w:space="0" w:color="000000"/>
              <w:right w:val="single" w:sz="4" w:space="0" w:color="000000"/>
            </w:tcBorders>
          </w:tcPr>
          <w:p w14:paraId="4DD14E7E" w14:textId="77777777" w:rsidR="005273D9" w:rsidRDefault="005273D9" w:rsidP="00C02602">
            <w:pPr>
              <w:spacing w:line="259" w:lineRule="auto"/>
              <w:ind w:right="58"/>
              <w:jc w:val="center"/>
            </w:pPr>
            <w:r>
              <w:t xml:space="preserve">5 </w:t>
            </w:r>
          </w:p>
        </w:tc>
        <w:tc>
          <w:tcPr>
            <w:tcW w:w="2474" w:type="dxa"/>
            <w:tcBorders>
              <w:top w:val="single" w:sz="4" w:space="0" w:color="000000"/>
              <w:left w:val="single" w:sz="4" w:space="0" w:color="000000"/>
              <w:bottom w:val="single" w:sz="4" w:space="0" w:color="000000"/>
              <w:right w:val="single" w:sz="4" w:space="0" w:color="000000"/>
            </w:tcBorders>
          </w:tcPr>
          <w:p w14:paraId="71BD16C8" w14:textId="77777777" w:rsidR="005273D9" w:rsidRDefault="005273D9" w:rsidP="00C02602">
            <w:pPr>
              <w:spacing w:line="259" w:lineRule="auto"/>
              <w:ind w:right="58"/>
              <w:jc w:val="center"/>
            </w:pPr>
            <w:r>
              <w:t xml:space="preserve">Santa Maria </w:t>
            </w:r>
          </w:p>
        </w:tc>
        <w:tc>
          <w:tcPr>
            <w:tcW w:w="3600" w:type="dxa"/>
            <w:tcBorders>
              <w:top w:val="single" w:sz="4" w:space="0" w:color="000000"/>
              <w:left w:val="single" w:sz="4" w:space="0" w:color="000000"/>
              <w:bottom w:val="single" w:sz="4" w:space="0" w:color="000000"/>
              <w:right w:val="single" w:sz="4" w:space="0" w:color="000000"/>
            </w:tcBorders>
          </w:tcPr>
          <w:p w14:paraId="7E1FDCC8" w14:textId="77777777" w:rsidR="005273D9" w:rsidRDefault="005273D9" w:rsidP="00C02602">
            <w:pPr>
              <w:spacing w:line="259" w:lineRule="auto"/>
              <w:ind w:left="1"/>
            </w:pPr>
            <w:r>
              <w:t xml:space="preserve">Central coastal </w:t>
            </w:r>
          </w:p>
        </w:tc>
        <w:tc>
          <w:tcPr>
            <w:tcW w:w="1098" w:type="dxa"/>
            <w:tcBorders>
              <w:top w:val="single" w:sz="4" w:space="0" w:color="000000"/>
              <w:left w:val="single" w:sz="4" w:space="0" w:color="000000"/>
              <w:bottom w:val="single" w:sz="4" w:space="0" w:color="000000"/>
              <w:right w:val="single" w:sz="4" w:space="0" w:color="000000"/>
            </w:tcBorders>
          </w:tcPr>
          <w:p w14:paraId="2765D4AD" w14:textId="77777777" w:rsidR="005273D9" w:rsidRDefault="005273D9" w:rsidP="00C02602">
            <w:pPr>
              <w:spacing w:line="259" w:lineRule="auto"/>
              <w:ind w:right="61"/>
              <w:jc w:val="center"/>
            </w:pPr>
            <w:r>
              <w:t xml:space="preserve">31 </w:t>
            </w:r>
          </w:p>
        </w:tc>
        <w:tc>
          <w:tcPr>
            <w:tcW w:w="1098" w:type="dxa"/>
            <w:tcBorders>
              <w:top w:val="single" w:sz="4" w:space="0" w:color="000000"/>
              <w:left w:val="single" w:sz="4" w:space="0" w:color="000000"/>
              <w:bottom w:val="single" w:sz="4" w:space="0" w:color="000000"/>
              <w:right w:val="single" w:sz="4" w:space="0" w:color="000000"/>
            </w:tcBorders>
          </w:tcPr>
          <w:p w14:paraId="089CB99B" w14:textId="77777777" w:rsidR="005273D9" w:rsidRDefault="005273D9" w:rsidP="00C02602">
            <w:pPr>
              <w:spacing w:line="259" w:lineRule="auto"/>
              <w:ind w:right="60"/>
              <w:jc w:val="center"/>
            </w:pPr>
            <w:r>
              <w:t xml:space="preserve">83 </w:t>
            </w:r>
          </w:p>
        </w:tc>
        <w:tc>
          <w:tcPr>
            <w:tcW w:w="1296" w:type="dxa"/>
            <w:tcBorders>
              <w:top w:val="single" w:sz="4" w:space="0" w:color="000000"/>
              <w:left w:val="single" w:sz="4" w:space="0" w:color="000000"/>
              <w:bottom w:val="single" w:sz="4" w:space="0" w:color="000000"/>
              <w:right w:val="single" w:sz="4" w:space="0" w:color="000000"/>
            </w:tcBorders>
          </w:tcPr>
          <w:p w14:paraId="7F893118" w14:textId="77777777" w:rsidR="005273D9" w:rsidRDefault="005273D9" w:rsidP="00C02602">
            <w:pPr>
              <w:spacing w:line="259" w:lineRule="auto"/>
              <w:ind w:right="58"/>
              <w:jc w:val="center"/>
            </w:pPr>
            <w:r>
              <w:t xml:space="preserve">3053 </w:t>
            </w:r>
          </w:p>
        </w:tc>
        <w:tc>
          <w:tcPr>
            <w:tcW w:w="1380" w:type="dxa"/>
            <w:tcBorders>
              <w:top w:val="single" w:sz="4" w:space="0" w:color="000000"/>
              <w:left w:val="single" w:sz="4" w:space="0" w:color="000000"/>
              <w:bottom w:val="single" w:sz="4" w:space="0" w:color="000000"/>
              <w:right w:val="single" w:sz="4" w:space="0" w:color="000000"/>
            </w:tcBorders>
          </w:tcPr>
          <w:p w14:paraId="4D2D51FD" w14:textId="77777777" w:rsidR="005273D9" w:rsidRDefault="005273D9" w:rsidP="00C02602">
            <w:pPr>
              <w:spacing w:line="259" w:lineRule="auto"/>
              <w:ind w:right="56"/>
              <w:jc w:val="center"/>
            </w:pPr>
            <w:r>
              <w:t xml:space="preserve">84 </w:t>
            </w:r>
          </w:p>
        </w:tc>
      </w:tr>
      <w:tr w:rsidR="005273D9" w14:paraId="05EBB3CB"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04A5A821" w14:textId="77777777" w:rsidR="005273D9" w:rsidRDefault="005273D9" w:rsidP="00C02602">
            <w:pPr>
              <w:spacing w:line="259" w:lineRule="auto"/>
              <w:ind w:right="58"/>
              <w:jc w:val="center"/>
            </w:pPr>
            <w:r>
              <w:t xml:space="preserve">6 </w:t>
            </w:r>
          </w:p>
        </w:tc>
        <w:tc>
          <w:tcPr>
            <w:tcW w:w="2474" w:type="dxa"/>
            <w:tcBorders>
              <w:top w:val="single" w:sz="4" w:space="0" w:color="000000"/>
              <w:left w:val="single" w:sz="4" w:space="0" w:color="000000"/>
              <w:bottom w:val="single" w:sz="4" w:space="0" w:color="000000"/>
              <w:right w:val="single" w:sz="4" w:space="0" w:color="000000"/>
            </w:tcBorders>
          </w:tcPr>
          <w:p w14:paraId="622FAD2A" w14:textId="77777777" w:rsidR="005273D9" w:rsidRDefault="005273D9" w:rsidP="00C02602">
            <w:pPr>
              <w:spacing w:line="259" w:lineRule="auto"/>
              <w:ind w:right="57"/>
              <w:jc w:val="center"/>
            </w:pPr>
            <w:r>
              <w:t xml:space="preserve">Long Beach </w:t>
            </w:r>
          </w:p>
        </w:tc>
        <w:tc>
          <w:tcPr>
            <w:tcW w:w="3600" w:type="dxa"/>
            <w:tcBorders>
              <w:top w:val="single" w:sz="4" w:space="0" w:color="000000"/>
              <w:left w:val="single" w:sz="4" w:space="0" w:color="000000"/>
              <w:bottom w:val="single" w:sz="4" w:space="0" w:color="000000"/>
              <w:right w:val="single" w:sz="4" w:space="0" w:color="000000"/>
            </w:tcBorders>
          </w:tcPr>
          <w:p w14:paraId="5A13006B" w14:textId="77777777" w:rsidR="005273D9" w:rsidRDefault="005273D9" w:rsidP="00C02602">
            <w:pPr>
              <w:spacing w:line="259" w:lineRule="auto"/>
              <w:ind w:left="2"/>
            </w:pPr>
            <w:r>
              <w:t xml:space="preserve">South coastal – Los Angeles </w:t>
            </w:r>
          </w:p>
        </w:tc>
        <w:tc>
          <w:tcPr>
            <w:tcW w:w="1098" w:type="dxa"/>
            <w:tcBorders>
              <w:top w:val="single" w:sz="4" w:space="0" w:color="000000"/>
              <w:left w:val="single" w:sz="4" w:space="0" w:color="000000"/>
              <w:bottom w:val="single" w:sz="4" w:space="0" w:color="000000"/>
              <w:right w:val="single" w:sz="4" w:space="0" w:color="000000"/>
            </w:tcBorders>
          </w:tcPr>
          <w:p w14:paraId="2603F2BF" w14:textId="77777777" w:rsidR="005273D9" w:rsidRDefault="005273D9" w:rsidP="00C02602">
            <w:pPr>
              <w:spacing w:line="259" w:lineRule="auto"/>
              <w:ind w:right="60"/>
              <w:jc w:val="center"/>
            </w:pPr>
            <w:r>
              <w:t xml:space="preserve">38 </w:t>
            </w:r>
          </w:p>
        </w:tc>
        <w:tc>
          <w:tcPr>
            <w:tcW w:w="1098" w:type="dxa"/>
            <w:tcBorders>
              <w:top w:val="single" w:sz="4" w:space="0" w:color="000000"/>
              <w:left w:val="single" w:sz="4" w:space="0" w:color="000000"/>
              <w:bottom w:val="single" w:sz="4" w:space="0" w:color="000000"/>
              <w:right w:val="single" w:sz="4" w:space="0" w:color="000000"/>
            </w:tcBorders>
          </w:tcPr>
          <w:p w14:paraId="0084561E" w14:textId="77777777" w:rsidR="005273D9" w:rsidRDefault="005273D9" w:rsidP="00C02602">
            <w:pPr>
              <w:spacing w:line="259" w:lineRule="auto"/>
              <w:ind w:right="59"/>
              <w:jc w:val="center"/>
            </w:pPr>
            <w:r>
              <w:t xml:space="preserve">90 </w:t>
            </w:r>
          </w:p>
        </w:tc>
        <w:tc>
          <w:tcPr>
            <w:tcW w:w="1296" w:type="dxa"/>
            <w:tcBorders>
              <w:top w:val="single" w:sz="4" w:space="0" w:color="000000"/>
              <w:left w:val="single" w:sz="4" w:space="0" w:color="000000"/>
              <w:bottom w:val="single" w:sz="4" w:space="0" w:color="000000"/>
              <w:right w:val="single" w:sz="4" w:space="0" w:color="000000"/>
            </w:tcBorders>
          </w:tcPr>
          <w:p w14:paraId="6FE8705F" w14:textId="77777777" w:rsidR="005273D9" w:rsidRDefault="005273D9" w:rsidP="00C02602">
            <w:pPr>
              <w:spacing w:line="259" w:lineRule="auto"/>
              <w:ind w:right="58"/>
              <w:jc w:val="center"/>
            </w:pPr>
            <w:r>
              <w:t xml:space="preserve">1606 </w:t>
            </w:r>
          </w:p>
        </w:tc>
        <w:tc>
          <w:tcPr>
            <w:tcW w:w="1380" w:type="dxa"/>
            <w:tcBorders>
              <w:top w:val="single" w:sz="4" w:space="0" w:color="000000"/>
              <w:left w:val="single" w:sz="4" w:space="0" w:color="000000"/>
              <w:bottom w:val="single" w:sz="4" w:space="0" w:color="000000"/>
              <w:right w:val="single" w:sz="4" w:space="0" w:color="000000"/>
            </w:tcBorders>
          </w:tcPr>
          <w:p w14:paraId="432BE48C" w14:textId="77777777" w:rsidR="005273D9" w:rsidRDefault="005273D9" w:rsidP="00C02602">
            <w:pPr>
              <w:spacing w:line="259" w:lineRule="auto"/>
              <w:ind w:right="57"/>
              <w:jc w:val="center"/>
            </w:pPr>
            <w:r>
              <w:t xml:space="preserve">905 </w:t>
            </w:r>
          </w:p>
        </w:tc>
      </w:tr>
      <w:tr w:rsidR="005273D9" w14:paraId="6686BF13"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3E5D198F" w14:textId="77777777" w:rsidR="005273D9" w:rsidRDefault="005273D9" w:rsidP="00C02602">
            <w:pPr>
              <w:spacing w:line="259" w:lineRule="auto"/>
              <w:ind w:right="58"/>
              <w:jc w:val="center"/>
            </w:pPr>
            <w:r>
              <w:t xml:space="preserve">7 </w:t>
            </w:r>
          </w:p>
        </w:tc>
        <w:tc>
          <w:tcPr>
            <w:tcW w:w="2474" w:type="dxa"/>
            <w:tcBorders>
              <w:top w:val="single" w:sz="4" w:space="0" w:color="000000"/>
              <w:left w:val="single" w:sz="4" w:space="0" w:color="000000"/>
              <w:bottom w:val="single" w:sz="4" w:space="0" w:color="000000"/>
              <w:right w:val="single" w:sz="4" w:space="0" w:color="000000"/>
            </w:tcBorders>
          </w:tcPr>
          <w:p w14:paraId="14AA603D" w14:textId="77777777" w:rsidR="005273D9" w:rsidRDefault="005273D9" w:rsidP="00C02602">
            <w:pPr>
              <w:spacing w:line="259" w:lineRule="auto"/>
              <w:ind w:right="58"/>
              <w:jc w:val="center"/>
            </w:pPr>
            <w:r>
              <w:t xml:space="preserve">San Diego </w:t>
            </w:r>
          </w:p>
        </w:tc>
        <w:tc>
          <w:tcPr>
            <w:tcW w:w="3600" w:type="dxa"/>
            <w:tcBorders>
              <w:top w:val="single" w:sz="4" w:space="0" w:color="000000"/>
              <w:left w:val="single" w:sz="4" w:space="0" w:color="000000"/>
              <w:bottom w:val="single" w:sz="4" w:space="0" w:color="000000"/>
              <w:right w:val="single" w:sz="4" w:space="0" w:color="000000"/>
            </w:tcBorders>
          </w:tcPr>
          <w:p w14:paraId="673ABD1B" w14:textId="77777777" w:rsidR="005273D9" w:rsidRDefault="005273D9" w:rsidP="00C02602">
            <w:pPr>
              <w:spacing w:line="259" w:lineRule="auto"/>
              <w:ind w:left="2"/>
            </w:pPr>
            <w:r>
              <w:t xml:space="preserve">South coastal – San Diego </w:t>
            </w:r>
          </w:p>
        </w:tc>
        <w:tc>
          <w:tcPr>
            <w:tcW w:w="1098" w:type="dxa"/>
            <w:tcBorders>
              <w:top w:val="single" w:sz="4" w:space="0" w:color="000000"/>
              <w:left w:val="single" w:sz="4" w:space="0" w:color="000000"/>
              <w:bottom w:val="single" w:sz="4" w:space="0" w:color="000000"/>
              <w:right w:val="single" w:sz="4" w:space="0" w:color="000000"/>
            </w:tcBorders>
          </w:tcPr>
          <w:p w14:paraId="53759072" w14:textId="77777777" w:rsidR="005273D9" w:rsidRDefault="005273D9" w:rsidP="00C02602">
            <w:pPr>
              <w:spacing w:line="259" w:lineRule="auto"/>
              <w:ind w:right="60"/>
              <w:jc w:val="center"/>
            </w:pPr>
            <w:r>
              <w:t xml:space="preserve">42 </w:t>
            </w:r>
          </w:p>
        </w:tc>
        <w:tc>
          <w:tcPr>
            <w:tcW w:w="1098" w:type="dxa"/>
            <w:tcBorders>
              <w:top w:val="single" w:sz="4" w:space="0" w:color="000000"/>
              <w:left w:val="single" w:sz="4" w:space="0" w:color="000000"/>
              <w:bottom w:val="single" w:sz="4" w:space="0" w:color="000000"/>
              <w:right w:val="single" w:sz="4" w:space="0" w:color="000000"/>
            </w:tcBorders>
          </w:tcPr>
          <w:p w14:paraId="603344DF" w14:textId="77777777" w:rsidR="005273D9" w:rsidRDefault="005273D9" w:rsidP="00C02602">
            <w:pPr>
              <w:spacing w:line="259" w:lineRule="auto"/>
              <w:ind w:right="59"/>
              <w:jc w:val="center"/>
            </w:pPr>
            <w:r>
              <w:t xml:space="preserve">83 </w:t>
            </w:r>
          </w:p>
        </w:tc>
        <w:tc>
          <w:tcPr>
            <w:tcW w:w="1296" w:type="dxa"/>
            <w:tcBorders>
              <w:top w:val="single" w:sz="4" w:space="0" w:color="000000"/>
              <w:left w:val="single" w:sz="4" w:space="0" w:color="000000"/>
              <w:bottom w:val="single" w:sz="4" w:space="0" w:color="000000"/>
              <w:right w:val="single" w:sz="4" w:space="0" w:color="000000"/>
            </w:tcBorders>
          </w:tcPr>
          <w:p w14:paraId="29E60896" w14:textId="77777777" w:rsidR="005273D9" w:rsidRDefault="005273D9" w:rsidP="00C02602">
            <w:pPr>
              <w:spacing w:line="259" w:lineRule="auto"/>
              <w:ind w:right="58"/>
              <w:jc w:val="center"/>
            </w:pPr>
            <w:r>
              <w:t xml:space="preserve">1507 </w:t>
            </w:r>
          </w:p>
        </w:tc>
        <w:tc>
          <w:tcPr>
            <w:tcW w:w="1380" w:type="dxa"/>
            <w:tcBorders>
              <w:top w:val="single" w:sz="4" w:space="0" w:color="000000"/>
              <w:left w:val="single" w:sz="4" w:space="0" w:color="000000"/>
              <w:bottom w:val="single" w:sz="4" w:space="0" w:color="000000"/>
              <w:right w:val="single" w:sz="4" w:space="0" w:color="000000"/>
            </w:tcBorders>
          </w:tcPr>
          <w:p w14:paraId="78E439B5" w14:textId="77777777" w:rsidR="005273D9" w:rsidRDefault="005273D9" w:rsidP="00C02602">
            <w:pPr>
              <w:spacing w:line="259" w:lineRule="auto"/>
              <w:ind w:right="57"/>
              <w:jc w:val="center"/>
            </w:pPr>
            <w:r>
              <w:t xml:space="preserve">722 </w:t>
            </w:r>
          </w:p>
        </w:tc>
      </w:tr>
      <w:tr w:rsidR="005273D9" w14:paraId="61CBFA77" w14:textId="77777777" w:rsidTr="00C3273B">
        <w:trPr>
          <w:trHeight w:val="287"/>
          <w:jc w:val="center"/>
        </w:trPr>
        <w:tc>
          <w:tcPr>
            <w:tcW w:w="1054" w:type="dxa"/>
            <w:tcBorders>
              <w:top w:val="single" w:sz="4" w:space="0" w:color="000000"/>
              <w:left w:val="single" w:sz="4" w:space="0" w:color="000000"/>
              <w:bottom w:val="single" w:sz="4" w:space="0" w:color="000000"/>
              <w:right w:val="single" w:sz="4" w:space="0" w:color="000000"/>
            </w:tcBorders>
          </w:tcPr>
          <w:p w14:paraId="5A5D3283" w14:textId="77777777" w:rsidR="005273D9" w:rsidRDefault="005273D9" w:rsidP="00C02602">
            <w:pPr>
              <w:spacing w:line="259" w:lineRule="auto"/>
              <w:ind w:right="58"/>
              <w:jc w:val="center"/>
            </w:pPr>
            <w:r>
              <w:t xml:space="preserve">8 </w:t>
            </w:r>
          </w:p>
        </w:tc>
        <w:tc>
          <w:tcPr>
            <w:tcW w:w="2474" w:type="dxa"/>
            <w:tcBorders>
              <w:top w:val="single" w:sz="4" w:space="0" w:color="000000"/>
              <w:left w:val="single" w:sz="4" w:space="0" w:color="000000"/>
              <w:bottom w:val="single" w:sz="4" w:space="0" w:color="000000"/>
              <w:right w:val="single" w:sz="4" w:space="0" w:color="000000"/>
            </w:tcBorders>
          </w:tcPr>
          <w:p w14:paraId="4467BA09" w14:textId="77777777" w:rsidR="005273D9" w:rsidRDefault="005273D9" w:rsidP="00C02602">
            <w:pPr>
              <w:spacing w:line="259" w:lineRule="auto"/>
              <w:ind w:right="59"/>
              <w:jc w:val="center"/>
            </w:pPr>
            <w:r>
              <w:t xml:space="preserve">El Toro (Santa Ana) </w:t>
            </w:r>
          </w:p>
        </w:tc>
        <w:tc>
          <w:tcPr>
            <w:tcW w:w="3600" w:type="dxa"/>
            <w:tcBorders>
              <w:top w:val="single" w:sz="4" w:space="0" w:color="000000"/>
              <w:left w:val="single" w:sz="4" w:space="0" w:color="000000"/>
              <w:bottom w:val="single" w:sz="4" w:space="0" w:color="000000"/>
              <w:right w:val="single" w:sz="4" w:space="0" w:color="000000"/>
            </w:tcBorders>
          </w:tcPr>
          <w:p w14:paraId="5A58BB11" w14:textId="77777777" w:rsidR="005273D9" w:rsidRDefault="005273D9" w:rsidP="00C02602">
            <w:pPr>
              <w:spacing w:line="259" w:lineRule="auto"/>
              <w:ind w:left="1"/>
            </w:pPr>
            <w:r>
              <w:t xml:space="preserve">Southern coastal valley-south </w:t>
            </w:r>
          </w:p>
        </w:tc>
        <w:tc>
          <w:tcPr>
            <w:tcW w:w="1098" w:type="dxa"/>
            <w:tcBorders>
              <w:top w:val="single" w:sz="4" w:space="0" w:color="000000"/>
              <w:left w:val="single" w:sz="4" w:space="0" w:color="000000"/>
              <w:bottom w:val="single" w:sz="4" w:space="0" w:color="000000"/>
              <w:right w:val="single" w:sz="4" w:space="0" w:color="000000"/>
            </w:tcBorders>
          </w:tcPr>
          <w:p w14:paraId="190D662D" w14:textId="77777777" w:rsidR="005273D9" w:rsidRDefault="005273D9" w:rsidP="00C02602">
            <w:pPr>
              <w:spacing w:line="259" w:lineRule="auto"/>
              <w:ind w:right="63"/>
              <w:jc w:val="center"/>
            </w:pPr>
            <w:r>
              <w:t xml:space="preserve">38 </w:t>
            </w:r>
          </w:p>
        </w:tc>
        <w:tc>
          <w:tcPr>
            <w:tcW w:w="1098" w:type="dxa"/>
            <w:tcBorders>
              <w:top w:val="single" w:sz="4" w:space="0" w:color="000000"/>
              <w:left w:val="single" w:sz="4" w:space="0" w:color="000000"/>
              <w:bottom w:val="single" w:sz="4" w:space="0" w:color="000000"/>
              <w:right w:val="single" w:sz="4" w:space="0" w:color="000000"/>
            </w:tcBorders>
          </w:tcPr>
          <w:p w14:paraId="32158E83" w14:textId="77777777" w:rsidR="005273D9" w:rsidRDefault="005273D9" w:rsidP="00C02602">
            <w:pPr>
              <w:spacing w:line="259" w:lineRule="auto"/>
              <w:ind w:right="62"/>
              <w:jc w:val="center"/>
            </w:pPr>
            <w:r>
              <w:t xml:space="preserve">89 </w:t>
            </w:r>
          </w:p>
        </w:tc>
        <w:tc>
          <w:tcPr>
            <w:tcW w:w="1296" w:type="dxa"/>
            <w:tcBorders>
              <w:top w:val="single" w:sz="4" w:space="0" w:color="000000"/>
              <w:left w:val="single" w:sz="4" w:space="0" w:color="000000"/>
              <w:bottom w:val="single" w:sz="4" w:space="0" w:color="000000"/>
              <w:right w:val="single" w:sz="4" w:space="0" w:color="000000"/>
            </w:tcBorders>
          </w:tcPr>
          <w:p w14:paraId="0008F9FB" w14:textId="77777777" w:rsidR="005273D9" w:rsidRDefault="005273D9" w:rsidP="00C02602">
            <w:pPr>
              <w:spacing w:line="259" w:lineRule="auto"/>
              <w:ind w:right="61"/>
              <w:jc w:val="center"/>
            </w:pPr>
            <w:r>
              <w:t xml:space="preserve">1675 </w:t>
            </w:r>
          </w:p>
        </w:tc>
        <w:tc>
          <w:tcPr>
            <w:tcW w:w="1380" w:type="dxa"/>
            <w:tcBorders>
              <w:top w:val="single" w:sz="4" w:space="0" w:color="000000"/>
              <w:left w:val="single" w:sz="4" w:space="0" w:color="000000"/>
              <w:bottom w:val="single" w:sz="4" w:space="0" w:color="000000"/>
              <w:right w:val="single" w:sz="4" w:space="0" w:color="000000"/>
            </w:tcBorders>
          </w:tcPr>
          <w:p w14:paraId="736AC31C" w14:textId="77777777" w:rsidR="005273D9" w:rsidRDefault="005273D9" w:rsidP="00C02602">
            <w:pPr>
              <w:spacing w:line="259" w:lineRule="auto"/>
              <w:ind w:right="60"/>
              <w:jc w:val="center"/>
            </w:pPr>
            <w:r>
              <w:t xml:space="preserve">972 </w:t>
            </w:r>
          </w:p>
        </w:tc>
      </w:tr>
      <w:tr w:rsidR="005273D9" w14:paraId="7CB9119F"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69548111" w14:textId="77777777" w:rsidR="005273D9" w:rsidRDefault="005273D9" w:rsidP="00C02602">
            <w:pPr>
              <w:spacing w:line="259" w:lineRule="auto"/>
              <w:ind w:right="58"/>
              <w:jc w:val="center"/>
            </w:pPr>
            <w:r>
              <w:t xml:space="preserve">9 </w:t>
            </w:r>
          </w:p>
        </w:tc>
        <w:tc>
          <w:tcPr>
            <w:tcW w:w="2474" w:type="dxa"/>
            <w:tcBorders>
              <w:top w:val="single" w:sz="4" w:space="0" w:color="000000"/>
              <w:left w:val="single" w:sz="4" w:space="0" w:color="000000"/>
              <w:bottom w:val="single" w:sz="4" w:space="0" w:color="000000"/>
              <w:right w:val="single" w:sz="4" w:space="0" w:color="000000"/>
            </w:tcBorders>
          </w:tcPr>
          <w:p w14:paraId="69E86135" w14:textId="77777777" w:rsidR="005273D9" w:rsidRDefault="005273D9" w:rsidP="00C02602">
            <w:pPr>
              <w:spacing w:line="259" w:lineRule="auto"/>
              <w:ind w:right="58"/>
              <w:jc w:val="center"/>
            </w:pPr>
            <w:r>
              <w:t xml:space="preserve">Burbank </w:t>
            </w:r>
          </w:p>
        </w:tc>
        <w:tc>
          <w:tcPr>
            <w:tcW w:w="3600" w:type="dxa"/>
            <w:tcBorders>
              <w:top w:val="single" w:sz="4" w:space="0" w:color="000000"/>
              <w:left w:val="single" w:sz="4" w:space="0" w:color="000000"/>
              <w:bottom w:val="single" w:sz="4" w:space="0" w:color="000000"/>
              <w:right w:val="single" w:sz="4" w:space="0" w:color="000000"/>
            </w:tcBorders>
          </w:tcPr>
          <w:p w14:paraId="12E62E02" w14:textId="77777777" w:rsidR="005273D9" w:rsidRDefault="005273D9" w:rsidP="00C02602">
            <w:pPr>
              <w:spacing w:line="259" w:lineRule="auto"/>
              <w:ind w:left="2"/>
            </w:pPr>
            <w:r>
              <w:t xml:space="preserve">Southern coastal valley-north </w:t>
            </w:r>
          </w:p>
        </w:tc>
        <w:tc>
          <w:tcPr>
            <w:tcW w:w="1098" w:type="dxa"/>
            <w:tcBorders>
              <w:top w:val="single" w:sz="4" w:space="0" w:color="000000"/>
              <w:left w:val="single" w:sz="4" w:space="0" w:color="000000"/>
              <w:bottom w:val="single" w:sz="4" w:space="0" w:color="000000"/>
              <w:right w:val="single" w:sz="4" w:space="0" w:color="000000"/>
            </w:tcBorders>
          </w:tcPr>
          <w:p w14:paraId="237FD0F4" w14:textId="77777777" w:rsidR="005273D9" w:rsidRDefault="005273D9" w:rsidP="00C02602">
            <w:pPr>
              <w:spacing w:line="259" w:lineRule="auto"/>
              <w:ind w:right="62"/>
              <w:jc w:val="center"/>
            </w:pPr>
            <w:r>
              <w:t xml:space="preserve">34 </w:t>
            </w:r>
          </w:p>
        </w:tc>
        <w:tc>
          <w:tcPr>
            <w:tcW w:w="1098" w:type="dxa"/>
            <w:tcBorders>
              <w:top w:val="single" w:sz="4" w:space="0" w:color="000000"/>
              <w:left w:val="single" w:sz="4" w:space="0" w:color="000000"/>
              <w:bottom w:val="single" w:sz="4" w:space="0" w:color="000000"/>
              <w:right w:val="single" w:sz="4" w:space="0" w:color="000000"/>
            </w:tcBorders>
          </w:tcPr>
          <w:p w14:paraId="797FEC64" w14:textId="77777777" w:rsidR="005273D9" w:rsidRDefault="005273D9" w:rsidP="00C02602">
            <w:pPr>
              <w:spacing w:line="259" w:lineRule="auto"/>
              <w:ind w:right="62"/>
              <w:jc w:val="center"/>
            </w:pPr>
            <w:r>
              <w:t xml:space="preserve">96 </w:t>
            </w:r>
          </w:p>
        </w:tc>
        <w:tc>
          <w:tcPr>
            <w:tcW w:w="1296" w:type="dxa"/>
            <w:tcBorders>
              <w:top w:val="single" w:sz="4" w:space="0" w:color="000000"/>
              <w:left w:val="single" w:sz="4" w:space="0" w:color="000000"/>
              <w:bottom w:val="single" w:sz="4" w:space="0" w:color="000000"/>
              <w:right w:val="single" w:sz="4" w:space="0" w:color="000000"/>
            </w:tcBorders>
          </w:tcPr>
          <w:p w14:paraId="3B9CAAAB" w14:textId="77777777" w:rsidR="005273D9" w:rsidRDefault="005273D9" w:rsidP="00C02602">
            <w:pPr>
              <w:spacing w:line="259" w:lineRule="auto"/>
              <w:ind w:right="60"/>
              <w:jc w:val="center"/>
            </w:pPr>
            <w:r>
              <w:t xml:space="preserve">1701 </w:t>
            </w:r>
          </w:p>
        </w:tc>
        <w:tc>
          <w:tcPr>
            <w:tcW w:w="1380" w:type="dxa"/>
            <w:tcBorders>
              <w:top w:val="single" w:sz="4" w:space="0" w:color="000000"/>
              <w:left w:val="single" w:sz="4" w:space="0" w:color="000000"/>
              <w:bottom w:val="single" w:sz="4" w:space="0" w:color="000000"/>
              <w:right w:val="single" w:sz="4" w:space="0" w:color="000000"/>
            </w:tcBorders>
          </w:tcPr>
          <w:p w14:paraId="044C4328" w14:textId="77777777" w:rsidR="005273D9" w:rsidRDefault="005273D9" w:rsidP="00C02602">
            <w:pPr>
              <w:spacing w:line="259" w:lineRule="auto"/>
              <w:ind w:right="59"/>
              <w:jc w:val="center"/>
            </w:pPr>
            <w:r>
              <w:t xml:space="preserve">1179 </w:t>
            </w:r>
          </w:p>
        </w:tc>
      </w:tr>
      <w:tr w:rsidR="005273D9" w14:paraId="4A851996"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62E5F486" w14:textId="77777777" w:rsidR="005273D9" w:rsidRDefault="005273D9" w:rsidP="00C02602">
            <w:pPr>
              <w:spacing w:line="259" w:lineRule="auto"/>
              <w:ind w:right="58"/>
              <w:jc w:val="center"/>
            </w:pPr>
            <w:r>
              <w:t xml:space="preserve">10 </w:t>
            </w:r>
          </w:p>
        </w:tc>
        <w:tc>
          <w:tcPr>
            <w:tcW w:w="2474" w:type="dxa"/>
            <w:tcBorders>
              <w:top w:val="single" w:sz="4" w:space="0" w:color="000000"/>
              <w:left w:val="single" w:sz="4" w:space="0" w:color="000000"/>
              <w:bottom w:val="single" w:sz="4" w:space="0" w:color="000000"/>
              <w:right w:val="single" w:sz="4" w:space="0" w:color="000000"/>
            </w:tcBorders>
          </w:tcPr>
          <w:p w14:paraId="2AE2AAF2" w14:textId="77777777" w:rsidR="005273D9" w:rsidRDefault="005273D9" w:rsidP="00C02602">
            <w:pPr>
              <w:spacing w:line="259" w:lineRule="auto"/>
              <w:ind w:right="58"/>
              <w:jc w:val="center"/>
            </w:pPr>
            <w:r>
              <w:t xml:space="preserve">Riverside </w:t>
            </w:r>
          </w:p>
        </w:tc>
        <w:tc>
          <w:tcPr>
            <w:tcW w:w="3600" w:type="dxa"/>
            <w:tcBorders>
              <w:top w:val="single" w:sz="4" w:space="0" w:color="000000"/>
              <w:left w:val="single" w:sz="4" w:space="0" w:color="000000"/>
              <w:bottom w:val="single" w:sz="4" w:space="0" w:color="000000"/>
              <w:right w:val="single" w:sz="4" w:space="0" w:color="000000"/>
            </w:tcBorders>
          </w:tcPr>
          <w:p w14:paraId="54C4DFD4" w14:textId="77777777" w:rsidR="005273D9" w:rsidRDefault="005273D9" w:rsidP="00C02602">
            <w:pPr>
              <w:spacing w:line="259" w:lineRule="auto"/>
              <w:ind w:left="1"/>
            </w:pPr>
            <w:r>
              <w:t xml:space="preserve">Southern inland valley </w:t>
            </w:r>
          </w:p>
        </w:tc>
        <w:tc>
          <w:tcPr>
            <w:tcW w:w="1098" w:type="dxa"/>
            <w:tcBorders>
              <w:top w:val="single" w:sz="4" w:space="0" w:color="000000"/>
              <w:left w:val="single" w:sz="4" w:space="0" w:color="000000"/>
              <w:bottom w:val="single" w:sz="4" w:space="0" w:color="000000"/>
              <w:right w:val="single" w:sz="4" w:space="0" w:color="000000"/>
            </w:tcBorders>
          </w:tcPr>
          <w:p w14:paraId="1FCBA0A8" w14:textId="77777777" w:rsidR="005273D9" w:rsidRDefault="005273D9" w:rsidP="00C02602">
            <w:pPr>
              <w:spacing w:line="259" w:lineRule="auto"/>
              <w:ind w:right="62"/>
              <w:jc w:val="center"/>
            </w:pPr>
            <w:r>
              <w:t xml:space="preserve">32 </w:t>
            </w:r>
          </w:p>
        </w:tc>
        <w:tc>
          <w:tcPr>
            <w:tcW w:w="1098" w:type="dxa"/>
            <w:tcBorders>
              <w:top w:val="single" w:sz="4" w:space="0" w:color="000000"/>
              <w:left w:val="single" w:sz="4" w:space="0" w:color="000000"/>
              <w:bottom w:val="single" w:sz="4" w:space="0" w:color="000000"/>
              <w:right w:val="single" w:sz="4" w:space="0" w:color="000000"/>
            </w:tcBorders>
          </w:tcPr>
          <w:p w14:paraId="61DF224C" w14:textId="77777777" w:rsidR="005273D9" w:rsidRDefault="005273D9" w:rsidP="00C02602">
            <w:pPr>
              <w:spacing w:line="259" w:lineRule="auto"/>
              <w:ind w:right="61"/>
              <w:jc w:val="center"/>
            </w:pPr>
            <w:r>
              <w:t xml:space="preserve">100 </w:t>
            </w:r>
          </w:p>
        </w:tc>
        <w:tc>
          <w:tcPr>
            <w:tcW w:w="1296" w:type="dxa"/>
            <w:tcBorders>
              <w:top w:val="single" w:sz="4" w:space="0" w:color="000000"/>
              <w:left w:val="single" w:sz="4" w:space="0" w:color="000000"/>
              <w:bottom w:val="single" w:sz="4" w:space="0" w:color="000000"/>
              <w:right w:val="single" w:sz="4" w:space="0" w:color="000000"/>
            </w:tcBorders>
          </w:tcPr>
          <w:p w14:paraId="4833B292" w14:textId="77777777" w:rsidR="005273D9" w:rsidRDefault="005273D9" w:rsidP="00C02602">
            <w:pPr>
              <w:spacing w:line="259" w:lineRule="auto"/>
              <w:ind w:right="59"/>
              <w:jc w:val="center"/>
            </w:pPr>
            <w:r>
              <w:t xml:space="preserve">1919 </w:t>
            </w:r>
          </w:p>
        </w:tc>
        <w:tc>
          <w:tcPr>
            <w:tcW w:w="1380" w:type="dxa"/>
            <w:tcBorders>
              <w:top w:val="single" w:sz="4" w:space="0" w:color="000000"/>
              <w:left w:val="single" w:sz="4" w:space="0" w:color="000000"/>
              <w:bottom w:val="single" w:sz="4" w:space="0" w:color="000000"/>
              <w:right w:val="single" w:sz="4" w:space="0" w:color="000000"/>
            </w:tcBorders>
          </w:tcPr>
          <w:p w14:paraId="025679A3" w14:textId="77777777" w:rsidR="005273D9" w:rsidRDefault="005273D9" w:rsidP="00C02602">
            <w:pPr>
              <w:spacing w:line="259" w:lineRule="auto"/>
              <w:ind w:right="58"/>
              <w:jc w:val="center"/>
            </w:pPr>
            <w:r>
              <w:t xml:space="preserve">1324 </w:t>
            </w:r>
          </w:p>
        </w:tc>
      </w:tr>
      <w:tr w:rsidR="005273D9" w14:paraId="1C54DDA6" w14:textId="77777777" w:rsidTr="00C3273B">
        <w:trPr>
          <w:trHeight w:val="287"/>
          <w:jc w:val="center"/>
        </w:trPr>
        <w:tc>
          <w:tcPr>
            <w:tcW w:w="1054" w:type="dxa"/>
            <w:tcBorders>
              <w:top w:val="single" w:sz="4" w:space="0" w:color="000000"/>
              <w:left w:val="single" w:sz="4" w:space="0" w:color="000000"/>
              <w:bottom w:val="single" w:sz="4" w:space="0" w:color="000000"/>
              <w:right w:val="single" w:sz="4" w:space="0" w:color="000000"/>
            </w:tcBorders>
          </w:tcPr>
          <w:p w14:paraId="6F33723F" w14:textId="77777777" w:rsidR="005273D9" w:rsidRDefault="005273D9" w:rsidP="00C02602">
            <w:pPr>
              <w:spacing w:line="259" w:lineRule="auto"/>
              <w:ind w:right="58"/>
              <w:jc w:val="center"/>
            </w:pPr>
            <w:r>
              <w:t xml:space="preserve">11 </w:t>
            </w:r>
          </w:p>
        </w:tc>
        <w:tc>
          <w:tcPr>
            <w:tcW w:w="2474" w:type="dxa"/>
            <w:tcBorders>
              <w:top w:val="single" w:sz="4" w:space="0" w:color="000000"/>
              <w:left w:val="single" w:sz="4" w:space="0" w:color="000000"/>
              <w:bottom w:val="single" w:sz="4" w:space="0" w:color="000000"/>
              <w:right w:val="single" w:sz="4" w:space="0" w:color="000000"/>
            </w:tcBorders>
          </w:tcPr>
          <w:p w14:paraId="23B2DB2A" w14:textId="77777777" w:rsidR="005273D9" w:rsidRDefault="005273D9" w:rsidP="00C02602">
            <w:pPr>
              <w:spacing w:line="259" w:lineRule="auto"/>
              <w:ind w:right="57"/>
              <w:jc w:val="center"/>
            </w:pPr>
            <w:r>
              <w:t xml:space="preserve">Red Bluff </w:t>
            </w:r>
          </w:p>
        </w:tc>
        <w:tc>
          <w:tcPr>
            <w:tcW w:w="3600" w:type="dxa"/>
            <w:tcBorders>
              <w:top w:val="single" w:sz="4" w:space="0" w:color="000000"/>
              <w:left w:val="single" w:sz="4" w:space="0" w:color="000000"/>
              <w:bottom w:val="single" w:sz="4" w:space="0" w:color="000000"/>
              <w:right w:val="single" w:sz="4" w:space="0" w:color="000000"/>
            </w:tcBorders>
          </w:tcPr>
          <w:p w14:paraId="1F8EB2E6" w14:textId="77777777" w:rsidR="005273D9" w:rsidRDefault="005273D9" w:rsidP="00C02602">
            <w:pPr>
              <w:spacing w:line="259" w:lineRule="auto"/>
              <w:ind w:left="3"/>
            </w:pPr>
            <w:r>
              <w:t xml:space="preserve">Northern inland valley – hot </w:t>
            </w:r>
          </w:p>
        </w:tc>
        <w:tc>
          <w:tcPr>
            <w:tcW w:w="1098" w:type="dxa"/>
            <w:tcBorders>
              <w:top w:val="single" w:sz="4" w:space="0" w:color="000000"/>
              <w:left w:val="single" w:sz="4" w:space="0" w:color="000000"/>
              <w:bottom w:val="single" w:sz="4" w:space="0" w:color="000000"/>
              <w:right w:val="single" w:sz="4" w:space="0" w:color="000000"/>
            </w:tcBorders>
          </w:tcPr>
          <w:p w14:paraId="4071F6D3" w14:textId="77777777" w:rsidR="005273D9" w:rsidRDefault="005273D9" w:rsidP="00C02602">
            <w:pPr>
              <w:spacing w:line="259" w:lineRule="auto"/>
              <w:ind w:right="61"/>
              <w:jc w:val="center"/>
            </w:pPr>
            <w:r>
              <w:t xml:space="preserve">29 </w:t>
            </w:r>
          </w:p>
        </w:tc>
        <w:tc>
          <w:tcPr>
            <w:tcW w:w="1098" w:type="dxa"/>
            <w:tcBorders>
              <w:top w:val="single" w:sz="4" w:space="0" w:color="000000"/>
              <w:left w:val="single" w:sz="4" w:space="0" w:color="000000"/>
              <w:bottom w:val="single" w:sz="4" w:space="0" w:color="000000"/>
              <w:right w:val="single" w:sz="4" w:space="0" w:color="000000"/>
            </w:tcBorders>
          </w:tcPr>
          <w:p w14:paraId="6F16CB40" w14:textId="77777777" w:rsidR="005273D9" w:rsidRDefault="005273D9" w:rsidP="00C02602">
            <w:pPr>
              <w:spacing w:line="259" w:lineRule="auto"/>
              <w:ind w:right="61"/>
              <w:jc w:val="center"/>
            </w:pPr>
            <w:r>
              <w:t xml:space="preserve">104 </w:t>
            </w:r>
          </w:p>
        </w:tc>
        <w:tc>
          <w:tcPr>
            <w:tcW w:w="1296" w:type="dxa"/>
            <w:tcBorders>
              <w:top w:val="single" w:sz="4" w:space="0" w:color="000000"/>
              <w:left w:val="single" w:sz="4" w:space="0" w:color="000000"/>
              <w:bottom w:val="single" w:sz="4" w:space="0" w:color="000000"/>
              <w:right w:val="single" w:sz="4" w:space="0" w:color="000000"/>
            </w:tcBorders>
          </w:tcPr>
          <w:p w14:paraId="588044D8" w14:textId="77777777" w:rsidR="005273D9" w:rsidRDefault="005273D9" w:rsidP="00C02602">
            <w:pPr>
              <w:spacing w:line="259" w:lineRule="auto"/>
              <w:ind w:right="59"/>
              <w:jc w:val="center"/>
            </w:pPr>
            <w:r>
              <w:t xml:space="preserve">2688 </w:t>
            </w:r>
          </w:p>
        </w:tc>
        <w:tc>
          <w:tcPr>
            <w:tcW w:w="1380" w:type="dxa"/>
            <w:tcBorders>
              <w:top w:val="single" w:sz="4" w:space="0" w:color="000000"/>
              <w:left w:val="single" w:sz="4" w:space="0" w:color="000000"/>
              <w:bottom w:val="single" w:sz="4" w:space="0" w:color="000000"/>
              <w:right w:val="single" w:sz="4" w:space="0" w:color="000000"/>
            </w:tcBorders>
          </w:tcPr>
          <w:p w14:paraId="4BDDF034" w14:textId="77777777" w:rsidR="005273D9" w:rsidRDefault="005273D9" w:rsidP="00C02602">
            <w:pPr>
              <w:spacing w:line="259" w:lineRule="auto"/>
              <w:ind w:right="59"/>
              <w:jc w:val="center"/>
            </w:pPr>
            <w:r>
              <w:t xml:space="preserve">1904 </w:t>
            </w:r>
          </w:p>
        </w:tc>
      </w:tr>
      <w:tr w:rsidR="005273D9" w14:paraId="2E5A91DD"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7EC7EC36" w14:textId="77777777" w:rsidR="005273D9" w:rsidRDefault="005273D9" w:rsidP="00C02602">
            <w:pPr>
              <w:spacing w:line="259" w:lineRule="auto"/>
              <w:ind w:right="57"/>
              <w:jc w:val="center"/>
            </w:pPr>
            <w:r>
              <w:t xml:space="preserve">12 </w:t>
            </w:r>
          </w:p>
        </w:tc>
        <w:tc>
          <w:tcPr>
            <w:tcW w:w="2474" w:type="dxa"/>
            <w:tcBorders>
              <w:top w:val="single" w:sz="4" w:space="0" w:color="000000"/>
              <w:left w:val="single" w:sz="4" w:space="0" w:color="000000"/>
              <w:bottom w:val="single" w:sz="4" w:space="0" w:color="000000"/>
              <w:right w:val="single" w:sz="4" w:space="0" w:color="000000"/>
            </w:tcBorders>
          </w:tcPr>
          <w:p w14:paraId="56BDDBB0" w14:textId="77777777" w:rsidR="005273D9" w:rsidRDefault="005273D9" w:rsidP="00C02602">
            <w:pPr>
              <w:spacing w:line="259" w:lineRule="auto"/>
              <w:ind w:right="58"/>
              <w:jc w:val="center"/>
            </w:pPr>
            <w:r>
              <w:t xml:space="preserve">Sacramento </w:t>
            </w:r>
          </w:p>
        </w:tc>
        <w:tc>
          <w:tcPr>
            <w:tcW w:w="3600" w:type="dxa"/>
            <w:tcBorders>
              <w:top w:val="single" w:sz="4" w:space="0" w:color="000000"/>
              <w:left w:val="single" w:sz="4" w:space="0" w:color="000000"/>
              <w:bottom w:val="single" w:sz="4" w:space="0" w:color="000000"/>
              <w:right w:val="single" w:sz="4" w:space="0" w:color="000000"/>
            </w:tcBorders>
          </w:tcPr>
          <w:p w14:paraId="4CA1C362" w14:textId="77777777" w:rsidR="005273D9" w:rsidRDefault="005273D9" w:rsidP="00C02602">
            <w:pPr>
              <w:spacing w:line="259" w:lineRule="auto"/>
              <w:ind w:left="1"/>
            </w:pPr>
            <w:r>
              <w:t xml:space="preserve">Northern inland valley – moderate </w:t>
            </w:r>
          </w:p>
        </w:tc>
        <w:tc>
          <w:tcPr>
            <w:tcW w:w="1098" w:type="dxa"/>
            <w:tcBorders>
              <w:top w:val="single" w:sz="4" w:space="0" w:color="000000"/>
              <w:left w:val="single" w:sz="4" w:space="0" w:color="000000"/>
              <w:bottom w:val="single" w:sz="4" w:space="0" w:color="000000"/>
              <w:right w:val="single" w:sz="4" w:space="0" w:color="000000"/>
            </w:tcBorders>
          </w:tcPr>
          <w:p w14:paraId="74D15546" w14:textId="77777777" w:rsidR="005273D9" w:rsidRDefault="005273D9" w:rsidP="00C02602">
            <w:pPr>
              <w:spacing w:line="259" w:lineRule="auto"/>
              <w:ind w:right="62"/>
              <w:jc w:val="center"/>
            </w:pPr>
            <w:r>
              <w:t xml:space="preserve">31 </w:t>
            </w:r>
          </w:p>
        </w:tc>
        <w:tc>
          <w:tcPr>
            <w:tcW w:w="1098" w:type="dxa"/>
            <w:tcBorders>
              <w:top w:val="single" w:sz="4" w:space="0" w:color="000000"/>
              <w:left w:val="single" w:sz="4" w:space="0" w:color="000000"/>
              <w:bottom w:val="single" w:sz="4" w:space="0" w:color="000000"/>
              <w:right w:val="single" w:sz="4" w:space="0" w:color="000000"/>
            </w:tcBorders>
          </w:tcPr>
          <w:p w14:paraId="1DC153FF" w14:textId="77777777" w:rsidR="005273D9" w:rsidRDefault="005273D9" w:rsidP="00C02602">
            <w:pPr>
              <w:spacing w:line="259" w:lineRule="auto"/>
              <w:ind w:right="61"/>
              <w:jc w:val="center"/>
            </w:pPr>
            <w:r>
              <w:t xml:space="preserve">100 </w:t>
            </w:r>
          </w:p>
        </w:tc>
        <w:tc>
          <w:tcPr>
            <w:tcW w:w="1296" w:type="dxa"/>
            <w:tcBorders>
              <w:top w:val="single" w:sz="4" w:space="0" w:color="000000"/>
              <w:left w:val="single" w:sz="4" w:space="0" w:color="000000"/>
              <w:bottom w:val="single" w:sz="4" w:space="0" w:color="000000"/>
              <w:right w:val="single" w:sz="4" w:space="0" w:color="000000"/>
            </w:tcBorders>
          </w:tcPr>
          <w:p w14:paraId="1CC010F7" w14:textId="77777777" w:rsidR="005273D9" w:rsidRDefault="005273D9" w:rsidP="00C02602">
            <w:pPr>
              <w:spacing w:line="259" w:lineRule="auto"/>
              <w:ind w:right="59"/>
              <w:jc w:val="center"/>
            </w:pPr>
            <w:r>
              <w:t xml:space="preserve">2843 </w:t>
            </w:r>
          </w:p>
        </w:tc>
        <w:tc>
          <w:tcPr>
            <w:tcW w:w="1380" w:type="dxa"/>
            <w:tcBorders>
              <w:top w:val="single" w:sz="4" w:space="0" w:color="000000"/>
              <w:left w:val="single" w:sz="4" w:space="0" w:color="000000"/>
              <w:bottom w:val="single" w:sz="4" w:space="0" w:color="000000"/>
              <w:right w:val="single" w:sz="4" w:space="0" w:color="000000"/>
            </w:tcBorders>
          </w:tcPr>
          <w:p w14:paraId="0F579778" w14:textId="77777777" w:rsidR="005273D9" w:rsidRDefault="005273D9" w:rsidP="00C02602">
            <w:pPr>
              <w:spacing w:line="259" w:lineRule="auto"/>
              <w:ind w:right="58"/>
              <w:jc w:val="center"/>
            </w:pPr>
            <w:r>
              <w:t xml:space="preserve">1159 </w:t>
            </w:r>
          </w:p>
        </w:tc>
      </w:tr>
      <w:tr w:rsidR="005273D9" w14:paraId="10C674ED"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639A98C2" w14:textId="77777777" w:rsidR="005273D9" w:rsidRDefault="005273D9" w:rsidP="00C02602">
            <w:pPr>
              <w:spacing w:line="259" w:lineRule="auto"/>
              <w:ind w:right="58"/>
              <w:jc w:val="center"/>
            </w:pPr>
            <w:r>
              <w:t xml:space="preserve">13 </w:t>
            </w:r>
          </w:p>
        </w:tc>
        <w:tc>
          <w:tcPr>
            <w:tcW w:w="2474" w:type="dxa"/>
            <w:tcBorders>
              <w:top w:val="single" w:sz="4" w:space="0" w:color="000000"/>
              <w:left w:val="single" w:sz="4" w:space="0" w:color="000000"/>
              <w:bottom w:val="single" w:sz="4" w:space="0" w:color="000000"/>
              <w:right w:val="single" w:sz="4" w:space="0" w:color="000000"/>
            </w:tcBorders>
          </w:tcPr>
          <w:p w14:paraId="3CE343A3" w14:textId="77777777" w:rsidR="005273D9" w:rsidRDefault="005273D9" w:rsidP="00C02602">
            <w:pPr>
              <w:spacing w:line="259" w:lineRule="auto"/>
              <w:ind w:right="58"/>
              <w:jc w:val="center"/>
            </w:pPr>
            <w:r>
              <w:t xml:space="preserve">Fresno </w:t>
            </w:r>
          </w:p>
        </w:tc>
        <w:tc>
          <w:tcPr>
            <w:tcW w:w="3600" w:type="dxa"/>
            <w:tcBorders>
              <w:top w:val="single" w:sz="4" w:space="0" w:color="000000"/>
              <w:left w:val="single" w:sz="4" w:space="0" w:color="000000"/>
              <w:bottom w:val="single" w:sz="4" w:space="0" w:color="000000"/>
              <w:right w:val="single" w:sz="4" w:space="0" w:color="000000"/>
            </w:tcBorders>
          </w:tcPr>
          <w:p w14:paraId="75A69309" w14:textId="77777777" w:rsidR="005273D9" w:rsidRDefault="005273D9" w:rsidP="00C02602">
            <w:pPr>
              <w:spacing w:line="259" w:lineRule="auto"/>
              <w:ind w:left="1"/>
            </w:pPr>
            <w:r>
              <w:t xml:space="preserve">Central inland valley </w:t>
            </w:r>
          </w:p>
        </w:tc>
        <w:tc>
          <w:tcPr>
            <w:tcW w:w="1098" w:type="dxa"/>
            <w:tcBorders>
              <w:top w:val="single" w:sz="4" w:space="0" w:color="000000"/>
              <w:left w:val="single" w:sz="4" w:space="0" w:color="000000"/>
              <w:bottom w:val="single" w:sz="4" w:space="0" w:color="000000"/>
              <w:right w:val="single" w:sz="4" w:space="0" w:color="000000"/>
            </w:tcBorders>
          </w:tcPr>
          <w:p w14:paraId="1263C3C6" w14:textId="77777777" w:rsidR="005273D9" w:rsidRDefault="005273D9" w:rsidP="00C02602">
            <w:pPr>
              <w:spacing w:line="259" w:lineRule="auto"/>
              <w:ind w:right="62"/>
              <w:jc w:val="center"/>
            </w:pPr>
            <w:r>
              <w:t xml:space="preserve">28 </w:t>
            </w:r>
          </w:p>
        </w:tc>
        <w:tc>
          <w:tcPr>
            <w:tcW w:w="1098" w:type="dxa"/>
            <w:tcBorders>
              <w:top w:val="single" w:sz="4" w:space="0" w:color="000000"/>
              <w:left w:val="single" w:sz="4" w:space="0" w:color="000000"/>
              <w:bottom w:val="single" w:sz="4" w:space="0" w:color="000000"/>
              <w:right w:val="single" w:sz="4" w:space="0" w:color="000000"/>
            </w:tcBorders>
          </w:tcPr>
          <w:p w14:paraId="185A2E04" w14:textId="77777777" w:rsidR="005273D9" w:rsidRDefault="005273D9" w:rsidP="00C02602">
            <w:pPr>
              <w:spacing w:line="259" w:lineRule="auto"/>
              <w:ind w:right="61"/>
              <w:jc w:val="center"/>
            </w:pPr>
            <w:r>
              <w:t xml:space="preserve">101 </w:t>
            </w:r>
          </w:p>
        </w:tc>
        <w:tc>
          <w:tcPr>
            <w:tcW w:w="1296" w:type="dxa"/>
            <w:tcBorders>
              <w:top w:val="single" w:sz="4" w:space="0" w:color="000000"/>
              <w:left w:val="single" w:sz="4" w:space="0" w:color="000000"/>
              <w:bottom w:val="single" w:sz="4" w:space="0" w:color="000000"/>
              <w:right w:val="single" w:sz="4" w:space="0" w:color="000000"/>
            </w:tcBorders>
          </w:tcPr>
          <w:p w14:paraId="56A413F0" w14:textId="77777777" w:rsidR="005273D9" w:rsidRDefault="005273D9" w:rsidP="00C02602">
            <w:pPr>
              <w:spacing w:line="259" w:lineRule="auto"/>
              <w:ind w:right="59"/>
              <w:jc w:val="center"/>
            </w:pPr>
            <w:r>
              <w:t xml:space="preserve">2650 </w:t>
            </w:r>
          </w:p>
        </w:tc>
        <w:tc>
          <w:tcPr>
            <w:tcW w:w="1380" w:type="dxa"/>
            <w:tcBorders>
              <w:top w:val="single" w:sz="4" w:space="0" w:color="000000"/>
              <w:left w:val="single" w:sz="4" w:space="0" w:color="000000"/>
              <w:bottom w:val="single" w:sz="4" w:space="0" w:color="000000"/>
              <w:right w:val="single" w:sz="4" w:space="0" w:color="000000"/>
            </w:tcBorders>
          </w:tcPr>
          <w:p w14:paraId="6F9DB8C6" w14:textId="77777777" w:rsidR="005273D9" w:rsidRDefault="005273D9" w:rsidP="00C02602">
            <w:pPr>
              <w:spacing w:line="259" w:lineRule="auto"/>
              <w:ind w:right="58"/>
              <w:jc w:val="center"/>
            </w:pPr>
            <w:r>
              <w:t xml:space="preserve">1671 </w:t>
            </w:r>
          </w:p>
        </w:tc>
      </w:tr>
      <w:tr w:rsidR="005273D9" w14:paraId="368854D9" w14:textId="77777777" w:rsidTr="00C3273B">
        <w:trPr>
          <w:trHeight w:val="287"/>
          <w:jc w:val="center"/>
        </w:trPr>
        <w:tc>
          <w:tcPr>
            <w:tcW w:w="1054" w:type="dxa"/>
            <w:tcBorders>
              <w:top w:val="single" w:sz="4" w:space="0" w:color="000000"/>
              <w:left w:val="single" w:sz="4" w:space="0" w:color="000000"/>
              <w:bottom w:val="single" w:sz="4" w:space="0" w:color="000000"/>
              <w:right w:val="single" w:sz="4" w:space="0" w:color="000000"/>
            </w:tcBorders>
          </w:tcPr>
          <w:p w14:paraId="28805847" w14:textId="77777777" w:rsidR="005273D9" w:rsidRDefault="005273D9" w:rsidP="00C02602">
            <w:pPr>
              <w:spacing w:line="259" w:lineRule="auto"/>
              <w:ind w:right="58"/>
              <w:jc w:val="center"/>
            </w:pPr>
            <w:r>
              <w:t xml:space="preserve">14 </w:t>
            </w:r>
          </w:p>
        </w:tc>
        <w:tc>
          <w:tcPr>
            <w:tcW w:w="2474" w:type="dxa"/>
            <w:tcBorders>
              <w:top w:val="single" w:sz="4" w:space="0" w:color="000000"/>
              <w:left w:val="single" w:sz="4" w:space="0" w:color="000000"/>
              <w:bottom w:val="single" w:sz="4" w:space="0" w:color="000000"/>
              <w:right w:val="single" w:sz="4" w:space="0" w:color="000000"/>
            </w:tcBorders>
          </w:tcPr>
          <w:p w14:paraId="5EC76DC3" w14:textId="77777777" w:rsidR="005273D9" w:rsidRDefault="005273D9" w:rsidP="00C02602">
            <w:pPr>
              <w:spacing w:line="259" w:lineRule="auto"/>
              <w:ind w:left="63"/>
            </w:pPr>
            <w:r>
              <w:t xml:space="preserve">China Lake (Barstow) </w:t>
            </w:r>
          </w:p>
        </w:tc>
        <w:tc>
          <w:tcPr>
            <w:tcW w:w="3600" w:type="dxa"/>
            <w:tcBorders>
              <w:top w:val="single" w:sz="4" w:space="0" w:color="000000"/>
              <w:left w:val="single" w:sz="4" w:space="0" w:color="000000"/>
              <w:bottom w:val="single" w:sz="4" w:space="0" w:color="000000"/>
              <w:right w:val="single" w:sz="4" w:space="0" w:color="000000"/>
            </w:tcBorders>
          </w:tcPr>
          <w:p w14:paraId="23CAC71B" w14:textId="77777777" w:rsidR="005273D9" w:rsidRDefault="005273D9" w:rsidP="00C02602">
            <w:pPr>
              <w:spacing w:line="259" w:lineRule="auto"/>
              <w:ind w:left="1"/>
            </w:pPr>
            <w:r>
              <w:t xml:space="preserve">Southern high desert </w:t>
            </w:r>
          </w:p>
        </w:tc>
        <w:tc>
          <w:tcPr>
            <w:tcW w:w="1098" w:type="dxa"/>
            <w:tcBorders>
              <w:top w:val="single" w:sz="4" w:space="0" w:color="000000"/>
              <w:left w:val="single" w:sz="4" w:space="0" w:color="000000"/>
              <w:bottom w:val="single" w:sz="4" w:space="0" w:color="000000"/>
              <w:right w:val="single" w:sz="4" w:space="0" w:color="000000"/>
            </w:tcBorders>
          </w:tcPr>
          <w:p w14:paraId="3545148D" w14:textId="77777777" w:rsidR="005273D9" w:rsidRDefault="005273D9" w:rsidP="00C02602">
            <w:pPr>
              <w:spacing w:line="259" w:lineRule="auto"/>
              <w:ind w:right="62"/>
              <w:jc w:val="center"/>
            </w:pPr>
            <w:r>
              <w:t xml:space="preserve">22 </w:t>
            </w:r>
          </w:p>
        </w:tc>
        <w:tc>
          <w:tcPr>
            <w:tcW w:w="1098" w:type="dxa"/>
            <w:tcBorders>
              <w:top w:val="single" w:sz="4" w:space="0" w:color="000000"/>
              <w:left w:val="single" w:sz="4" w:space="0" w:color="000000"/>
              <w:bottom w:val="single" w:sz="4" w:space="0" w:color="000000"/>
              <w:right w:val="single" w:sz="4" w:space="0" w:color="000000"/>
            </w:tcBorders>
          </w:tcPr>
          <w:p w14:paraId="3632327A" w14:textId="77777777" w:rsidR="005273D9" w:rsidRDefault="005273D9" w:rsidP="00C02602">
            <w:pPr>
              <w:spacing w:line="259" w:lineRule="auto"/>
              <w:ind w:right="61"/>
              <w:jc w:val="center"/>
            </w:pPr>
            <w:r>
              <w:t xml:space="preserve">108 </w:t>
            </w:r>
          </w:p>
        </w:tc>
        <w:tc>
          <w:tcPr>
            <w:tcW w:w="1296" w:type="dxa"/>
            <w:tcBorders>
              <w:top w:val="single" w:sz="4" w:space="0" w:color="000000"/>
              <w:left w:val="single" w:sz="4" w:space="0" w:color="000000"/>
              <w:bottom w:val="single" w:sz="4" w:space="0" w:color="000000"/>
              <w:right w:val="single" w:sz="4" w:space="0" w:color="000000"/>
            </w:tcBorders>
          </w:tcPr>
          <w:p w14:paraId="3EC73036" w14:textId="77777777" w:rsidR="005273D9" w:rsidRDefault="005273D9" w:rsidP="00C02602">
            <w:pPr>
              <w:spacing w:line="259" w:lineRule="auto"/>
              <w:ind w:right="59"/>
              <w:jc w:val="center"/>
            </w:pPr>
            <w:r>
              <w:t xml:space="preserve">2547 </w:t>
            </w:r>
          </w:p>
        </w:tc>
        <w:tc>
          <w:tcPr>
            <w:tcW w:w="1380" w:type="dxa"/>
            <w:tcBorders>
              <w:top w:val="single" w:sz="4" w:space="0" w:color="000000"/>
              <w:left w:val="single" w:sz="4" w:space="0" w:color="000000"/>
              <w:bottom w:val="single" w:sz="4" w:space="0" w:color="000000"/>
              <w:right w:val="single" w:sz="4" w:space="0" w:color="000000"/>
            </w:tcBorders>
          </w:tcPr>
          <w:p w14:paraId="7A9162CD" w14:textId="77777777" w:rsidR="005273D9" w:rsidRDefault="005273D9" w:rsidP="00C02602">
            <w:pPr>
              <w:spacing w:line="259" w:lineRule="auto"/>
              <w:ind w:right="58"/>
              <w:jc w:val="center"/>
            </w:pPr>
            <w:r>
              <w:t xml:space="preserve">2272 </w:t>
            </w:r>
          </w:p>
        </w:tc>
      </w:tr>
      <w:tr w:rsidR="005273D9" w14:paraId="3333C35D" w14:textId="77777777" w:rsidTr="00C3273B">
        <w:trPr>
          <w:trHeight w:val="286"/>
          <w:jc w:val="center"/>
        </w:trPr>
        <w:tc>
          <w:tcPr>
            <w:tcW w:w="1054" w:type="dxa"/>
            <w:tcBorders>
              <w:top w:val="single" w:sz="4" w:space="0" w:color="000000"/>
              <w:left w:val="single" w:sz="4" w:space="0" w:color="000000"/>
              <w:bottom w:val="single" w:sz="4" w:space="0" w:color="000000"/>
              <w:right w:val="single" w:sz="4" w:space="0" w:color="000000"/>
            </w:tcBorders>
          </w:tcPr>
          <w:p w14:paraId="272BE4C5" w14:textId="77777777" w:rsidR="005273D9" w:rsidRDefault="005273D9" w:rsidP="00C02602">
            <w:pPr>
              <w:spacing w:line="259" w:lineRule="auto"/>
              <w:ind w:right="58"/>
              <w:jc w:val="center"/>
            </w:pPr>
            <w:r>
              <w:t xml:space="preserve">15 </w:t>
            </w:r>
          </w:p>
        </w:tc>
        <w:tc>
          <w:tcPr>
            <w:tcW w:w="2474" w:type="dxa"/>
            <w:tcBorders>
              <w:top w:val="single" w:sz="4" w:space="0" w:color="000000"/>
              <w:left w:val="single" w:sz="4" w:space="0" w:color="000000"/>
              <w:bottom w:val="single" w:sz="4" w:space="0" w:color="000000"/>
              <w:right w:val="single" w:sz="4" w:space="0" w:color="000000"/>
            </w:tcBorders>
          </w:tcPr>
          <w:p w14:paraId="59F42E89" w14:textId="77777777" w:rsidR="005273D9" w:rsidRDefault="005273D9" w:rsidP="00C02602">
            <w:pPr>
              <w:spacing w:line="259" w:lineRule="auto"/>
              <w:ind w:right="59"/>
              <w:jc w:val="center"/>
            </w:pPr>
            <w:r>
              <w:t xml:space="preserve">El Centro </w:t>
            </w:r>
          </w:p>
        </w:tc>
        <w:tc>
          <w:tcPr>
            <w:tcW w:w="3600" w:type="dxa"/>
            <w:tcBorders>
              <w:top w:val="single" w:sz="4" w:space="0" w:color="000000"/>
              <w:left w:val="single" w:sz="4" w:space="0" w:color="000000"/>
              <w:bottom w:val="single" w:sz="4" w:space="0" w:color="000000"/>
              <w:right w:val="single" w:sz="4" w:space="0" w:color="000000"/>
            </w:tcBorders>
          </w:tcPr>
          <w:p w14:paraId="07AA16DD" w14:textId="77777777" w:rsidR="005273D9" w:rsidRDefault="005273D9" w:rsidP="00C02602">
            <w:pPr>
              <w:spacing w:line="259" w:lineRule="auto"/>
              <w:ind w:left="1"/>
            </w:pPr>
            <w:r>
              <w:t xml:space="preserve">Southern inland valley </w:t>
            </w:r>
          </w:p>
        </w:tc>
        <w:tc>
          <w:tcPr>
            <w:tcW w:w="1098" w:type="dxa"/>
            <w:tcBorders>
              <w:top w:val="single" w:sz="4" w:space="0" w:color="000000"/>
              <w:left w:val="single" w:sz="4" w:space="0" w:color="000000"/>
              <w:bottom w:val="single" w:sz="4" w:space="0" w:color="000000"/>
              <w:right w:val="single" w:sz="4" w:space="0" w:color="000000"/>
            </w:tcBorders>
          </w:tcPr>
          <w:p w14:paraId="233BCEA4" w14:textId="77777777" w:rsidR="005273D9" w:rsidRDefault="005273D9" w:rsidP="00C02602">
            <w:pPr>
              <w:spacing w:line="259" w:lineRule="auto"/>
              <w:ind w:right="62"/>
              <w:jc w:val="center"/>
            </w:pPr>
            <w:r>
              <w:t xml:space="preserve">35 </w:t>
            </w:r>
          </w:p>
        </w:tc>
        <w:tc>
          <w:tcPr>
            <w:tcW w:w="1098" w:type="dxa"/>
            <w:tcBorders>
              <w:top w:val="single" w:sz="4" w:space="0" w:color="000000"/>
              <w:left w:val="single" w:sz="4" w:space="0" w:color="000000"/>
              <w:bottom w:val="single" w:sz="4" w:space="0" w:color="000000"/>
              <w:right w:val="single" w:sz="4" w:space="0" w:color="000000"/>
            </w:tcBorders>
          </w:tcPr>
          <w:p w14:paraId="48731F74" w14:textId="77777777" w:rsidR="005273D9" w:rsidRDefault="005273D9" w:rsidP="00C02602">
            <w:pPr>
              <w:spacing w:line="259" w:lineRule="auto"/>
              <w:ind w:right="62"/>
              <w:jc w:val="center"/>
            </w:pPr>
            <w:r>
              <w:t xml:space="preserve">111 </w:t>
            </w:r>
          </w:p>
        </w:tc>
        <w:tc>
          <w:tcPr>
            <w:tcW w:w="1296" w:type="dxa"/>
            <w:tcBorders>
              <w:top w:val="single" w:sz="4" w:space="0" w:color="000000"/>
              <w:left w:val="single" w:sz="4" w:space="0" w:color="000000"/>
              <w:bottom w:val="single" w:sz="4" w:space="0" w:color="000000"/>
              <w:right w:val="single" w:sz="4" w:space="0" w:color="000000"/>
            </w:tcBorders>
          </w:tcPr>
          <w:p w14:paraId="038A6FA0" w14:textId="77777777" w:rsidR="005273D9" w:rsidRDefault="005273D9" w:rsidP="00C02602">
            <w:pPr>
              <w:spacing w:line="259" w:lineRule="auto"/>
              <w:ind w:right="60"/>
              <w:jc w:val="center"/>
            </w:pPr>
            <w:r>
              <w:t xml:space="preserve">1216 </w:t>
            </w:r>
          </w:p>
        </w:tc>
        <w:tc>
          <w:tcPr>
            <w:tcW w:w="1380" w:type="dxa"/>
            <w:tcBorders>
              <w:top w:val="single" w:sz="4" w:space="0" w:color="000000"/>
              <w:left w:val="single" w:sz="4" w:space="0" w:color="000000"/>
              <w:bottom w:val="single" w:sz="4" w:space="0" w:color="000000"/>
              <w:right w:val="single" w:sz="4" w:space="0" w:color="000000"/>
            </w:tcBorders>
          </w:tcPr>
          <w:p w14:paraId="70E8EF5D" w14:textId="77777777" w:rsidR="005273D9" w:rsidRDefault="005273D9" w:rsidP="00C02602">
            <w:pPr>
              <w:spacing w:line="259" w:lineRule="auto"/>
              <w:ind w:right="59"/>
              <w:jc w:val="center"/>
            </w:pPr>
            <w:r>
              <w:t xml:space="preserve">3794 </w:t>
            </w:r>
          </w:p>
        </w:tc>
      </w:tr>
      <w:tr w:rsidR="005273D9" w14:paraId="232CA44A" w14:textId="77777777" w:rsidTr="00C3273B">
        <w:trPr>
          <w:trHeight w:val="287"/>
          <w:jc w:val="center"/>
        </w:trPr>
        <w:tc>
          <w:tcPr>
            <w:tcW w:w="1054" w:type="dxa"/>
            <w:tcBorders>
              <w:top w:val="single" w:sz="4" w:space="0" w:color="000000"/>
              <w:left w:val="single" w:sz="4" w:space="0" w:color="000000"/>
              <w:bottom w:val="single" w:sz="4" w:space="0" w:color="000000"/>
              <w:right w:val="single" w:sz="4" w:space="0" w:color="000000"/>
            </w:tcBorders>
          </w:tcPr>
          <w:p w14:paraId="63DA94EF" w14:textId="77777777" w:rsidR="005273D9" w:rsidRDefault="005273D9" w:rsidP="00C02602">
            <w:pPr>
              <w:spacing w:line="259" w:lineRule="auto"/>
              <w:ind w:right="57"/>
              <w:jc w:val="center"/>
            </w:pPr>
            <w:r>
              <w:t xml:space="preserve">16 </w:t>
            </w:r>
          </w:p>
        </w:tc>
        <w:tc>
          <w:tcPr>
            <w:tcW w:w="2474" w:type="dxa"/>
            <w:tcBorders>
              <w:top w:val="single" w:sz="4" w:space="0" w:color="000000"/>
              <w:left w:val="single" w:sz="4" w:space="0" w:color="000000"/>
              <w:bottom w:val="single" w:sz="4" w:space="0" w:color="000000"/>
              <w:right w:val="single" w:sz="4" w:space="0" w:color="000000"/>
            </w:tcBorders>
          </w:tcPr>
          <w:p w14:paraId="53907FF9" w14:textId="77777777" w:rsidR="005273D9" w:rsidRDefault="005273D9" w:rsidP="00C02602">
            <w:pPr>
              <w:spacing w:line="259" w:lineRule="auto"/>
              <w:ind w:right="60"/>
              <w:jc w:val="center"/>
            </w:pPr>
            <w:r>
              <w:t xml:space="preserve">Mt. Shasta (Alturas) </w:t>
            </w:r>
          </w:p>
        </w:tc>
        <w:tc>
          <w:tcPr>
            <w:tcW w:w="3600" w:type="dxa"/>
            <w:tcBorders>
              <w:top w:val="single" w:sz="4" w:space="0" w:color="000000"/>
              <w:left w:val="single" w:sz="4" w:space="0" w:color="000000"/>
              <w:bottom w:val="single" w:sz="4" w:space="0" w:color="000000"/>
              <w:right w:val="single" w:sz="4" w:space="0" w:color="000000"/>
            </w:tcBorders>
          </w:tcPr>
          <w:p w14:paraId="698A438E" w14:textId="77777777" w:rsidR="005273D9" w:rsidRDefault="005273D9" w:rsidP="00C02602">
            <w:pPr>
              <w:spacing w:line="259" w:lineRule="auto"/>
            </w:pPr>
            <w:r>
              <w:t xml:space="preserve">Mountain </w:t>
            </w:r>
          </w:p>
        </w:tc>
        <w:tc>
          <w:tcPr>
            <w:tcW w:w="1098" w:type="dxa"/>
            <w:tcBorders>
              <w:top w:val="single" w:sz="4" w:space="0" w:color="000000"/>
              <w:left w:val="single" w:sz="4" w:space="0" w:color="000000"/>
              <w:bottom w:val="single" w:sz="4" w:space="0" w:color="000000"/>
              <w:right w:val="single" w:sz="4" w:space="0" w:color="000000"/>
            </w:tcBorders>
          </w:tcPr>
          <w:p w14:paraId="784E7F17" w14:textId="77777777" w:rsidR="005273D9" w:rsidRDefault="005273D9" w:rsidP="00C02602">
            <w:pPr>
              <w:spacing w:line="259" w:lineRule="auto"/>
              <w:ind w:right="61"/>
              <w:jc w:val="center"/>
            </w:pPr>
            <w:r>
              <w:t xml:space="preserve">-4 </w:t>
            </w:r>
          </w:p>
        </w:tc>
        <w:tc>
          <w:tcPr>
            <w:tcW w:w="1098" w:type="dxa"/>
            <w:tcBorders>
              <w:top w:val="single" w:sz="4" w:space="0" w:color="000000"/>
              <w:left w:val="single" w:sz="4" w:space="0" w:color="000000"/>
              <w:bottom w:val="single" w:sz="4" w:space="0" w:color="000000"/>
              <w:right w:val="single" w:sz="4" w:space="0" w:color="000000"/>
            </w:tcBorders>
          </w:tcPr>
          <w:p w14:paraId="766E93C2" w14:textId="77777777" w:rsidR="005273D9" w:rsidRDefault="005273D9" w:rsidP="00C02602">
            <w:pPr>
              <w:spacing w:line="259" w:lineRule="auto"/>
              <w:ind w:right="62"/>
              <w:jc w:val="center"/>
            </w:pPr>
            <w:r>
              <w:t xml:space="preserve">96 </w:t>
            </w:r>
          </w:p>
        </w:tc>
        <w:tc>
          <w:tcPr>
            <w:tcW w:w="1296" w:type="dxa"/>
            <w:tcBorders>
              <w:top w:val="single" w:sz="4" w:space="0" w:color="000000"/>
              <w:left w:val="single" w:sz="4" w:space="0" w:color="000000"/>
              <w:bottom w:val="single" w:sz="4" w:space="0" w:color="000000"/>
              <w:right w:val="single" w:sz="4" w:space="0" w:color="000000"/>
            </w:tcBorders>
          </w:tcPr>
          <w:p w14:paraId="0B2763CE" w14:textId="77777777" w:rsidR="005273D9" w:rsidRDefault="005273D9" w:rsidP="00C02602">
            <w:pPr>
              <w:spacing w:line="259" w:lineRule="auto"/>
              <w:ind w:right="60"/>
              <w:jc w:val="center"/>
            </w:pPr>
            <w:r>
              <w:t xml:space="preserve">5890 </w:t>
            </w:r>
          </w:p>
        </w:tc>
        <w:tc>
          <w:tcPr>
            <w:tcW w:w="1380" w:type="dxa"/>
            <w:tcBorders>
              <w:top w:val="single" w:sz="4" w:space="0" w:color="000000"/>
              <w:left w:val="single" w:sz="4" w:space="0" w:color="000000"/>
              <w:bottom w:val="single" w:sz="4" w:space="0" w:color="000000"/>
              <w:right w:val="single" w:sz="4" w:space="0" w:color="000000"/>
            </w:tcBorders>
          </w:tcPr>
          <w:p w14:paraId="012C7FBA" w14:textId="77777777" w:rsidR="005273D9" w:rsidRDefault="005273D9" w:rsidP="00C02602">
            <w:pPr>
              <w:spacing w:line="259" w:lineRule="auto"/>
              <w:ind w:right="59"/>
              <w:jc w:val="center"/>
            </w:pPr>
            <w:r>
              <w:t xml:space="preserve">195 </w:t>
            </w:r>
          </w:p>
        </w:tc>
      </w:tr>
    </w:tbl>
    <w:p w14:paraId="02A77AB0" w14:textId="77777777" w:rsidR="005273D9" w:rsidRDefault="005273D9" w:rsidP="005273D9">
      <w:pPr>
        <w:spacing w:line="259" w:lineRule="auto"/>
      </w:pPr>
      <w:r>
        <w:t xml:space="preserve"> </w:t>
      </w:r>
    </w:p>
    <w:p w14:paraId="6E1A5BB5" w14:textId="77777777" w:rsidR="005273D9" w:rsidRDefault="005273D9" w:rsidP="005273D9">
      <w:pPr>
        <w:spacing w:after="975"/>
        <w:ind w:left="730"/>
      </w:pPr>
      <w:r>
        <w:t xml:space="preserve">Note:  Design temperature and degree-day data are for the city listed in parentheses, and are 0.2% winter and 0.5% summer values.  All data are from </w:t>
      </w:r>
      <w:r>
        <w:rPr>
          <w:rFonts w:ascii="Times New Roman" w:eastAsia="Times New Roman" w:hAnsi="Times New Roman" w:cs="Times New Roman"/>
          <w:i/>
        </w:rPr>
        <w:t>Climatic Data for Region X, Arizona, California, Hawaii and Nevada</w:t>
      </w:r>
      <w:r>
        <w:t xml:space="preserve"> published </w:t>
      </w:r>
      <w:proofErr w:type="gramStart"/>
      <w:r>
        <w:t>by  ASHRAE</w:t>
      </w:r>
      <w:proofErr w:type="gramEnd"/>
      <w:r>
        <w:t xml:space="preserve">; except cooling degree-day data are from </w:t>
      </w:r>
      <w:r>
        <w:rPr>
          <w:rFonts w:ascii="Times New Roman" w:eastAsia="Times New Roman" w:hAnsi="Times New Roman" w:cs="Times New Roman"/>
          <w:i/>
        </w:rPr>
        <w:t xml:space="preserve">Monthly </w:t>
      </w:r>
      <w:proofErr w:type="spellStart"/>
      <w:r>
        <w:rPr>
          <w:rFonts w:ascii="Times New Roman" w:eastAsia="Times New Roman" w:hAnsi="Times New Roman" w:cs="Times New Roman"/>
          <w:i/>
        </w:rPr>
        <w:t>Normals</w:t>
      </w:r>
      <w:proofErr w:type="spellEnd"/>
      <w:r>
        <w:rPr>
          <w:rFonts w:ascii="Times New Roman" w:eastAsia="Times New Roman" w:hAnsi="Times New Roman" w:cs="Times New Roman"/>
          <w:i/>
        </w:rPr>
        <w:t xml:space="preserve"> of Temperature, Precipitation, and Heating and Cooling Degree Days (California), 1941-1970</w:t>
      </w:r>
      <w:r>
        <w:t xml:space="preserve"> published by the National Oceanic and Atmospheric Administration.</w:t>
      </w:r>
    </w:p>
    <w:p w14:paraId="043D25EF" w14:textId="77777777" w:rsidR="006C0094" w:rsidRDefault="006C0094">
      <w:pPr>
        <w:rPr>
          <w:sz w:val="24"/>
          <w:szCs w:val="24"/>
        </w:rPr>
      </w:pPr>
    </w:p>
    <w:p w14:paraId="38E4F54D" w14:textId="77777777" w:rsidR="006C0094" w:rsidRDefault="006C0094">
      <w:pPr>
        <w:rPr>
          <w:sz w:val="24"/>
          <w:szCs w:val="24"/>
        </w:rPr>
      </w:pPr>
    </w:p>
    <w:p w14:paraId="42A35CA5" w14:textId="77777777" w:rsidR="00074D0E" w:rsidRPr="00074D0E" w:rsidRDefault="005273D9" w:rsidP="00074D0E">
      <w:pPr>
        <w:pStyle w:val="ListParagraph"/>
        <w:spacing w:after="0" w:line="240" w:lineRule="auto"/>
        <w:ind w:left="0"/>
        <w:rPr>
          <w:b/>
          <w:sz w:val="24"/>
          <w:szCs w:val="24"/>
        </w:rPr>
      </w:pPr>
      <w:r>
        <w:rPr>
          <w:b/>
          <w:sz w:val="24"/>
          <w:szCs w:val="24"/>
        </w:rPr>
        <w:lastRenderedPageBreak/>
        <w:t xml:space="preserve">Appendix </w:t>
      </w:r>
      <w:proofErr w:type="gramStart"/>
      <w:r>
        <w:rPr>
          <w:b/>
          <w:sz w:val="24"/>
          <w:szCs w:val="24"/>
        </w:rPr>
        <w:t>G</w:t>
      </w:r>
      <w:r w:rsidR="00074D0E" w:rsidRPr="00074D0E">
        <w:rPr>
          <w:b/>
          <w:sz w:val="24"/>
          <w:szCs w:val="24"/>
        </w:rPr>
        <w:t xml:space="preserve">  Additional</w:t>
      </w:r>
      <w:proofErr w:type="gramEnd"/>
      <w:r w:rsidR="00074D0E" w:rsidRPr="00074D0E">
        <w:rPr>
          <w:b/>
          <w:sz w:val="24"/>
          <w:szCs w:val="24"/>
        </w:rPr>
        <w:t xml:space="preserve"> DOE Documents of Interest</w:t>
      </w:r>
    </w:p>
    <w:p w14:paraId="1025FF56" w14:textId="77777777" w:rsidR="00074D0E" w:rsidRDefault="00074D0E" w:rsidP="00074D0E">
      <w:pPr>
        <w:pStyle w:val="ListParagraph"/>
        <w:spacing w:after="0" w:line="240" w:lineRule="auto"/>
        <w:ind w:left="0"/>
        <w:rPr>
          <w:b/>
          <w:sz w:val="24"/>
          <w:szCs w:val="24"/>
        </w:rPr>
      </w:pPr>
    </w:p>
    <w:p w14:paraId="1CC12E1B" w14:textId="77777777" w:rsidR="003560E9" w:rsidRDefault="003560E9" w:rsidP="003560E9">
      <w:pPr>
        <w:rPr>
          <w:sz w:val="24"/>
          <w:szCs w:val="24"/>
        </w:rPr>
      </w:pPr>
      <w:r>
        <w:rPr>
          <w:sz w:val="24"/>
          <w:szCs w:val="24"/>
        </w:rPr>
        <w:t xml:space="preserve">The following four DOE documents are part of this gas furnace standards making process that are relevant to </w:t>
      </w:r>
      <w:r w:rsidR="00321F09">
        <w:rPr>
          <w:sz w:val="24"/>
          <w:szCs w:val="24"/>
        </w:rPr>
        <w:t xml:space="preserve">the </w:t>
      </w:r>
      <w:r w:rsidR="000B4066">
        <w:rPr>
          <w:sz w:val="24"/>
          <w:szCs w:val="24"/>
        </w:rPr>
        <w:t>SoCalGas</w:t>
      </w:r>
      <w:r>
        <w:rPr>
          <w:sz w:val="24"/>
          <w:szCs w:val="24"/>
        </w:rPr>
        <w:t>:</w:t>
      </w:r>
    </w:p>
    <w:p w14:paraId="3A128D90" w14:textId="77777777" w:rsidR="003560E9" w:rsidRDefault="003560E9" w:rsidP="003560E9">
      <w:pPr>
        <w:pStyle w:val="ListParagraph"/>
        <w:numPr>
          <w:ilvl w:val="0"/>
          <w:numId w:val="17"/>
        </w:numPr>
        <w:rPr>
          <w:sz w:val="24"/>
          <w:szCs w:val="24"/>
        </w:rPr>
      </w:pPr>
      <w:r w:rsidRPr="004006E3">
        <w:rPr>
          <w:b/>
          <w:bCs/>
          <w:sz w:val="24"/>
          <w:szCs w:val="24"/>
        </w:rPr>
        <w:t>Framework Document:</w:t>
      </w:r>
      <w:r w:rsidRPr="004006E3">
        <w:rPr>
          <w:sz w:val="24"/>
          <w:szCs w:val="24"/>
        </w:rPr>
        <w:t>  The Framework Document outlines the scope of the rulemaking and explains the relevant analyses that DOE anticipates conducting to determine whether to amend the standards, as well as for the development of any amended standards. The Framework Document essentially casts a broad net over the many issues which the rulemaking might encompass and asks for feedback from stakeholders.</w:t>
      </w:r>
    </w:p>
    <w:p w14:paraId="74CD9949" w14:textId="77777777" w:rsidR="003560E9" w:rsidRDefault="003560E9" w:rsidP="003560E9">
      <w:pPr>
        <w:pStyle w:val="ListParagraph"/>
        <w:numPr>
          <w:ilvl w:val="0"/>
          <w:numId w:val="17"/>
        </w:numPr>
        <w:rPr>
          <w:sz w:val="24"/>
          <w:szCs w:val="24"/>
        </w:rPr>
      </w:pPr>
      <w:r w:rsidRPr="004006E3">
        <w:rPr>
          <w:b/>
          <w:bCs/>
          <w:sz w:val="24"/>
          <w:szCs w:val="24"/>
        </w:rPr>
        <w:t>Preliminary Technical Support Document (PTSD)</w:t>
      </w:r>
      <w:r w:rsidRPr="004006E3">
        <w:rPr>
          <w:sz w:val="24"/>
          <w:szCs w:val="24"/>
        </w:rPr>
        <w:t xml:space="preserve"> – </w:t>
      </w:r>
      <w:r>
        <w:rPr>
          <w:sz w:val="24"/>
          <w:szCs w:val="24"/>
        </w:rPr>
        <w:t xml:space="preserve">In this document the </w:t>
      </w:r>
      <w:r w:rsidRPr="004006E3">
        <w:rPr>
          <w:sz w:val="24"/>
          <w:szCs w:val="24"/>
        </w:rPr>
        <w:t>DOE discusses methodologies and results of the preliminary technical analyses and indicates the scope and type of rule it might propose, holds hearings and requests comments. The preliminary analyses include an analysis of the costs to achieve higher efficiency levels; an analysis of the life-cycle cost savings and payback period of higher efficiency levels from the perspective of an individual consumer or business; and a national impact analysis of the potential national energy savings and net present value (NPV) of higher efficiency levels.</w:t>
      </w:r>
    </w:p>
    <w:p w14:paraId="0E7E8CC5" w14:textId="77777777" w:rsidR="003560E9" w:rsidRDefault="003560E9" w:rsidP="003560E9">
      <w:pPr>
        <w:pStyle w:val="ListParagraph"/>
        <w:numPr>
          <w:ilvl w:val="0"/>
          <w:numId w:val="17"/>
        </w:numPr>
        <w:rPr>
          <w:sz w:val="24"/>
          <w:szCs w:val="24"/>
        </w:rPr>
      </w:pPr>
      <w:r w:rsidRPr="0092185A">
        <w:rPr>
          <w:b/>
          <w:bCs/>
          <w:sz w:val="24"/>
          <w:szCs w:val="24"/>
        </w:rPr>
        <w:t>Notice of Proposed Rulemaking (NOPR)</w:t>
      </w:r>
      <w:r w:rsidRPr="0092185A">
        <w:rPr>
          <w:sz w:val="24"/>
          <w:szCs w:val="24"/>
        </w:rPr>
        <w:t xml:space="preserve"> – </w:t>
      </w:r>
      <w:r>
        <w:rPr>
          <w:sz w:val="24"/>
          <w:szCs w:val="24"/>
        </w:rPr>
        <w:t xml:space="preserve">Within the NOPR document </w:t>
      </w:r>
      <w:r w:rsidRPr="0092185A">
        <w:rPr>
          <w:sz w:val="24"/>
          <w:szCs w:val="24"/>
        </w:rPr>
        <w:t>DOE proposes the standards levels for the product(s) and publishes the technical support document (TSD). The latter contains the analyses which support the proposed levels. The TSD includes a manufacturer impact analysis, a utility impact analysis, an employment impact analysis, and an environmental assessment, among other detailed analyses. DOE holds public hearings and request public comments once the NOPR is published.</w:t>
      </w:r>
    </w:p>
    <w:p w14:paraId="27EB0FCD" w14:textId="77777777" w:rsidR="003560E9" w:rsidRPr="0092185A" w:rsidRDefault="003560E9" w:rsidP="003560E9">
      <w:pPr>
        <w:pStyle w:val="ListParagraph"/>
        <w:numPr>
          <w:ilvl w:val="0"/>
          <w:numId w:val="17"/>
        </w:numPr>
        <w:rPr>
          <w:sz w:val="24"/>
          <w:szCs w:val="24"/>
        </w:rPr>
      </w:pPr>
      <w:r w:rsidRPr="0092185A">
        <w:rPr>
          <w:b/>
          <w:bCs/>
          <w:sz w:val="24"/>
          <w:szCs w:val="24"/>
        </w:rPr>
        <w:t>Final Rule</w:t>
      </w:r>
      <w:r w:rsidRPr="0092185A">
        <w:rPr>
          <w:sz w:val="24"/>
          <w:szCs w:val="24"/>
        </w:rPr>
        <w:t> - After considering public comments, DOE revises its analysis and publishes the final rule. Usually, manufacturers must comply with the standard three to five years after the new standard is published.  In this case, the earliest the standards may take effect would be five years</w:t>
      </w:r>
      <w:r>
        <w:rPr>
          <w:sz w:val="24"/>
          <w:szCs w:val="24"/>
        </w:rPr>
        <w:t xml:space="preserve"> from 2016</w:t>
      </w:r>
      <w:r w:rsidRPr="0092185A">
        <w:rPr>
          <w:sz w:val="24"/>
          <w:szCs w:val="24"/>
        </w:rPr>
        <w:t>, or 2021.</w:t>
      </w:r>
      <w:r>
        <w:rPr>
          <w:sz w:val="24"/>
          <w:szCs w:val="24"/>
        </w:rPr>
        <w:br/>
        <w:t> </w:t>
      </w:r>
    </w:p>
    <w:p w14:paraId="7FC9E1B8" w14:textId="77777777" w:rsidR="00074D0E" w:rsidRDefault="00074D0E" w:rsidP="00074D0E">
      <w:pPr>
        <w:pStyle w:val="ListParagraph"/>
        <w:spacing w:after="0" w:line="240" w:lineRule="auto"/>
        <w:ind w:left="0"/>
        <w:rPr>
          <w:b/>
          <w:sz w:val="24"/>
          <w:szCs w:val="24"/>
        </w:rPr>
      </w:pPr>
    </w:p>
    <w:p w14:paraId="7EE53D29" w14:textId="77777777" w:rsidR="00074D0E" w:rsidRDefault="00074D0E">
      <w:pPr>
        <w:rPr>
          <w:b/>
          <w:sz w:val="24"/>
          <w:szCs w:val="24"/>
        </w:rPr>
      </w:pPr>
      <w:r>
        <w:rPr>
          <w:b/>
          <w:sz w:val="24"/>
          <w:szCs w:val="24"/>
        </w:rPr>
        <w:br w:type="page"/>
      </w:r>
    </w:p>
    <w:p w14:paraId="3B684EB2" w14:textId="77777777" w:rsidR="00074D0E" w:rsidRDefault="005273D9" w:rsidP="00074D0E">
      <w:pPr>
        <w:pStyle w:val="ListParagraph"/>
        <w:spacing w:after="0" w:line="240" w:lineRule="auto"/>
        <w:ind w:left="0"/>
        <w:rPr>
          <w:b/>
          <w:sz w:val="24"/>
          <w:szCs w:val="24"/>
        </w:rPr>
      </w:pPr>
      <w:r>
        <w:rPr>
          <w:b/>
          <w:sz w:val="24"/>
          <w:szCs w:val="24"/>
        </w:rPr>
        <w:lastRenderedPageBreak/>
        <w:t xml:space="preserve">Appendix </w:t>
      </w:r>
      <w:proofErr w:type="gramStart"/>
      <w:r>
        <w:rPr>
          <w:b/>
          <w:sz w:val="24"/>
          <w:szCs w:val="24"/>
        </w:rPr>
        <w:t>H</w:t>
      </w:r>
      <w:r w:rsidR="00074D0E">
        <w:rPr>
          <w:b/>
          <w:sz w:val="24"/>
          <w:szCs w:val="24"/>
        </w:rPr>
        <w:t xml:space="preserve">  References</w:t>
      </w:r>
      <w:proofErr w:type="gramEnd"/>
    </w:p>
    <w:p w14:paraId="2B9FE5CC" w14:textId="77777777" w:rsidR="00074D0E" w:rsidRPr="00074D0E" w:rsidRDefault="00074D0E" w:rsidP="00074D0E">
      <w:pPr>
        <w:pStyle w:val="ListParagraph"/>
        <w:spacing w:after="0" w:line="240" w:lineRule="auto"/>
        <w:ind w:left="0"/>
        <w:rPr>
          <w:sz w:val="24"/>
          <w:szCs w:val="24"/>
        </w:rPr>
      </w:pPr>
    </w:p>
    <w:p w14:paraId="303F8280" w14:textId="77777777" w:rsidR="003560E9" w:rsidRPr="00D84855" w:rsidRDefault="003560E9" w:rsidP="003560E9">
      <w:pPr>
        <w:rPr>
          <w:rFonts w:cs="Helvetica"/>
          <w:color w:val="333333"/>
          <w:shd w:val="clear" w:color="auto" w:fill="FFFFFF"/>
        </w:rPr>
      </w:pPr>
      <w:r w:rsidRPr="00D84855">
        <w:rPr>
          <w:rFonts w:cs="Helvetica"/>
          <w:color w:val="333333"/>
          <w:shd w:val="clear" w:color="auto" w:fill="FFFFFF"/>
        </w:rPr>
        <w:t>Energy Policy Conservation Act (EPCA)</w:t>
      </w:r>
    </w:p>
    <w:p w14:paraId="0F7E359B" w14:textId="77777777" w:rsidR="003560E9" w:rsidRPr="00D84855" w:rsidRDefault="003560E9" w:rsidP="003560E9">
      <w:pPr>
        <w:rPr>
          <w:rFonts w:cs="Helvetica"/>
          <w:iCs/>
          <w:color w:val="333333"/>
          <w:shd w:val="clear" w:color="auto" w:fill="FFFFFF"/>
        </w:rPr>
      </w:pPr>
      <w:proofErr w:type="gramStart"/>
      <w:r w:rsidRPr="00D84855">
        <w:rPr>
          <w:rFonts w:cs="Helvetica"/>
          <w:color w:val="333333"/>
          <w:shd w:val="clear" w:color="auto" w:fill="FFFFFF"/>
        </w:rPr>
        <w:t>National Appliance Energy Conservation Act</w:t>
      </w:r>
      <w:r w:rsidRPr="00D84855">
        <w:rPr>
          <w:rFonts w:cs="Helvetica"/>
          <w:iCs/>
          <w:color w:val="333333"/>
          <w:shd w:val="clear" w:color="auto" w:fill="FFFFFF"/>
        </w:rPr>
        <w:t xml:space="preserve"> of 1975 (NAECA) as amended.</w:t>
      </w:r>
      <w:proofErr w:type="gramEnd"/>
    </w:p>
    <w:p w14:paraId="77DB2B42" w14:textId="77777777" w:rsidR="003560E9" w:rsidRDefault="003560E9" w:rsidP="003560E9">
      <w:pPr>
        <w:rPr>
          <w:rFonts w:cs="Helvetica"/>
          <w:iCs/>
          <w:color w:val="333333"/>
          <w:shd w:val="clear" w:color="auto" w:fill="FFFFFF"/>
        </w:rPr>
      </w:pPr>
      <w:r w:rsidRPr="00D84855">
        <w:rPr>
          <w:rFonts w:cs="Helvetica"/>
          <w:iCs/>
          <w:color w:val="333333"/>
          <w:shd w:val="clear" w:color="auto" w:fill="FFFFFF"/>
        </w:rPr>
        <w:t>American Procedures Act (APA), as amended</w:t>
      </w:r>
    </w:p>
    <w:p w14:paraId="2E178CC5" w14:textId="77777777" w:rsidR="003560E9" w:rsidRPr="00D84855" w:rsidRDefault="00B02940" w:rsidP="003560E9">
      <w:r>
        <w:rPr>
          <w:rFonts w:cs="Helvetica"/>
          <w:iCs/>
          <w:color w:val="333333"/>
          <w:shd w:val="clear" w:color="auto" w:fill="FFFFFF"/>
        </w:rPr>
        <w:t xml:space="preserve">“How Often and Why Do Americans Move?” February 21, 2014, </w:t>
      </w:r>
      <w:hyperlink r:id="rId26" w:history="1">
        <w:r w:rsidRPr="00182578">
          <w:rPr>
            <w:rStyle w:val="Hyperlink"/>
            <w:rFonts w:cs="Helvetica"/>
            <w:iCs/>
            <w:shd w:val="clear" w:color="auto" w:fill="FFFFFF"/>
          </w:rPr>
          <w:t>http://www.mymovingreviews.com/move/how-often-and-why-americans-move</w:t>
        </w:r>
      </w:hyperlink>
      <w:r>
        <w:rPr>
          <w:rFonts w:cs="Helvetica"/>
          <w:iCs/>
          <w:color w:val="333333"/>
          <w:shd w:val="clear" w:color="auto" w:fill="FFFFFF"/>
        </w:rPr>
        <w:t>.</w:t>
      </w:r>
      <w:r w:rsidR="003560E9" w:rsidRPr="00D84855">
        <w:t>Energy Independence and Security Act of 2007 (EISA) as amended</w:t>
      </w:r>
    </w:p>
    <w:p w14:paraId="58803CE7" w14:textId="77777777" w:rsidR="003560E9" w:rsidRPr="00D84855" w:rsidRDefault="003560E9" w:rsidP="003560E9">
      <w:pPr>
        <w:rPr>
          <w:rFonts w:cs="Helvetica"/>
          <w:color w:val="333333"/>
          <w:shd w:val="clear" w:color="auto" w:fill="FFFFFF"/>
        </w:rPr>
      </w:pPr>
      <w:r w:rsidRPr="00D84855">
        <w:rPr>
          <w:rFonts w:cs="Helvetica"/>
          <w:i/>
          <w:iCs/>
          <w:color w:val="333333"/>
          <w:shd w:val="clear" w:color="auto" w:fill="FFFFFF"/>
        </w:rPr>
        <w:t>State of New York, et al.</w:t>
      </w:r>
      <w:r w:rsidRPr="00D84855">
        <w:rPr>
          <w:rStyle w:val="apple-converted-space"/>
          <w:rFonts w:cs="Helvetica"/>
          <w:color w:val="333333"/>
          <w:shd w:val="clear" w:color="auto" w:fill="FFFFFF"/>
        </w:rPr>
        <w:t> </w:t>
      </w:r>
      <w:r w:rsidRPr="00D84855">
        <w:rPr>
          <w:rFonts w:cs="Helvetica"/>
          <w:color w:val="333333"/>
          <w:shd w:val="clear" w:color="auto" w:fill="FFFFFF"/>
        </w:rPr>
        <w:t>v.</w:t>
      </w:r>
      <w:r w:rsidRPr="00D84855">
        <w:rPr>
          <w:rStyle w:val="apple-converted-space"/>
          <w:rFonts w:cs="Helvetica"/>
          <w:color w:val="333333"/>
          <w:shd w:val="clear" w:color="auto" w:fill="FFFFFF"/>
        </w:rPr>
        <w:t> </w:t>
      </w:r>
      <w:r w:rsidRPr="00D84855">
        <w:rPr>
          <w:rFonts w:cs="Helvetica"/>
          <w:i/>
          <w:iCs/>
          <w:color w:val="333333"/>
          <w:shd w:val="clear" w:color="auto" w:fill="FFFFFF"/>
        </w:rPr>
        <w:t>Department of Energy, et al.,</w:t>
      </w:r>
      <w:r w:rsidRPr="00D84855">
        <w:rPr>
          <w:rStyle w:val="apple-converted-space"/>
          <w:rFonts w:cs="Helvetica"/>
          <w:color w:val="333333"/>
          <w:shd w:val="clear" w:color="auto" w:fill="FFFFFF"/>
        </w:rPr>
        <w:t> </w:t>
      </w:r>
      <w:r w:rsidRPr="00D84855">
        <w:rPr>
          <w:rFonts w:cs="Helvetica"/>
          <w:color w:val="333333"/>
          <w:shd w:val="clear" w:color="auto" w:fill="FFFFFF"/>
        </w:rPr>
        <w:t>Nos. 08-0311-</w:t>
      </w:r>
      <w:proofErr w:type="gramStart"/>
      <w:r w:rsidRPr="00D84855">
        <w:rPr>
          <w:rFonts w:cs="Helvetica"/>
          <w:color w:val="333333"/>
          <w:shd w:val="clear" w:color="auto" w:fill="FFFFFF"/>
        </w:rPr>
        <w:t>ag(</w:t>
      </w:r>
      <w:proofErr w:type="gramEnd"/>
      <w:r w:rsidRPr="00D84855">
        <w:rPr>
          <w:rFonts w:cs="Helvetica"/>
          <w:color w:val="333333"/>
          <w:shd w:val="clear" w:color="auto" w:fill="FFFFFF"/>
        </w:rPr>
        <w:t>L); 08-0312-ag(con) (2d Cir. filed Jan. 17, 2008).</w:t>
      </w:r>
    </w:p>
    <w:p w14:paraId="4AAD53DE" w14:textId="77777777" w:rsidR="003560E9" w:rsidRPr="00D84855" w:rsidRDefault="003560E9" w:rsidP="003560E9">
      <w:r w:rsidRPr="00D84855">
        <w:t xml:space="preserve">“The Regional Standards Agreement for Residential Furnaces, Air Conditioners, and Heat Pumps: Process, Results, and Implications” Karim </w:t>
      </w:r>
      <w:proofErr w:type="spellStart"/>
      <w:r w:rsidRPr="00D84855">
        <w:t>Amrane</w:t>
      </w:r>
      <w:proofErr w:type="spellEnd"/>
      <w:r w:rsidRPr="00D84855">
        <w:t xml:space="preserve"> (AHRI) and Howard Sachs and Steven </w:t>
      </w:r>
      <w:proofErr w:type="spellStart"/>
      <w:r w:rsidRPr="00D84855">
        <w:t>Nadel</w:t>
      </w:r>
      <w:proofErr w:type="spellEnd"/>
      <w:r w:rsidRPr="00D84855">
        <w:t xml:space="preserve"> (ACEEE) </w:t>
      </w:r>
      <w:hyperlink r:id="rId27" w:history="1">
        <w:r w:rsidRPr="00D84855">
          <w:rPr>
            <w:rStyle w:val="Hyperlink"/>
          </w:rPr>
          <w:t>http://aceee.org/files/proceedings/2010/data/papers/1923.pdf</w:t>
        </w:r>
      </w:hyperlink>
    </w:p>
    <w:p w14:paraId="76773F57" w14:textId="77777777" w:rsidR="003560E9" w:rsidRDefault="003560E9" w:rsidP="003560E9">
      <w:pPr>
        <w:rPr>
          <w:rFonts w:cs="Helvetica"/>
          <w:color w:val="333333"/>
          <w:shd w:val="clear" w:color="auto" w:fill="FFFFFF"/>
        </w:rPr>
      </w:pPr>
      <w:r w:rsidRPr="00D84855">
        <w:rPr>
          <w:rFonts w:cs="Helvetica"/>
          <w:i/>
          <w:iCs/>
          <w:color w:val="333333"/>
          <w:shd w:val="clear" w:color="auto" w:fill="FFFFFF"/>
        </w:rPr>
        <w:t>American Public Gas Association, et al.</w:t>
      </w:r>
      <w:r w:rsidRPr="00D84855">
        <w:rPr>
          <w:rStyle w:val="apple-converted-space"/>
          <w:rFonts w:cs="Helvetica"/>
          <w:color w:val="333333"/>
          <w:shd w:val="clear" w:color="auto" w:fill="FFFFFF"/>
        </w:rPr>
        <w:t> </w:t>
      </w:r>
      <w:proofErr w:type="spellStart"/>
      <w:r w:rsidRPr="00D84855">
        <w:rPr>
          <w:rFonts w:cs="Helvetica"/>
          <w:color w:val="333333"/>
          <w:shd w:val="clear" w:color="auto" w:fill="FFFFFF"/>
        </w:rPr>
        <w:t>v.</w:t>
      </w:r>
      <w:r w:rsidRPr="00D84855">
        <w:rPr>
          <w:rFonts w:cs="Helvetica"/>
          <w:i/>
          <w:iCs/>
          <w:color w:val="333333"/>
          <w:shd w:val="clear" w:color="auto" w:fill="FFFFFF"/>
        </w:rPr>
        <w:t>Department</w:t>
      </w:r>
      <w:proofErr w:type="spellEnd"/>
      <w:r w:rsidRPr="00D84855">
        <w:rPr>
          <w:rFonts w:cs="Helvetica"/>
          <w:i/>
          <w:iCs/>
          <w:color w:val="333333"/>
          <w:shd w:val="clear" w:color="auto" w:fill="FFFFFF"/>
        </w:rPr>
        <w:t xml:space="preserve"> of Energy, et al.,</w:t>
      </w:r>
      <w:r w:rsidRPr="00D84855">
        <w:rPr>
          <w:rStyle w:val="apple-converted-space"/>
          <w:rFonts w:cs="Helvetica"/>
          <w:color w:val="333333"/>
          <w:shd w:val="clear" w:color="auto" w:fill="FFFFFF"/>
        </w:rPr>
        <w:t> </w:t>
      </w:r>
      <w:r w:rsidRPr="00D84855">
        <w:rPr>
          <w:rFonts w:cs="Helvetica"/>
          <w:color w:val="333333"/>
          <w:shd w:val="clear" w:color="auto" w:fill="FFFFFF"/>
        </w:rPr>
        <w:t>No. 11-1485 (D.C. Cir. filed Dec. 23, 2011).</w:t>
      </w:r>
    </w:p>
    <w:p w14:paraId="57C5E8B0" w14:textId="6BF5E1CA" w:rsidR="005273D9" w:rsidRDefault="005273D9" w:rsidP="005273D9">
      <w:pPr>
        <w:spacing w:after="100" w:afterAutospacing="1"/>
      </w:pPr>
      <w:r>
        <w:rPr>
          <w:rFonts w:ascii="Times New Roman" w:eastAsia="Times New Roman" w:hAnsi="Times New Roman" w:cs="Times New Roman"/>
          <w:i/>
        </w:rPr>
        <w:t xml:space="preserve">Monthly </w:t>
      </w:r>
      <w:proofErr w:type="spellStart"/>
      <w:r>
        <w:rPr>
          <w:rFonts w:ascii="Times New Roman" w:eastAsia="Times New Roman" w:hAnsi="Times New Roman" w:cs="Times New Roman"/>
          <w:i/>
        </w:rPr>
        <w:t>Normals</w:t>
      </w:r>
      <w:proofErr w:type="spellEnd"/>
      <w:r>
        <w:rPr>
          <w:rFonts w:ascii="Times New Roman" w:eastAsia="Times New Roman" w:hAnsi="Times New Roman" w:cs="Times New Roman"/>
          <w:i/>
        </w:rPr>
        <w:t xml:space="preserve"> of Temperature, Precipitation, and Heating and Cooling Degree Days (California), 1941-1970</w:t>
      </w:r>
      <w:r>
        <w:t xml:space="preserve"> published by the National Oceanic an</w:t>
      </w:r>
      <w:r w:rsidR="00C3273B">
        <w:t xml:space="preserve">d Atmospheric Administration.  </w:t>
      </w:r>
    </w:p>
    <w:p w14:paraId="5E7C79FC" w14:textId="77777777" w:rsidR="005273D9" w:rsidRPr="0046594A" w:rsidRDefault="005273D9" w:rsidP="005273D9">
      <w:pPr>
        <w:pStyle w:val="Default"/>
      </w:pPr>
      <w:r w:rsidRPr="0046594A">
        <w:rPr>
          <w:b/>
          <w:bCs/>
        </w:rPr>
        <w:t xml:space="preserve">NATURAL GAS-FIRED FURNACES </w:t>
      </w:r>
      <w:r w:rsidRPr="0046594A">
        <w:t>REGULATORY PROPOSAL</w:t>
      </w:r>
      <w:proofErr w:type="gramStart"/>
      <w:r w:rsidRPr="0046594A">
        <w:t xml:space="preserve">; </w:t>
      </w:r>
      <w:r>
        <w:t xml:space="preserve"> </w:t>
      </w:r>
      <w:r w:rsidRPr="0046594A">
        <w:t>ENERGY</w:t>
      </w:r>
      <w:proofErr w:type="gramEnd"/>
      <w:r w:rsidRPr="0046594A">
        <w:t xml:space="preserve"> EFFICIENCY BRANCH, BC MINISTRY OF ENERGY AND MINES.  </w:t>
      </w:r>
    </w:p>
    <w:p w14:paraId="68608E6A" w14:textId="77777777" w:rsidR="005273D9" w:rsidRPr="005273D9" w:rsidRDefault="005273D9" w:rsidP="005273D9">
      <w:r w:rsidRPr="0046594A">
        <w:rPr>
          <w:sz w:val="24"/>
          <w:szCs w:val="24"/>
        </w:rPr>
        <w:t>HTTP://WWW.EMPR.GOV.BC.CA/EEC/STRATEGY/EEA/PAGES/DEFAUL</w:t>
      </w:r>
      <w:r>
        <w:rPr>
          <w:sz w:val="23"/>
          <w:szCs w:val="23"/>
        </w:rPr>
        <w:t>T.ASPX</w:t>
      </w:r>
    </w:p>
    <w:p w14:paraId="5B44587D" w14:textId="77777777" w:rsidR="009E4A5B" w:rsidRDefault="009E4A5B" w:rsidP="009E4A5B">
      <w:r>
        <w:t>“In the Upcoming Rulemaking on Amendments to the Minimum Efficiency Standards for Non-Weatherized Residential Gas Furnaces, DOE Should Employ Separate Product Classes for Condensing and Noncondensing Furnaces”, American Gas Association and American Public Gas Association, October 22, 2014.</w:t>
      </w:r>
    </w:p>
    <w:p w14:paraId="363271D9" w14:textId="5C37026E" w:rsidR="00C02602" w:rsidRDefault="00C02602" w:rsidP="009E4A5B">
      <w:r>
        <w:t xml:space="preserve">RECS 2009: Residential Energy Consumption Survey by US Energy Information Administration, </w:t>
      </w:r>
      <w:hyperlink r:id="rId28" w:anchor="sf?src=‹ Consumption      Residential Energy Consumption Survey (RECS)-b1" w:history="1">
        <w:r w:rsidRPr="00C02602">
          <w:rPr>
            <w:rStyle w:val="Hyperlink"/>
          </w:rPr>
          <w:t>http://www.eia.gov/consumption/residential/data/2009/#</w:t>
        </w:r>
        <w:proofErr w:type="spellStart"/>
        <w:r w:rsidRPr="00C02602">
          <w:rPr>
            <w:rStyle w:val="Hyperlink"/>
          </w:rPr>
          <w:t>sf?src</w:t>
        </w:r>
        <w:proofErr w:type="spellEnd"/>
        <w:r w:rsidRPr="00C02602">
          <w:rPr>
            <w:rStyle w:val="Hyperlink"/>
          </w:rPr>
          <w:t>=‹ Consumption      Residential Energy Consumption Survey (RECS)-b1</w:t>
        </w:r>
      </w:hyperlink>
    </w:p>
    <w:p w14:paraId="4565127F" w14:textId="451D13D4" w:rsidR="00C02602" w:rsidRDefault="00C02602" w:rsidP="009E4A5B">
      <w:r>
        <w:t xml:space="preserve">CBECS 2003: Commercial Buildings Energy Consumption Survey by US Energy Information Administration, </w:t>
      </w:r>
      <w:hyperlink r:id="rId29" w:history="1">
        <w:r w:rsidRPr="00C02602">
          <w:rPr>
            <w:rStyle w:val="Hyperlink"/>
          </w:rPr>
          <w:t>http://www.eia.gov/consumption/commercial/data/2003/</w:t>
        </w:r>
      </w:hyperlink>
    </w:p>
    <w:p w14:paraId="0B61A4F2" w14:textId="63ED641B" w:rsidR="00C02602" w:rsidRDefault="00C02602" w:rsidP="009E4A5B">
      <w:r>
        <w:t xml:space="preserve">RS Means 2013: Construction Cost Data by </w:t>
      </w:r>
      <w:proofErr w:type="gramStart"/>
      <w:r w:rsidRPr="00C02602">
        <w:t>The</w:t>
      </w:r>
      <w:proofErr w:type="gramEnd"/>
      <w:r w:rsidRPr="00C02602">
        <w:t xml:space="preserve"> Gordian Group</w:t>
      </w:r>
      <w:r>
        <w:t xml:space="preserve">, </w:t>
      </w:r>
      <w:hyperlink r:id="rId30" w:history="1">
        <w:r w:rsidRPr="00C02602">
          <w:rPr>
            <w:rStyle w:val="Hyperlink"/>
          </w:rPr>
          <w:t>http://www.rsmeans.com</w:t>
        </w:r>
      </w:hyperlink>
    </w:p>
    <w:p w14:paraId="6C42EDC5" w14:textId="5B8A4E5E" w:rsidR="00C02602" w:rsidRDefault="00C02602" w:rsidP="009E4A5B">
      <w:r>
        <w:t xml:space="preserve">AEO 2014: Annual Energy Outlook by US Energy Information Administration, </w:t>
      </w:r>
      <w:hyperlink r:id="rId31" w:history="1">
        <w:r w:rsidRPr="003814BD">
          <w:rPr>
            <w:rStyle w:val="Hyperlink"/>
          </w:rPr>
          <w:t>http://www.eia.gov/forecasts/AEO/</w:t>
        </w:r>
      </w:hyperlink>
      <w:r>
        <w:t xml:space="preserve"> and </w:t>
      </w:r>
      <w:hyperlink r:id="rId32" w:history="1">
        <w:r w:rsidRPr="003814BD">
          <w:rPr>
            <w:rStyle w:val="Hyperlink"/>
          </w:rPr>
          <w:t>http://www.eia.gov/forecasts/AEO/pdf/0383(2014).pdf</w:t>
        </w:r>
      </w:hyperlink>
      <w:r>
        <w:t xml:space="preserve"> </w:t>
      </w:r>
    </w:p>
    <w:sectPr w:rsidR="00C02602">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73D13" w15:done="0"/>
  <w15:commentEx w15:paraId="07EEF1ED" w15:done="0"/>
  <w15:commentEx w15:paraId="74C3B369" w15:done="0"/>
  <w15:commentEx w15:paraId="63CD11E3" w15:done="0"/>
  <w15:commentEx w15:paraId="057B0BEA" w15:done="0"/>
  <w15:commentEx w15:paraId="5C84B219" w15:done="0"/>
  <w15:commentEx w15:paraId="5C315E8D" w15:done="0"/>
  <w15:commentEx w15:paraId="55143036" w15:done="0"/>
  <w15:commentEx w15:paraId="152DB01F" w15:paraIdParent="55143036" w15:done="0"/>
  <w15:commentEx w15:paraId="5D49CBF6" w15:done="0"/>
  <w15:commentEx w15:paraId="732275E7" w15:paraIdParent="5D49CBF6" w15:done="0"/>
  <w15:commentEx w15:paraId="0C122172" w15:done="0"/>
  <w15:commentEx w15:paraId="2E99D613" w15:paraIdParent="0C122172" w15:done="0"/>
  <w15:commentEx w15:paraId="5EB67190" w15:done="0"/>
  <w15:commentEx w15:paraId="182F9947" w15:paraIdParent="5EB67190" w15:done="0"/>
  <w15:commentEx w15:paraId="7517E4D9" w15:done="0"/>
  <w15:commentEx w15:paraId="6A4C0CF2" w15:paraIdParent="7517E4D9" w15:done="0"/>
  <w15:commentEx w15:paraId="54189E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A48B9" w14:textId="77777777" w:rsidR="00DF087F" w:rsidRDefault="00DF087F" w:rsidP="00F35AD9">
      <w:pPr>
        <w:spacing w:after="0" w:line="240" w:lineRule="auto"/>
      </w:pPr>
      <w:r>
        <w:separator/>
      </w:r>
    </w:p>
  </w:endnote>
  <w:endnote w:type="continuationSeparator" w:id="0">
    <w:p w14:paraId="5300C60E" w14:textId="77777777" w:rsidR="00DF087F" w:rsidRDefault="00DF087F" w:rsidP="00F3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FA2A" w14:textId="77777777" w:rsidR="00D83A66" w:rsidRDefault="00D83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9906"/>
      <w:docPartObj>
        <w:docPartGallery w:val="Page Numbers (Bottom of Page)"/>
        <w:docPartUnique/>
      </w:docPartObj>
    </w:sdtPr>
    <w:sdtEndPr>
      <w:rPr>
        <w:noProof/>
      </w:rPr>
    </w:sdtEndPr>
    <w:sdtContent>
      <w:p w14:paraId="1032E123" w14:textId="77777777" w:rsidR="00D83A66" w:rsidRDefault="00D83A66">
        <w:pPr>
          <w:pStyle w:val="Footer"/>
          <w:jc w:val="center"/>
        </w:pPr>
        <w:r>
          <w:fldChar w:fldCharType="begin"/>
        </w:r>
        <w:r>
          <w:instrText xml:space="preserve"> PAGE   \* MERGEFORMAT </w:instrText>
        </w:r>
        <w:r>
          <w:fldChar w:fldCharType="separate"/>
        </w:r>
        <w:r w:rsidR="00B17BFC">
          <w:rPr>
            <w:noProof/>
          </w:rPr>
          <w:t>1</w:t>
        </w:r>
        <w:r>
          <w:rPr>
            <w:noProof/>
          </w:rPr>
          <w:fldChar w:fldCharType="end"/>
        </w:r>
      </w:p>
    </w:sdtContent>
  </w:sdt>
  <w:p w14:paraId="0AF3AF6B" w14:textId="77777777" w:rsidR="00D83A66" w:rsidRDefault="00D83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592CF" w14:textId="77777777" w:rsidR="00D83A66" w:rsidRDefault="00D8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5D5A" w14:textId="77777777" w:rsidR="00DF087F" w:rsidRDefault="00DF087F" w:rsidP="00F35AD9">
      <w:pPr>
        <w:spacing w:after="0" w:line="240" w:lineRule="auto"/>
      </w:pPr>
      <w:r>
        <w:separator/>
      </w:r>
    </w:p>
  </w:footnote>
  <w:footnote w:type="continuationSeparator" w:id="0">
    <w:p w14:paraId="2FCB948E" w14:textId="77777777" w:rsidR="00DF087F" w:rsidRDefault="00DF087F" w:rsidP="00F35AD9">
      <w:pPr>
        <w:spacing w:after="0" w:line="240" w:lineRule="auto"/>
      </w:pPr>
      <w:r>
        <w:continuationSeparator/>
      </w:r>
    </w:p>
  </w:footnote>
  <w:footnote w:id="1">
    <w:p w14:paraId="45ACB232" w14:textId="77777777" w:rsidR="00D83A66" w:rsidRDefault="00D83A66">
      <w:pPr>
        <w:pStyle w:val="FootnoteText"/>
      </w:pPr>
      <w:r>
        <w:rPr>
          <w:rStyle w:val="FootnoteReference"/>
        </w:rPr>
        <w:footnoteRef/>
      </w:r>
      <w:r>
        <w:t xml:space="preserve"> </w:t>
      </w:r>
      <w:proofErr w:type="gramStart"/>
      <w:r>
        <w:t>Based on actual bids from PIER project ZNE Retrofits in Low-Income MF Projects.</w:t>
      </w:r>
      <w:proofErr w:type="gramEnd"/>
    </w:p>
  </w:footnote>
  <w:footnote w:id="2">
    <w:p w14:paraId="0D3CFBA3" w14:textId="77777777" w:rsidR="00D83A66" w:rsidRDefault="00D83A66" w:rsidP="007A1C80">
      <w:pPr>
        <w:pStyle w:val="FootnoteText"/>
      </w:pPr>
      <w:r>
        <w:rPr>
          <w:rStyle w:val="FootnoteReference"/>
        </w:rPr>
        <w:footnoteRef/>
      </w:r>
      <w:r>
        <w:t xml:space="preserve"> Some of this information may be buried in the 957-page TSD document, “</w:t>
      </w:r>
      <w:r w:rsidRPr="00ED0108">
        <w:t>furnaces_nopr_tsd_2015-02-13</w:t>
      </w:r>
      <w:r>
        <w:t xml:space="preserve">.pdf”; we are continuing our investigation in this respect. </w:t>
      </w:r>
    </w:p>
  </w:footnote>
  <w:footnote w:id="3">
    <w:p w14:paraId="02999CC0" w14:textId="77777777" w:rsidR="00D83A66" w:rsidRDefault="00D83A66" w:rsidP="00C55615">
      <w:pPr>
        <w:pStyle w:val="FootnoteText"/>
      </w:pPr>
      <w:r>
        <w:rPr>
          <w:rStyle w:val="FootnoteReference"/>
        </w:rPr>
        <w:footnoteRef/>
      </w:r>
      <w:r>
        <w:t xml:space="preserve"> It is possible, although not clear, that the number used by DOE is the </w:t>
      </w:r>
      <w:r w:rsidRPr="00ED0108">
        <w:rPr>
          <w:i/>
        </w:rPr>
        <w:t>average</w:t>
      </w:r>
      <w:r>
        <w:t xml:space="preserve"> marginal rate, under consideration of the fact that not all customers consume enough electricity to be in the highest tier. We are still investigating.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77AD" w14:textId="77777777" w:rsidR="00D83A66" w:rsidRDefault="00D8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5E0F" w14:textId="77777777" w:rsidR="00D83A66" w:rsidRDefault="00D8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505" w14:textId="77777777" w:rsidR="00D83A66" w:rsidRDefault="00D8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82E"/>
    <w:multiLevelType w:val="hybridMultilevel"/>
    <w:tmpl w:val="5E1E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17ABD"/>
    <w:multiLevelType w:val="hybridMultilevel"/>
    <w:tmpl w:val="D1D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8273B"/>
    <w:multiLevelType w:val="hybridMultilevel"/>
    <w:tmpl w:val="741A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379B0"/>
    <w:multiLevelType w:val="hybridMultilevel"/>
    <w:tmpl w:val="B39A8C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172E0B"/>
    <w:multiLevelType w:val="hybridMultilevel"/>
    <w:tmpl w:val="CA768CE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nsid w:val="13A12E42"/>
    <w:multiLevelType w:val="hybridMultilevel"/>
    <w:tmpl w:val="348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5490F"/>
    <w:multiLevelType w:val="multilevel"/>
    <w:tmpl w:val="EDCE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6B652B"/>
    <w:multiLevelType w:val="multilevel"/>
    <w:tmpl w:val="03E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51608C"/>
    <w:multiLevelType w:val="hybridMultilevel"/>
    <w:tmpl w:val="4E4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761EA"/>
    <w:multiLevelType w:val="hybridMultilevel"/>
    <w:tmpl w:val="54D6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4451F"/>
    <w:multiLevelType w:val="hybridMultilevel"/>
    <w:tmpl w:val="D46A83EC"/>
    <w:lvl w:ilvl="0" w:tplc="E29C3B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964CB"/>
    <w:multiLevelType w:val="hybridMultilevel"/>
    <w:tmpl w:val="159C7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444686"/>
    <w:multiLevelType w:val="hybridMultilevel"/>
    <w:tmpl w:val="7DAE07EA"/>
    <w:lvl w:ilvl="0" w:tplc="E29C3B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53D22"/>
    <w:multiLevelType w:val="hybridMultilevel"/>
    <w:tmpl w:val="D3D65A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DC3FAF"/>
    <w:multiLevelType w:val="hybridMultilevel"/>
    <w:tmpl w:val="8FDC4CBC"/>
    <w:lvl w:ilvl="0" w:tplc="4588E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6B28A2"/>
    <w:multiLevelType w:val="multilevel"/>
    <w:tmpl w:val="F8D2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122412"/>
    <w:multiLevelType w:val="hybridMultilevel"/>
    <w:tmpl w:val="06567738"/>
    <w:lvl w:ilvl="0" w:tplc="E29C3B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C2610"/>
    <w:multiLevelType w:val="hybridMultilevel"/>
    <w:tmpl w:val="F03263A0"/>
    <w:lvl w:ilvl="0" w:tplc="0409000F">
      <w:start w:val="1"/>
      <w:numFmt w:val="decimal"/>
      <w:lvlText w:val="%1."/>
      <w:lvlJc w:val="left"/>
      <w:pPr>
        <w:ind w:left="828" w:hanging="360"/>
      </w:pPr>
      <w:rPr>
        <w:rFont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nsid w:val="4EDE590A"/>
    <w:multiLevelType w:val="hybridMultilevel"/>
    <w:tmpl w:val="3738D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230AD"/>
    <w:multiLevelType w:val="hybridMultilevel"/>
    <w:tmpl w:val="5224A04A"/>
    <w:lvl w:ilvl="0" w:tplc="E29C3B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4491E"/>
    <w:multiLevelType w:val="hybridMultilevel"/>
    <w:tmpl w:val="78D02F74"/>
    <w:lvl w:ilvl="0" w:tplc="E29C3B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CC16B4"/>
    <w:multiLevelType w:val="hybridMultilevel"/>
    <w:tmpl w:val="285013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71040"/>
    <w:multiLevelType w:val="hybridMultilevel"/>
    <w:tmpl w:val="73342E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6C744D"/>
    <w:multiLevelType w:val="hybridMultilevel"/>
    <w:tmpl w:val="04CA3846"/>
    <w:lvl w:ilvl="0" w:tplc="E29C3B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75304"/>
    <w:multiLevelType w:val="hybridMultilevel"/>
    <w:tmpl w:val="638E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0"/>
  </w:num>
  <w:num w:numId="5">
    <w:abstractNumId w:val="1"/>
  </w:num>
  <w:num w:numId="6">
    <w:abstractNumId w:val="2"/>
  </w:num>
  <w:num w:numId="7">
    <w:abstractNumId w:val="11"/>
  </w:num>
  <w:num w:numId="8">
    <w:abstractNumId w:val="21"/>
  </w:num>
  <w:num w:numId="9">
    <w:abstractNumId w:val="8"/>
  </w:num>
  <w:num w:numId="10">
    <w:abstractNumId w:val="5"/>
  </w:num>
  <w:num w:numId="11">
    <w:abstractNumId w:val="10"/>
  </w:num>
  <w:num w:numId="12">
    <w:abstractNumId w:val="16"/>
  </w:num>
  <w:num w:numId="13">
    <w:abstractNumId w:val="19"/>
  </w:num>
  <w:num w:numId="14">
    <w:abstractNumId w:val="23"/>
  </w:num>
  <w:num w:numId="15">
    <w:abstractNumId w:val="12"/>
  </w:num>
  <w:num w:numId="16">
    <w:abstractNumId w:val="20"/>
  </w:num>
  <w:num w:numId="17">
    <w:abstractNumId w:val="18"/>
  </w:num>
  <w:num w:numId="18">
    <w:abstractNumId w:val="4"/>
  </w:num>
  <w:num w:numId="19">
    <w:abstractNumId w:val="9"/>
  </w:num>
  <w:num w:numId="20">
    <w:abstractNumId w:val="22"/>
  </w:num>
  <w:num w:numId="21">
    <w:abstractNumId w:val="13"/>
  </w:num>
  <w:num w:numId="22">
    <w:abstractNumId w:val="14"/>
  </w:num>
  <w:num w:numId="23">
    <w:abstractNumId w:val="3"/>
  </w:num>
  <w:num w:numId="24">
    <w:abstractNumId w:val="24"/>
  </w:num>
  <w:num w:numId="2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Hammon Ph. D.">
    <w15:presenceInfo w15:providerId="Windows Live" w15:userId="181ea05c2ac05ddb"/>
  </w15:person>
  <w15:person w15:author="Marc Esser">
    <w15:presenceInfo w15:providerId="None" w15:userId="Marc Esser"/>
  </w15:person>
  <w15:person w15:author="Rob Hammon">
    <w15:presenceInfo w15:providerId="Windows Live" w15:userId="181ea05c2ac05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72"/>
    <w:rsid w:val="000020B5"/>
    <w:rsid w:val="00016B94"/>
    <w:rsid w:val="0002568C"/>
    <w:rsid w:val="000313CA"/>
    <w:rsid w:val="00040C65"/>
    <w:rsid w:val="00042CFA"/>
    <w:rsid w:val="0004449E"/>
    <w:rsid w:val="0004702C"/>
    <w:rsid w:val="00056950"/>
    <w:rsid w:val="000626A0"/>
    <w:rsid w:val="00064D8D"/>
    <w:rsid w:val="00065122"/>
    <w:rsid w:val="0006614E"/>
    <w:rsid w:val="00073531"/>
    <w:rsid w:val="00074065"/>
    <w:rsid w:val="00074D0E"/>
    <w:rsid w:val="000801BC"/>
    <w:rsid w:val="0008105F"/>
    <w:rsid w:val="00085FB5"/>
    <w:rsid w:val="00094BFF"/>
    <w:rsid w:val="00097602"/>
    <w:rsid w:val="000A5667"/>
    <w:rsid w:val="000B4066"/>
    <w:rsid w:val="000B409A"/>
    <w:rsid w:val="000B474D"/>
    <w:rsid w:val="000B5770"/>
    <w:rsid w:val="000C77A7"/>
    <w:rsid w:val="000D021A"/>
    <w:rsid w:val="000D11F7"/>
    <w:rsid w:val="000E2371"/>
    <w:rsid w:val="000E3C98"/>
    <w:rsid w:val="000E5A54"/>
    <w:rsid w:val="000F2BA9"/>
    <w:rsid w:val="000F31BF"/>
    <w:rsid w:val="00106D86"/>
    <w:rsid w:val="00115C5E"/>
    <w:rsid w:val="001227E3"/>
    <w:rsid w:val="00126F0A"/>
    <w:rsid w:val="001317CC"/>
    <w:rsid w:val="00135086"/>
    <w:rsid w:val="00140D72"/>
    <w:rsid w:val="00142598"/>
    <w:rsid w:val="00151785"/>
    <w:rsid w:val="00152B18"/>
    <w:rsid w:val="001574AF"/>
    <w:rsid w:val="00173596"/>
    <w:rsid w:val="00174A09"/>
    <w:rsid w:val="00174AF7"/>
    <w:rsid w:val="00183E5C"/>
    <w:rsid w:val="00186989"/>
    <w:rsid w:val="00187914"/>
    <w:rsid w:val="001907B1"/>
    <w:rsid w:val="00192310"/>
    <w:rsid w:val="001A5ACA"/>
    <w:rsid w:val="001B4CFD"/>
    <w:rsid w:val="001B5CEE"/>
    <w:rsid w:val="001B7158"/>
    <w:rsid w:val="001C7A89"/>
    <w:rsid w:val="001D1450"/>
    <w:rsid w:val="001D77DF"/>
    <w:rsid w:val="001E2DE0"/>
    <w:rsid w:val="001E4331"/>
    <w:rsid w:val="001E4C01"/>
    <w:rsid w:val="00202AE7"/>
    <w:rsid w:val="00202DB5"/>
    <w:rsid w:val="00205081"/>
    <w:rsid w:val="002054DC"/>
    <w:rsid w:val="00207F37"/>
    <w:rsid w:val="0021120F"/>
    <w:rsid w:val="00220DE0"/>
    <w:rsid w:val="00224E32"/>
    <w:rsid w:val="00224EF0"/>
    <w:rsid w:val="002251EC"/>
    <w:rsid w:val="00227C14"/>
    <w:rsid w:val="00233412"/>
    <w:rsid w:val="00236931"/>
    <w:rsid w:val="00242DC8"/>
    <w:rsid w:val="00243A40"/>
    <w:rsid w:val="00247EFE"/>
    <w:rsid w:val="002515D2"/>
    <w:rsid w:val="00252E49"/>
    <w:rsid w:val="0025402A"/>
    <w:rsid w:val="00255A8A"/>
    <w:rsid w:val="00272496"/>
    <w:rsid w:val="002743B7"/>
    <w:rsid w:val="00282242"/>
    <w:rsid w:val="00290B51"/>
    <w:rsid w:val="00291D13"/>
    <w:rsid w:val="00292729"/>
    <w:rsid w:val="00294DAE"/>
    <w:rsid w:val="002A3D59"/>
    <w:rsid w:val="002A5A10"/>
    <w:rsid w:val="002B122B"/>
    <w:rsid w:val="002B135D"/>
    <w:rsid w:val="002C4125"/>
    <w:rsid w:val="002E674F"/>
    <w:rsid w:val="002F0F03"/>
    <w:rsid w:val="002F7D49"/>
    <w:rsid w:val="00306EF8"/>
    <w:rsid w:val="00315A54"/>
    <w:rsid w:val="00320B1D"/>
    <w:rsid w:val="00321F09"/>
    <w:rsid w:val="003238C2"/>
    <w:rsid w:val="00330A86"/>
    <w:rsid w:val="00332E89"/>
    <w:rsid w:val="003343E2"/>
    <w:rsid w:val="003358D6"/>
    <w:rsid w:val="003403B6"/>
    <w:rsid w:val="003427B6"/>
    <w:rsid w:val="00342979"/>
    <w:rsid w:val="003560E9"/>
    <w:rsid w:val="00364B24"/>
    <w:rsid w:val="00366CB9"/>
    <w:rsid w:val="00367E36"/>
    <w:rsid w:val="00370CE9"/>
    <w:rsid w:val="0037294F"/>
    <w:rsid w:val="00372F11"/>
    <w:rsid w:val="00373311"/>
    <w:rsid w:val="00386698"/>
    <w:rsid w:val="0039021C"/>
    <w:rsid w:val="00391C94"/>
    <w:rsid w:val="00395372"/>
    <w:rsid w:val="003A112D"/>
    <w:rsid w:val="003A2AC2"/>
    <w:rsid w:val="003A2B72"/>
    <w:rsid w:val="003B0D04"/>
    <w:rsid w:val="003B0D08"/>
    <w:rsid w:val="003B342E"/>
    <w:rsid w:val="003B7B8B"/>
    <w:rsid w:val="003C12D3"/>
    <w:rsid w:val="003C4A09"/>
    <w:rsid w:val="003C4E95"/>
    <w:rsid w:val="003C518D"/>
    <w:rsid w:val="003D0F1F"/>
    <w:rsid w:val="003D2C3C"/>
    <w:rsid w:val="003D4C63"/>
    <w:rsid w:val="003E5562"/>
    <w:rsid w:val="003E79D6"/>
    <w:rsid w:val="003F4748"/>
    <w:rsid w:val="004006E3"/>
    <w:rsid w:val="004134AA"/>
    <w:rsid w:val="0041683E"/>
    <w:rsid w:val="00417825"/>
    <w:rsid w:val="00420BB8"/>
    <w:rsid w:val="00424B87"/>
    <w:rsid w:val="004278E6"/>
    <w:rsid w:val="004328F9"/>
    <w:rsid w:val="00435467"/>
    <w:rsid w:val="004361C7"/>
    <w:rsid w:val="00445D3E"/>
    <w:rsid w:val="004468BC"/>
    <w:rsid w:val="00446D4B"/>
    <w:rsid w:val="00450BA6"/>
    <w:rsid w:val="004552C8"/>
    <w:rsid w:val="004556BB"/>
    <w:rsid w:val="00456BD1"/>
    <w:rsid w:val="00457247"/>
    <w:rsid w:val="0047585C"/>
    <w:rsid w:val="00475898"/>
    <w:rsid w:val="0047718E"/>
    <w:rsid w:val="00483E5D"/>
    <w:rsid w:val="0049552D"/>
    <w:rsid w:val="004972EE"/>
    <w:rsid w:val="00497735"/>
    <w:rsid w:val="004A1E26"/>
    <w:rsid w:val="004A4FE1"/>
    <w:rsid w:val="004A6193"/>
    <w:rsid w:val="004B592E"/>
    <w:rsid w:val="004B754C"/>
    <w:rsid w:val="004C131A"/>
    <w:rsid w:val="004C3E23"/>
    <w:rsid w:val="004D3A23"/>
    <w:rsid w:val="004E0B89"/>
    <w:rsid w:val="004E3803"/>
    <w:rsid w:val="004E45C6"/>
    <w:rsid w:val="004F2D20"/>
    <w:rsid w:val="004F3FFE"/>
    <w:rsid w:val="004F6782"/>
    <w:rsid w:val="005033B5"/>
    <w:rsid w:val="00507325"/>
    <w:rsid w:val="00517D54"/>
    <w:rsid w:val="00521679"/>
    <w:rsid w:val="005273D9"/>
    <w:rsid w:val="005302DA"/>
    <w:rsid w:val="005473BE"/>
    <w:rsid w:val="00554617"/>
    <w:rsid w:val="00557A00"/>
    <w:rsid w:val="00565B43"/>
    <w:rsid w:val="00570A06"/>
    <w:rsid w:val="00571A8B"/>
    <w:rsid w:val="00580201"/>
    <w:rsid w:val="00581AF3"/>
    <w:rsid w:val="005842EF"/>
    <w:rsid w:val="00584EDE"/>
    <w:rsid w:val="0059614F"/>
    <w:rsid w:val="005A0A8E"/>
    <w:rsid w:val="005B3759"/>
    <w:rsid w:val="005C0616"/>
    <w:rsid w:val="005D129A"/>
    <w:rsid w:val="005D29B0"/>
    <w:rsid w:val="005E5515"/>
    <w:rsid w:val="005F27ED"/>
    <w:rsid w:val="005F71D2"/>
    <w:rsid w:val="006017A7"/>
    <w:rsid w:val="0060555A"/>
    <w:rsid w:val="006118CE"/>
    <w:rsid w:val="006163BA"/>
    <w:rsid w:val="00620860"/>
    <w:rsid w:val="0064314D"/>
    <w:rsid w:val="00645AAD"/>
    <w:rsid w:val="00646640"/>
    <w:rsid w:val="00653DAD"/>
    <w:rsid w:val="0066419D"/>
    <w:rsid w:val="00666179"/>
    <w:rsid w:val="006814B3"/>
    <w:rsid w:val="006842CB"/>
    <w:rsid w:val="00691E22"/>
    <w:rsid w:val="006A2537"/>
    <w:rsid w:val="006A3F49"/>
    <w:rsid w:val="006A549E"/>
    <w:rsid w:val="006A5E19"/>
    <w:rsid w:val="006A625C"/>
    <w:rsid w:val="006A79CF"/>
    <w:rsid w:val="006C0094"/>
    <w:rsid w:val="006D0007"/>
    <w:rsid w:val="006D009E"/>
    <w:rsid w:val="006D2E36"/>
    <w:rsid w:val="006E030D"/>
    <w:rsid w:val="006F3BFF"/>
    <w:rsid w:val="006F6DB2"/>
    <w:rsid w:val="006F7F71"/>
    <w:rsid w:val="007044AF"/>
    <w:rsid w:val="00705502"/>
    <w:rsid w:val="00705F8B"/>
    <w:rsid w:val="00713BEC"/>
    <w:rsid w:val="00716F0E"/>
    <w:rsid w:val="007170C4"/>
    <w:rsid w:val="007210B1"/>
    <w:rsid w:val="00723917"/>
    <w:rsid w:val="00724F93"/>
    <w:rsid w:val="00735559"/>
    <w:rsid w:val="00746F73"/>
    <w:rsid w:val="0075290D"/>
    <w:rsid w:val="00756886"/>
    <w:rsid w:val="00757E45"/>
    <w:rsid w:val="00762A25"/>
    <w:rsid w:val="00766440"/>
    <w:rsid w:val="0077021D"/>
    <w:rsid w:val="0077276A"/>
    <w:rsid w:val="00785C1A"/>
    <w:rsid w:val="00797F0D"/>
    <w:rsid w:val="007A1C80"/>
    <w:rsid w:val="007A6280"/>
    <w:rsid w:val="007A638C"/>
    <w:rsid w:val="007B02AF"/>
    <w:rsid w:val="007C06AB"/>
    <w:rsid w:val="007C3014"/>
    <w:rsid w:val="007E0566"/>
    <w:rsid w:val="007E1F0A"/>
    <w:rsid w:val="007E4056"/>
    <w:rsid w:val="007E5802"/>
    <w:rsid w:val="007E7AB7"/>
    <w:rsid w:val="007F514B"/>
    <w:rsid w:val="008051EE"/>
    <w:rsid w:val="008105C1"/>
    <w:rsid w:val="008134AF"/>
    <w:rsid w:val="0083067F"/>
    <w:rsid w:val="00841A49"/>
    <w:rsid w:val="00843C44"/>
    <w:rsid w:val="0084419D"/>
    <w:rsid w:val="00844F60"/>
    <w:rsid w:val="00854824"/>
    <w:rsid w:val="00870826"/>
    <w:rsid w:val="0087324A"/>
    <w:rsid w:val="0088249F"/>
    <w:rsid w:val="00883628"/>
    <w:rsid w:val="00885EB0"/>
    <w:rsid w:val="0089085C"/>
    <w:rsid w:val="00891AC2"/>
    <w:rsid w:val="00892741"/>
    <w:rsid w:val="00897890"/>
    <w:rsid w:val="008B0B16"/>
    <w:rsid w:val="008B5161"/>
    <w:rsid w:val="008B653C"/>
    <w:rsid w:val="008C2319"/>
    <w:rsid w:val="008C4DC1"/>
    <w:rsid w:val="008C68CB"/>
    <w:rsid w:val="008D4B07"/>
    <w:rsid w:val="008E12E1"/>
    <w:rsid w:val="008E350D"/>
    <w:rsid w:val="008F34CD"/>
    <w:rsid w:val="008F6258"/>
    <w:rsid w:val="00907559"/>
    <w:rsid w:val="0091033B"/>
    <w:rsid w:val="00913AB9"/>
    <w:rsid w:val="0092021E"/>
    <w:rsid w:val="0092185A"/>
    <w:rsid w:val="00934DF5"/>
    <w:rsid w:val="009445BB"/>
    <w:rsid w:val="00946DA0"/>
    <w:rsid w:val="009569FF"/>
    <w:rsid w:val="00957420"/>
    <w:rsid w:val="009647FD"/>
    <w:rsid w:val="009679BB"/>
    <w:rsid w:val="009761D3"/>
    <w:rsid w:val="00996C80"/>
    <w:rsid w:val="0099732F"/>
    <w:rsid w:val="009A19A4"/>
    <w:rsid w:val="009A1A25"/>
    <w:rsid w:val="009B4458"/>
    <w:rsid w:val="009C2DC2"/>
    <w:rsid w:val="009C486F"/>
    <w:rsid w:val="009E4A5B"/>
    <w:rsid w:val="00A07C17"/>
    <w:rsid w:val="00A20FE5"/>
    <w:rsid w:val="00A24C97"/>
    <w:rsid w:val="00A27C7C"/>
    <w:rsid w:val="00A3240F"/>
    <w:rsid w:val="00A326B6"/>
    <w:rsid w:val="00A36DDD"/>
    <w:rsid w:val="00A413D5"/>
    <w:rsid w:val="00A4216C"/>
    <w:rsid w:val="00A51A5C"/>
    <w:rsid w:val="00A57694"/>
    <w:rsid w:val="00A674E4"/>
    <w:rsid w:val="00A7160C"/>
    <w:rsid w:val="00A81DF7"/>
    <w:rsid w:val="00A84DD5"/>
    <w:rsid w:val="00A920CB"/>
    <w:rsid w:val="00A9577E"/>
    <w:rsid w:val="00AA0447"/>
    <w:rsid w:val="00AA39AC"/>
    <w:rsid w:val="00AB5349"/>
    <w:rsid w:val="00AC3617"/>
    <w:rsid w:val="00AD7EB9"/>
    <w:rsid w:val="00AF052F"/>
    <w:rsid w:val="00AF2D78"/>
    <w:rsid w:val="00AF6152"/>
    <w:rsid w:val="00AF67DF"/>
    <w:rsid w:val="00B00DD7"/>
    <w:rsid w:val="00B02940"/>
    <w:rsid w:val="00B05886"/>
    <w:rsid w:val="00B06B02"/>
    <w:rsid w:val="00B15D74"/>
    <w:rsid w:val="00B17BFC"/>
    <w:rsid w:val="00B21CEC"/>
    <w:rsid w:val="00B2251B"/>
    <w:rsid w:val="00B272DF"/>
    <w:rsid w:val="00B30184"/>
    <w:rsid w:val="00B31F73"/>
    <w:rsid w:val="00B34B30"/>
    <w:rsid w:val="00B45138"/>
    <w:rsid w:val="00B53C9A"/>
    <w:rsid w:val="00B542FA"/>
    <w:rsid w:val="00B60E24"/>
    <w:rsid w:val="00B6239A"/>
    <w:rsid w:val="00B647D0"/>
    <w:rsid w:val="00B7237C"/>
    <w:rsid w:val="00B77172"/>
    <w:rsid w:val="00BA4471"/>
    <w:rsid w:val="00BA509D"/>
    <w:rsid w:val="00BA6EBB"/>
    <w:rsid w:val="00BA7717"/>
    <w:rsid w:val="00BB17E3"/>
    <w:rsid w:val="00BB32CF"/>
    <w:rsid w:val="00BB3C8F"/>
    <w:rsid w:val="00BC0F10"/>
    <w:rsid w:val="00BD2EA1"/>
    <w:rsid w:val="00BD4A17"/>
    <w:rsid w:val="00BD5F94"/>
    <w:rsid w:val="00BD702B"/>
    <w:rsid w:val="00BE0FFB"/>
    <w:rsid w:val="00BE10FA"/>
    <w:rsid w:val="00BE155F"/>
    <w:rsid w:val="00BE1E61"/>
    <w:rsid w:val="00BF4C94"/>
    <w:rsid w:val="00BF59FE"/>
    <w:rsid w:val="00BF5E1F"/>
    <w:rsid w:val="00BF67B6"/>
    <w:rsid w:val="00C02602"/>
    <w:rsid w:val="00C1561A"/>
    <w:rsid w:val="00C15DB9"/>
    <w:rsid w:val="00C20569"/>
    <w:rsid w:val="00C31D2B"/>
    <w:rsid w:val="00C3273B"/>
    <w:rsid w:val="00C37DF7"/>
    <w:rsid w:val="00C4655F"/>
    <w:rsid w:val="00C52157"/>
    <w:rsid w:val="00C5476A"/>
    <w:rsid w:val="00C55615"/>
    <w:rsid w:val="00C568DB"/>
    <w:rsid w:val="00C8539D"/>
    <w:rsid w:val="00C91B02"/>
    <w:rsid w:val="00C92BB2"/>
    <w:rsid w:val="00C92C6D"/>
    <w:rsid w:val="00CA76A4"/>
    <w:rsid w:val="00CA7E74"/>
    <w:rsid w:val="00CB71F5"/>
    <w:rsid w:val="00CC352C"/>
    <w:rsid w:val="00CE3D09"/>
    <w:rsid w:val="00CE4C91"/>
    <w:rsid w:val="00CE7670"/>
    <w:rsid w:val="00CF595F"/>
    <w:rsid w:val="00D002CD"/>
    <w:rsid w:val="00D05E58"/>
    <w:rsid w:val="00D22BAF"/>
    <w:rsid w:val="00D24512"/>
    <w:rsid w:val="00D24D8E"/>
    <w:rsid w:val="00D25F0F"/>
    <w:rsid w:val="00D43968"/>
    <w:rsid w:val="00D446DC"/>
    <w:rsid w:val="00D44A84"/>
    <w:rsid w:val="00D464CC"/>
    <w:rsid w:val="00D50054"/>
    <w:rsid w:val="00D517A2"/>
    <w:rsid w:val="00D52FE5"/>
    <w:rsid w:val="00D5312B"/>
    <w:rsid w:val="00D5552D"/>
    <w:rsid w:val="00D60EC8"/>
    <w:rsid w:val="00D6163C"/>
    <w:rsid w:val="00D71D86"/>
    <w:rsid w:val="00D72DF6"/>
    <w:rsid w:val="00D742A2"/>
    <w:rsid w:val="00D75335"/>
    <w:rsid w:val="00D81651"/>
    <w:rsid w:val="00D83A66"/>
    <w:rsid w:val="00D84855"/>
    <w:rsid w:val="00D90576"/>
    <w:rsid w:val="00D944A1"/>
    <w:rsid w:val="00D95F8E"/>
    <w:rsid w:val="00DA7C02"/>
    <w:rsid w:val="00DB079A"/>
    <w:rsid w:val="00DB137A"/>
    <w:rsid w:val="00DB1458"/>
    <w:rsid w:val="00DB6554"/>
    <w:rsid w:val="00DB69DC"/>
    <w:rsid w:val="00DC3398"/>
    <w:rsid w:val="00DC339C"/>
    <w:rsid w:val="00DC386B"/>
    <w:rsid w:val="00DC6807"/>
    <w:rsid w:val="00DC6FCD"/>
    <w:rsid w:val="00DE4FF1"/>
    <w:rsid w:val="00DF087F"/>
    <w:rsid w:val="00DF2807"/>
    <w:rsid w:val="00E01351"/>
    <w:rsid w:val="00E04112"/>
    <w:rsid w:val="00E04BC0"/>
    <w:rsid w:val="00E05D41"/>
    <w:rsid w:val="00E15D46"/>
    <w:rsid w:val="00E172DA"/>
    <w:rsid w:val="00E217B2"/>
    <w:rsid w:val="00E243F4"/>
    <w:rsid w:val="00E32066"/>
    <w:rsid w:val="00E43437"/>
    <w:rsid w:val="00E560F2"/>
    <w:rsid w:val="00E647AD"/>
    <w:rsid w:val="00E7433F"/>
    <w:rsid w:val="00E8134A"/>
    <w:rsid w:val="00E83EB8"/>
    <w:rsid w:val="00E87098"/>
    <w:rsid w:val="00E87D97"/>
    <w:rsid w:val="00E97A80"/>
    <w:rsid w:val="00EA5BB2"/>
    <w:rsid w:val="00EB004F"/>
    <w:rsid w:val="00EB2C9C"/>
    <w:rsid w:val="00EC0772"/>
    <w:rsid w:val="00EC2902"/>
    <w:rsid w:val="00EC371C"/>
    <w:rsid w:val="00ED5F43"/>
    <w:rsid w:val="00EE2CC9"/>
    <w:rsid w:val="00EE4BC8"/>
    <w:rsid w:val="00EF278A"/>
    <w:rsid w:val="00EF376A"/>
    <w:rsid w:val="00EF6C92"/>
    <w:rsid w:val="00F00311"/>
    <w:rsid w:val="00F11E98"/>
    <w:rsid w:val="00F235F0"/>
    <w:rsid w:val="00F32EFE"/>
    <w:rsid w:val="00F3363C"/>
    <w:rsid w:val="00F3433D"/>
    <w:rsid w:val="00F35AD9"/>
    <w:rsid w:val="00F40169"/>
    <w:rsid w:val="00F418A7"/>
    <w:rsid w:val="00F42E5B"/>
    <w:rsid w:val="00F4600B"/>
    <w:rsid w:val="00F66E9E"/>
    <w:rsid w:val="00F6723D"/>
    <w:rsid w:val="00F745E8"/>
    <w:rsid w:val="00F74FA1"/>
    <w:rsid w:val="00F77BF3"/>
    <w:rsid w:val="00F83380"/>
    <w:rsid w:val="00F90E03"/>
    <w:rsid w:val="00F946F3"/>
    <w:rsid w:val="00F9565F"/>
    <w:rsid w:val="00FB1561"/>
    <w:rsid w:val="00FB3E8C"/>
    <w:rsid w:val="00FB553F"/>
    <w:rsid w:val="00FC224F"/>
    <w:rsid w:val="00FD0404"/>
    <w:rsid w:val="00FD0828"/>
    <w:rsid w:val="00FD0AD6"/>
    <w:rsid w:val="00FD7EFB"/>
    <w:rsid w:val="00FE0580"/>
    <w:rsid w:val="00FE4783"/>
    <w:rsid w:val="00FE49F4"/>
    <w:rsid w:val="00FE7223"/>
    <w:rsid w:val="00FF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FB5"/>
    <w:rPr>
      <w:color w:val="0000FF" w:themeColor="hyperlink"/>
      <w:u w:val="single"/>
    </w:rPr>
  </w:style>
  <w:style w:type="paragraph" w:styleId="BalloonText">
    <w:name w:val="Balloon Text"/>
    <w:basedOn w:val="Normal"/>
    <w:link w:val="BalloonTextChar"/>
    <w:uiPriority w:val="99"/>
    <w:semiHidden/>
    <w:unhideWhenUsed/>
    <w:rsid w:val="0008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FB5"/>
    <w:rPr>
      <w:rFonts w:ascii="Tahoma" w:hAnsi="Tahoma" w:cs="Tahoma"/>
      <w:sz w:val="16"/>
      <w:szCs w:val="16"/>
    </w:rPr>
  </w:style>
  <w:style w:type="paragraph" w:styleId="ListParagraph">
    <w:name w:val="List Paragraph"/>
    <w:basedOn w:val="Normal"/>
    <w:uiPriority w:val="34"/>
    <w:qFormat/>
    <w:rsid w:val="00342979"/>
    <w:pPr>
      <w:ind w:left="720"/>
      <w:contextualSpacing/>
    </w:pPr>
  </w:style>
  <w:style w:type="character" w:customStyle="1" w:styleId="apple-converted-space">
    <w:name w:val="apple-converted-space"/>
    <w:basedOn w:val="DefaultParagraphFont"/>
    <w:rsid w:val="004C3E23"/>
  </w:style>
  <w:style w:type="table" w:styleId="TableGrid">
    <w:name w:val="Table Grid"/>
    <w:basedOn w:val="TableNormal"/>
    <w:uiPriority w:val="59"/>
    <w:rsid w:val="00E97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56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D9"/>
  </w:style>
  <w:style w:type="paragraph" w:styleId="Footer">
    <w:name w:val="footer"/>
    <w:basedOn w:val="Normal"/>
    <w:link w:val="FooterChar"/>
    <w:uiPriority w:val="99"/>
    <w:unhideWhenUsed/>
    <w:rsid w:val="00F3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D9"/>
  </w:style>
  <w:style w:type="character" w:styleId="CommentReference">
    <w:name w:val="annotation reference"/>
    <w:basedOn w:val="DefaultParagraphFont"/>
    <w:uiPriority w:val="99"/>
    <w:semiHidden/>
    <w:unhideWhenUsed/>
    <w:rsid w:val="0004702C"/>
    <w:rPr>
      <w:sz w:val="16"/>
      <w:szCs w:val="16"/>
    </w:rPr>
  </w:style>
  <w:style w:type="paragraph" w:styleId="CommentText">
    <w:name w:val="annotation text"/>
    <w:basedOn w:val="Normal"/>
    <w:link w:val="CommentTextChar"/>
    <w:uiPriority w:val="99"/>
    <w:semiHidden/>
    <w:unhideWhenUsed/>
    <w:rsid w:val="0004702C"/>
    <w:pPr>
      <w:spacing w:line="240" w:lineRule="auto"/>
    </w:pPr>
    <w:rPr>
      <w:sz w:val="20"/>
      <w:szCs w:val="20"/>
    </w:rPr>
  </w:style>
  <w:style w:type="character" w:customStyle="1" w:styleId="CommentTextChar">
    <w:name w:val="Comment Text Char"/>
    <w:basedOn w:val="DefaultParagraphFont"/>
    <w:link w:val="CommentText"/>
    <w:uiPriority w:val="99"/>
    <w:semiHidden/>
    <w:rsid w:val="0004702C"/>
    <w:rPr>
      <w:sz w:val="20"/>
      <w:szCs w:val="20"/>
    </w:rPr>
  </w:style>
  <w:style w:type="paragraph" w:styleId="CommentSubject">
    <w:name w:val="annotation subject"/>
    <w:basedOn w:val="CommentText"/>
    <w:next w:val="CommentText"/>
    <w:link w:val="CommentSubjectChar"/>
    <w:uiPriority w:val="99"/>
    <w:semiHidden/>
    <w:unhideWhenUsed/>
    <w:rsid w:val="0004702C"/>
    <w:rPr>
      <w:b/>
      <w:bCs/>
    </w:rPr>
  </w:style>
  <w:style w:type="character" w:customStyle="1" w:styleId="CommentSubjectChar">
    <w:name w:val="Comment Subject Char"/>
    <w:basedOn w:val="CommentTextChar"/>
    <w:link w:val="CommentSubject"/>
    <w:uiPriority w:val="99"/>
    <w:semiHidden/>
    <w:rsid w:val="0004702C"/>
    <w:rPr>
      <w:b/>
      <w:bCs/>
      <w:sz w:val="20"/>
      <w:szCs w:val="20"/>
    </w:rPr>
  </w:style>
  <w:style w:type="paragraph" w:styleId="FootnoteText">
    <w:name w:val="footnote text"/>
    <w:basedOn w:val="Normal"/>
    <w:link w:val="FootnoteTextChar"/>
    <w:uiPriority w:val="99"/>
    <w:semiHidden/>
    <w:unhideWhenUsed/>
    <w:rsid w:val="00BE10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0FA"/>
    <w:rPr>
      <w:sz w:val="20"/>
      <w:szCs w:val="20"/>
    </w:rPr>
  </w:style>
  <w:style w:type="character" w:styleId="FootnoteReference">
    <w:name w:val="footnote reference"/>
    <w:basedOn w:val="DefaultParagraphFont"/>
    <w:uiPriority w:val="99"/>
    <w:semiHidden/>
    <w:unhideWhenUsed/>
    <w:rsid w:val="00BE10FA"/>
    <w:rPr>
      <w:vertAlign w:val="superscript"/>
    </w:rPr>
  </w:style>
  <w:style w:type="paragraph" w:customStyle="1" w:styleId="SCGMemo">
    <w:name w:val="SCG Memo"/>
    <w:basedOn w:val="Normal"/>
    <w:link w:val="SCGMemoChar"/>
    <w:qFormat/>
    <w:rsid w:val="00CE4C91"/>
    <w:rPr>
      <w:sz w:val="24"/>
      <w:szCs w:val="24"/>
    </w:rPr>
  </w:style>
  <w:style w:type="character" w:customStyle="1" w:styleId="SCGMemoChar">
    <w:name w:val="SCG Memo Char"/>
    <w:basedOn w:val="DefaultParagraphFont"/>
    <w:link w:val="SCGMemo"/>
    <w:rsid w:val="00CE4C91"/>
    <w:rPr>
      <w:sz w:val="24"/>
      <w:szCs w:val="24"/>
    </w:rPr>
  </w:style>
  <w:style w:type="table" w:customStyle="1" w:styleId="TableGrid0">
    <w:name w:val="TableGrid"/>
    <w:rsid w:val="005273D9"/>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5273D9"/>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DefaultParagraphFont"/>
    <w:rsid w:val="00C55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FB5"/>
    <w:rPr>
      <w:color w:val="0000FF" w:themeColor="hyperlink"/>
      <w:u w:val="single"/>
    </w:rPr>
  </w:style>
  <w:style w:type="paragraph" w:styleId="BalloonText">
    <w:name w:val="Balloon Text"/>
    <w:basedOn w:val="Normal"/>
    <w:link w:val="BalloonTextChar"/>
    <w:uiPriority w:val="99"/>
    <w:semiHidden/>
    <w:unhideWhenUsed/>
    <w:rsid w:val="0008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FB5"/>
    <w:rPr>
      <w:rFonts w:ascii="Tahoma" w:hAnsi="Tahoma" w:cs="Tahoma"/>
      <w:sz w:val="16"/>
      <w:szCs w:val="16"/>
    </w:rPr>
  </w:style>
  <w:style w:type="paragraph" w:styleId="ListParagraph">
    <w:name w:val="List Paragraph"/>
    <w:basedOn w:val="Normal"/>
    <w:uiPriority w:val="34"/>
    <w:qFormat/>
    <w:rsid w:val="00342979"/>
    <w:pPr>
      <w:ind w:left="720"/>
      <w:contextualSpacing/>
    </w:pPr>
  </w:style>
  <w:style w:type="character" w:customStyle="1" w:styleId="apple-converted-space">
    <w:name w:val="apple-converted-space"/>
    <w:basedOn w:val="DefaultParagraphFont"/>
    <w:rsid w:val="004C3E23"/>
  </w:style>
  <w:style w:type="table" w:styleId="TableGrid">
    <w:name w:val="Table Grid"/>
    <w:basedOn w:val="TableNormal"/>
    <w:uiPriority w:val="59"/>
    <w:rsid w:val="00E97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56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5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D9"/>
  </w:style>
  <w:style w:type="paragraph" w:styleId="Footer">
    <w:name w:val="footer"/>
    <w:basedOn w:val="Normal"/>
    <w:link w:val="FooterChar"/>
    <w:uiPriority w:val="99"/>
    <w:unhideWhenUsed/>
    <w:rsid w:val="00F3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D9"/>
  </w:style>
  <w:style w:type="character" w:styleId="CommentReference">
    <w:name w:val="annotation reference"/>
    <w:basedOn w:val="DefaultParagraphFont"/>
    <w:uiPriority w:val="99"/>
    <w:semiHidden/>
    <w:unhideWhenUsed/>
    <w:rsid w:val="0004702C"/>
    <w:rPr>
      <w:sz w:val="16"/>
      <w:szCs w:val="16"/>
    </w:rPr>
  </w:style>
  <w:style w:type="paragraph" w:styleId="CommentText">
    <w:name w:val="annotation text"/>
    <w:basedOn w:val="Normal"/>
    <w:link w:val="CommentTextChar"/>
    <w:uiPriority w:val="99"/>
    <w:semiHidden/>
    <w:unhideWhenUsed/>
    <w:rsid w:val="0004702C"/>
    <w:pPr>
      <w:spacing w:line="240" w:lineRule="auto"/>
    </w:pPr>
    <w:rPr>
      <w:sz w:val="20"/>
      <w:szCs w:val="20"/>
    </w:rPr>
  </w:style>
  <w:style w:type="character" w:customStyle="1" w:styleId="CommentTextChar">
    <w:name w:val="Comment Text Char"/>
    <w:basedOn w:val="DefaultParagraphFont"/>
    <w:link w:val="CommentText"/>
    <w:uiPriority w:val="99"/>
    <w:semiHidden/>
    <w:rsid w:val="0004702C"/>
    <w:rPr>
      <w:sz w:val="20"/>
      <w:szCs w:val="20"/>
    </w:rPr>
  </w:style>
  <w:style w:type="paragraph" w:styleId="CommentSubject">
    <w:name w:val="annotation subject"/>
    <w:basedOn w:val="CommentText"/>
    <w:next w:val="CommentText"/>
    <w:link w:val="CommentSubjectChar"/>
    <w:uiPriority w:val="99"/>
    <w:semiHidden/>
    <w:unhideWhenUsed/>
    <w:rsid w:val="0004702C"/>
    <w:rPr>
      <w:b/>
      <w:bCs/>
    </w:rPr>
  </w:style>
  <w:style w:type="character" w:customStyle="1" w:styleId="CommentSubjectChar">
    <w:name w:val="Comment Subject Char"/>
    <w:basedOn w:val="CommentTextChar"/>
    <w:link w:val="CommentSubject"/>
    <w:uiPriority w:val="99"/>
    <w:semiHidden/>
    <w:rsid w:val="0004702C"/>
    <w:rPr>
      <w:b/>
      <w:bCs/>
      <w:sz w:val="20"/>
      <w:szCs w:val="20"/>
    </w:rPr>
  </w:style>
  <w:style w:type="paragraph" w:styleId="FootnoteText">
    <w:name w:val="footnote text"/>
    <w:basedOn w:val="Normal"/>
    <w:link w:val="FootnoteTextChar"/>
    <w:uiPriority w:val="99"/>
    <w:semiHidden/>
    <w:unhideWhenUsed/>
    <w:rsid w:val="00BE10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0FA"/>
    <w:rPr>
      <w:sz w:val="20"/>
      <w:szCs w:val="20"/>
    </w:rPr>
  </w:style>
  <w:style w:type="character" w:styleId="FootnoteReference">
    <w:name w:val="footnote reference"/>
    <w:basedOn w:val="DefaultParagraphFont"/>
    <w:uiPriority w:val="99"/>
    <w:semiHidden/>
    <w:unhideWhenUsed/>
    <w:rsid w:val="00BE10FA"/>
    <w:rPr>
      <w:vertAlign w:val="superscript"/>
    </w:rPr>
  </w:style>
  <w:style w:type="paragraph" w:customStyle="1" w:styleId="SCGMemo">
    <w:name w:val="SCG Memo"/>
    <w:basedOn w:val="Normal"/>
    <w:link w:val="SCGMemoChar"/>
    <w:qFormat/>
    <w:rsid w:val="00CE4C91"/>
    <w:rPr>
      <w:sz w:val="24"/>
      <w:szCs w:val="24"/>
    </w:rPr>
  </w:style>
  <w:style w:type="character" w:customStyle="1" w:styleId="SCGMemoChar">
    <w:name w:val="SCG Memo Char"/>
    <w:basedOn w:val="DefaultParagraphFont"/>
    <w:link w:val="SCGMemo"/>
    <w:rsid w:val="00CE4C91"/>
    <w:rPr>
      <w:sz w:val="24"/>
      <w:szCs w:val="24"/>
    </w:rPr>
  </w:style>
  <w:style w:type="table" w:customStyle="1" w:styleId="TableGrid0">
    <w:name w:val="TableGrid"/>
    <w:rsid w:val="005273D9"/>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5273D9"/>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DefaultParagraphFont"/>
    <w:rsid w:val="00C5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302">
      <w:bodyDiv w:val="1"/>
      <w:marLeft w:val="0"/>
      <w:marRight w:val="0"/>
      <w:marTop w:val="0"/>
      <w:marBottom w:val="0"/>
      <w:divBdr>
        <w:top w:val="none" w:sz="0" w:space="0" w:color="auto"/>
        <w:left w:val="none" w:sz="0" w:space="0" w:color="auto"/>
        <w:bottom w:val="none" w:sz="0" w:space="0" w:color="auto"/>
        <w:right w:val="none" w:sz="0" w:space="0" w:color="auto"/>
      </w:divBdr>
    </w:div>
    <w:div w:id="140971559">
      <w:bodyDiv w:val="1"/>
      <w:marLeft w:val="0"/>
      <w:marRight w:val="0"/>
      <w:marTop w:val="0"/>
      <w:marBottom w:val="0"/>
      <w:divBdr>
        <w:top w:val="none" w:sz="0" w:space="0" w:color="auto"/>
        <w:left w:val="none" w:sz="0" w:space="0" w:color="auto"/>
        <w:bottom w:val="none" w:sz="0" w:space="0" w:color="auto"/>
        <w:right w:val="none" w:sz="0" w:space="0" w:color="auto"/>
      </w:divBdr>
    </w:div>
    <w:div w:id="188033449">
      <w:bodyDiv w:val="1"/>
      <w:marLeft w:val="0"/>
      <w:marRight w:val="0"/>
      <w:marTop w:val="0"/>
      <w:marBottom w:val="0"/>
      <w:divBdr>
        <w:top w:val="none" w:sz="0" w:space="0" w:color="auto"/>
        <w:left w:val="none" w:sz="0" w:space="0" w:color="auto"/>
        <w:bottom w:val="none" w:sz="0" w:space="0" w:color="auto"/>
        <w:right w:val="none" w:sz="0" w:space="0" w:color="auto"/>
      </w:divBdr>
    </w:div>
    <w:div w:id="340621815">
      <w:bodyDiv w:val="1"/>
      <w:marLeft w:val="0"/>
      <w:marRight w:val="0"/>
      <w:marTop w:val="0"/>
      <w:marBottom w:val="0"/>
      <w:divBdr>
        <w:top w:val="none" w:sz="0" w:space="0" w:color="auto"/>
        <w:left w:val="none" w:sz="0" w:space="0" w:color="auto"/>
        <w:bottom w:val="none" w:sz="0" w:space="0" w:color="auto"/>
        <w:right w:val="none" w:sz="0" w:space="0" w:color="auto"/>
      </w:divBdr>
      <w:divsChild>
        <w:div w:id="1867912157">
          <w:marLeft w:val="0"/>
          <w:marRight w:val="0"/>
          <w:marTop w:val="0"/>
          <w:marBottom w:val="0"/>
          <w:divBdr>
            <w:top w:val="none" w:sz="0" w:space="0" w:color="auto"/>
            <w:left w:val="none" w:sz="0" w:space="0" w:color="auto"/>
            <w:bottom w:val="none" w:sz="0" w:space="0" w:color="auto"/>
            <w:right w:val="none" w:sz="0" w:space="0" w:color="auto"/>
          </w:divBdr>
        </w:div>
        <w:div w:id="551385934">
          <w:marLeft w:val="0"/>
          <w:marRight w:val="0"/>
          <w:marTop w:val="0"/>
          <w:marBottom w:val="0"/>
          <w:divBdr>
            <w:top w:val="none" w:sz="0" w:space="0" w:color="auto"/>
            <w:left w:val="none" w:sz="0" w:space="0" w:color="auto"/>
            <w:bottom w:val="none" w:sz="0" w:space="0" w:color="auto"/>
            <w:right w:val="none" w:sz="0" w:space="0" w:color="auto"/>
          </w:divBdr>
          <w:divsChild>
            <w:div w:id="72053265">
              <w:marLeft w:val="0"/>
              <w:marRight w:val="0"/>
              <w:marTop w:val="0"/>
              <w:marBottom w:val="0"/>
              <w:divBdr>
                <w:top w:val="none" w:sz="0" w:space="0" w:color="auto"/>
                <w:left w:val="none" w:sz="0" w:space="0" w:color="auto"/>
                <w:bottom w:val="none" w:sz="0" w:space="0" w:color="auto"/>
                <w:right w:val="none" w:sz="0" w:space="0" w:color="auto"/>
              </w:divBdr>
              <w:divsChild>
                <w:div w:id="185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31119">
      <w:bodyDiv w:val="1"/>
      <w:marLeft w:val="0"/>
      <w:marRight w:val="0"/>
      <w:marTop w:val="0"/>
      <w:marBottom w:val="0"/>
      <w:divBdr>
        <w:top w:val="none" w:sz="0" w:space="0" w:color="auto"/>
        <w:left w:val="none" w:sz="0" w:space="0" w:color="auto"/>
        <w:bottom w:val="none" w:sz="0" w:space="0" w:color="auto"/>
        <w:right w:val="none" w:sz="0" w:space="0" w:color="auto"/>
      </w:divBdr>
    </w:div>
    <w:div w:id="1044132339">
      <w:bodyDiv w:val="1"/>
      <w:marLeft w:val="0"/>
      <w:marRight w:val="0"/>
      <w:marTop w:val="0"/>
      <w:marBottom w:val="0"/>
      <w:divBdr>
        <w:top w:val="none" w:sz="0" w:space="0" w:color="auto"/>
        <w:left w:val="none" w:sz="0" w:space="0" w:color="auto"/>
        <w:bottom w:val="none" w:sz="0" w:space="0" w:color="auto"/>
        <w:right w:val="none" w:sz="0" w:space="0" w:color="auto"/>
      </w:divBdr>
    </w:div>
    <w:div w:id="1271737662">
      <w:bodyDiv w:val="1"/>
      <w:marLeft w:val="0"/>
      <w:marRight w:val="0"/>
      <w:marTop w:val="0"/>
      <w:marBottom w:val="0"/>
      <w:divBdr>
        <w:top w:val="none" w:sz="0" w:space="0" w:color="auto"/>
        <w:left w:val="none" w:sz="0" w:space="0" w:color="auto"/>
        <w:bottom w:val="none" w:sz="0" w:space="0" w:color="auto"/>
        <w:right w:val="none" w:sz="0" w:space="0" w:color="auto"/>
      </w:divBdr>
    </w:div>
    <w:div w:id="1731339888">
      <w:bodyDiv w:val="1"/>
      <w:marLeft w:val="0"/>
      <w:marRight w:val="0"/>
      <w:marTop w:val="0"/>
      <w:marBottom w:val="0"/>
      <w:divBdr>
        <w:top w:val="none" w:sz="0" w:space="0" w:color="auto"/>
        <w:left w:val="none" w:sz="0" w:space="0" w:color="auto"/>
        <w:bottom w:val="none" w:sz="0" w:space="0" w:color="auto"/>
        <w:right w:val="none" w:sz="0" w:space="0" w:color="auto"/>
      </w:divBdr>
    </w:div>
    <w:div w:id="18815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hyperlink" Target="http://www.mymovingreviews.com/move/how-often-and-why-americans-move" TargetMode="Externa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eader" Target="header2.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http://www.eia.gov/consumption/commercial/data/20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cid:image001.png@01D0705A.2BBDF020" TargetMode="External"/><Relationship Id="rId32" Type="http://schemas.openxmlformats.org/officeDocument/2006/relationships/hyperlink" Target="http://www.eia.gov/forecasts/AEO/pdf/0383(2014).pdf" TargetMode="External"/><Relationship Id="rId37" Type="http://schemas.openxmlformats.org/officeDocument/2006/relationships/header" Target="header3.xml"/><Relationship Id="rId40" Type="http://schemas.openxmlformats.org/officeDocument/2006/relationships/theme" Target="theme/theme1.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http://www.eia.gov/consumption/residential/data/2009/" TargetMode="External"/><Relationship Id="rId36"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image" Target="media/image5.png"/><Relationship Id="rId31" Type="http://schemas.openxmlformats.org/officeDocument/2006/relationships/hyperlink" Target="http://www.eia.gov/forecasts/AEO/"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regulations.gov/" TargetMode="External"/><Relationship Id="rId14" Type="http://schemas.microsoft.com/office/2007/relationships/diagramDrawing" Target="diagrams/drawing1.xml"/><Relationship Id="rId22" Type="http://schemas.openxmlformats.org/officeDocument/2006/relationships/image" Target="media/image8.png"/><Relationship Id="rId27" Type="http://schemas.openxmlformats.org/officeDocument/2006/relationships/hyperlink" Target="http://aceee.org/files/proceedings/2010/data/papers/1923.pdf" TargetMode="External"/><Relationship Id="rId30" Type="http://schemas.openxmlformats.org/officeDocument/2006/relationships/hyperlink" Target="http://www.rsmeans.com" TargetMode="External"/><Relationship Id="rId35" Type="http://schemas.openxmlformats.org/officeDocument/2006/relationships/footer" Target="footer1.xm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3.png"/><Relationship Id="rId25" Type="http://schemas.openxmlformats.org/officeDocument/2006/relationships/hyperlink" Target="http://www.eia.gov/todayinenergy/detail.cfm?id=20011" TargetMode="External"/><Relationship Id="rId33" Type="http://schemas.openxmlformats.org/officeDocument/2006/relationships/header" Target="header1.xml"/><Relationship Id="rId38" Type="http://schemas.openxmlformats.org/officeDocument/2006/relationships/footer" Target="footer3.xml"/><Relationship Id="rId20" Type="http://schemas.openxmlformats.org/officeDocument/2006/relationships/image" Target="media/image6.png"/><Relationship Id="rId41"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5EA5A8-D6FB-4105-9D87-AAEE8D500C3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68D6B90C-946E-4857-A6A5-9B1CEB891159}">
      <dgm:prSet phldrT="[Text]" custT="1"/>
      <dgm:spPr>
        <a:xfrm rot="5400000">
          <a:off x="-108232" y="122705"/>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2007</a:t>
          </a:r>
        </a:p>
      </dgm:t>
    </dgm:pt>
    <dgm:pt modelId="{44EEFE74-8B8E-44CA-AAA4-35829FBFFC82}" type="parTrans" cxnId="{1A5E29BF-16B9-4CD9-ACE8-847E3E9909AA}">
      <dgm:prSet/>
      <dgm:spPr/>
      <dgm:t>
        <a:bodyPr/>
        <a:lstStyle/>
        <a:p>
          <a:endParaRPr lang="en-US"/>
        </a:p>
      </dgm:t>
    </dgm:pt>
    <dgm:pt modelId="{9FF6E52D-4827-40C4-9329-8437D5190102}" type="sibTrans" cxnId="{1A5E29BF-16B9-4CD9-ACE8-847E3E9909AA}">
      <dgm:prSet/>
      <dgm:spPr/>
      <dgm:t>
        <a:bodyPr/>
        <a:lstStyle/>
        <a:p>
          <a:endParaRPr lang="en-US"/>
        </a:p>
      </dgm:t>
    </dgm:pt>
    <dgm:pt modelId="{4FB552D4-6276-414B-9516-87F9472F7120}">
      <dgm:prSet phldrT="[Text]" custT="1"/>
      <dgm:spPr>
        <a:xfrm rot="5400000">
          <a:off x="-108232" y="787424"/>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2008</a:t>
          </a:r>
        </a:p>
      </dgm:t>
    </dgm:pt>
    <dgm:pt modelId="{2223019A-3A95-4439-9DA2-66C75ADD954B}" type="parTrans" cxnId="{1272CDC6-78EF-4677-B48A-E80A4ECA1473}">
      <dgm:prSet/>
      <dgm:spPr/>
      <dgm:t>
        <a:bodyPr/>
        <a:lstStyle/>
        <a:p>
          <a:endParaRPr lang="en-US"/>
        </a:p>
      </dgm:t>
    </dgm:pt>
    <dgm:pt modelId="{8CD3100A-1748-4201-9712-E575C33699B5}" type="sibTrans" cxnId="{1272CDC6-78EF-4677-B48A-E80A4ECA1473}">
      <dgm:prSet/>
      <dgm:spPr/>
      <dgm:t>
        <a:bodyPr/>
        <a:lstStyle/>
        <a:p>
          <a:endParaRPr lang="en-US"/>
        </a:p>
      </dgm:t>
    </dgm:pt>
    <dgm:pt modelId="{839A6059-687D-4F67-B468-DC2E11B48366}">
      <dgm:prSet phldrT="[Text]" custT="1"/>
      <dgm:spPr>
        <a:xfrm rot="5400000">
          <a:off x="2985076" y="-1800798"/>
          <a:ext cx="469009"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US" sz="900" b="0">
              <a:solidFill>
                <a:sysClr val="windowText" lastClr="000000">
                  <a:hueOff val="0"/>
                  <a:satOff val="0"/>
                  <a:lumOff val="0"/>
                  <a:alphaOff val="0"/>
                </a:sysClr>
              </a:solidFill>
              <a:latin typeface="Calibri"/>
              <a:ea typeface="+mn-ea"/>
              <a:cs typeface="+mn-cs"/>
            </a:rPr>
            <a:t>January</a:t>
          </a:r>
          <a:r>
            <a:rPr lang="en-US" sz="900" b="1">
              <a:solidFill>
                <a:sysClr val="windowText" lastClr="000000">
                  <a:hueOff val="0"/>
                  <a:satOff val="0"/>
                  <a:lumOff val="0"/>
                  <a:alphaOff val="0"/>
                </a:sysClr>
              </a:solidFill>
              <a:latin typeface="Calibri"/>
              <a:ea typeface="+mn-ea"/>
              <a:cs typeface="+mn-cs"/>
            </a:rPr>
            <a:t>  -- </a:t>
          </a:r>
          <a:r>
            <a:rPr lang="en-US" sz="900">
              <a:solidFill>
                <a:sysClr val="windowText" lastClr="000000">
                  <a:hueOff val="0"/>
                  <a:satOff val="0"/>
                  <a:lumOff val="0"/>
                  <a:alphaOff val="0"/>
                </a:sysClr>
              </a:solidFill>
              <a:latin typeface="Calibri"/>
              <a:ea typeface="+mn-ea"/>
              <a:cs typeface="+mn-cs"/>
            </a:rPr>
            <a:t>DOE suited on grounds that standards could be more stringet</a:t>
          </a:r>
        </a:p>
      </dgm:t>
    </dgm:pt>
    <dgm:pt modelId="{B4A47B2D-EA03-4636-ABD4-B549774F2925}" type="parTrans" cxnId="{BDF799A4-04F0-42EF-BC84-18F32E6CEF38}">
      <dgm:prSet/>
      <dgm:spPr/>
      <dgm:t>
        <a:bodyPr/>
        <a:lstStyle/>
        <a:p>
          <a:endParaRPr lang="en-US"/>
        </a:p>
      </dgm:t>
    </dgm:pt>
    <dgm:pt modelId="{A5748B55-CE1F-49F9-B016-D37B1C2424DE}" type="sibTrans" cxnId="{BDF799A4-04F0-42EF-BC84-18F32E6CEF38}">
      <dgm:prSet/>
      <dgm:spPr/>
      <dgm:t>
        <a:bodyPr/>
        <a:lstStyle/>
        <a:p>
          <a:endParaRPr lang="en-US"/>
        </a:p>
      </dgm:t>
    </dgm:pt>
    <dgm:pt modelId="{5C3F026B-2FD3-48BC-BA4F-3F59ABBE3E4B}">
      <dgm:prSet phldrT="[Text]" custT="1"/>
      <dgm:spPr>
        <a:xfrm rot="5400000">
          <a:off x="2985076" y="-1800798"/>
          <a:ext cx="469009"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US" sz="900">
              <a:solidFill>
                <a:sysClr val="windowText" lastClr="000000">
                  <a:hueOff val="0"/>
                  <a:satOff val="0"/>
                  <a:lumOff val="0"/>
                  <a:alphaOff val="0"/>
                </a:sysClr>
              </a:solidFill>
              <a:latin typeface="Calibri"/>
              <a:ea typeface="+mn-ea"/>
              <a:cs typeface="+mn-cs"/>
            </a:rPr>
            <a:t>April -- 	Court vacates rulemaking and DOE agrees to revisit its findings in future rulemakings.</a:t>
          </a:r>
        </a:p>
      </dgm:t>
    </dgm:pt>
    <dgm:pt modelId="{2AAB1B2D-5922-4702-AFA8-272F4508438C}" type="parTrans" cxnId="{083009E2-8364-44F8-92DE-36C0B7675435}">
      <dgm:prSet/>
      <dgm:spPr/>
      <dgm:t>
        <a:bodyPr/>
        <a:lstStyle/>
        <a:p>
          <a:endParaRPr lang="en-US"/>
        </a:p>
      </dgm:t>
    </dgm:pt>
    <dgm:pt modelId="{7482E093-2128-4973-BD39-6B5109F28381}" type="sibTrans" cxnId="{083009E2-8364-44F8-92DE-36C0B7675435}">
      <dgm:prSet/>
      <dgm:spPr/>
      <dgm:t>
        <a:bodyPr/>
        <a:lstStyle/>
        <a:p>
          <a:endParaRPr lang="en-US"/>
        </a:p>
      </dgm:t>
    </dgm:pt>
    <dgm:pt modelId="{5DB0C3A3-9A6F-40F5-8134-CF7576056216}">
      <dgm:prSet phldrT="[Text]" custT="1"/>
      <dgm:spPr>
        <a:xfrm rot="5400000">
          <a:off x="-108232" y="1452142"/>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2009</a:t>
          </a:r>
        </a:p>
      </dgm:t>
    </dgm:pt>
    <dgm:pt modelId="{2890D5E5-39D4-44DF-A5B7-CFD6A6397E3A}" type="parTrans" cxnId="{074F07B4-15B0-48E3-B4C0-2C4F0F92629D}">
      <dgm:prSet/>
      <dgm:spPr/>
      <dgm:t>
        <a:bodyPr/>
        <a:lstStyle/>
        <a:p>
          <a:endParaRPr lang="en-US"/>
        </a:p>
      </dgm:t>
    </dgm:pt>
    <dgm:pt modelId="{B58A60F1-D2DC-4988-82F6-176A5366CF34}" type="sibTrans" cxnId="{074F07B4-15B0-48E3-B4C0-2C4F0F92629D}">
      <dgm:prSet/>
      <dgm:spPr/>
      <dgm:t>
        <a:bodyPr/>
        <a:lstStyle/>
        <a:p>
          <a:endParaRPr lang="en-US"/>
        </a:p>
      </dgm:t>
    </dgm:pt>
    <dgm:pt modelId="{6A09E515-87F6-4216-BF6C-0D6223B08A0C}">
      <dgm:prSet custT="1"/>
      <dgm:spPr>
        <a:xfrm rot="5400000">
          <a:off x="2985076" y="-1136079"/>
          <a:ext cx="469009"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October -- "Consensus Agreement" from joint petitioners (including CEC) proposes regional standard of 90% AFUE  in northern states and 80% AFUE in southern states.</a:t>
          </a:r>
        </a:p>
      </dgm:t>
    </dgm:pt>
    <dgm:pt modelId="{C04C4C9F-B3A8-49D7-974C-59DCC52DF2A4}" type="parTrans" cxnId="{00117083-69A2-467E-AAEA-21E324EB7331}">
      <dgm:prSet/>
      <dgm:spPr/>
      <dgm:t>
        <a:bodyPr/>
        <a:lstStyle/>
        <a:p>
          <a:endParaRPr lang="en-US"/>
        </a:p>
      </dgm:t>
    </dgm:pt>
    <dgm:pt modelId="{F9B7B51B-59E7-47BA-BF0A-4045FD412F3F}" type="sibTrans" cxnId="{00117083-69A2-467E-AAEA-21E324EB7331}">
      <dgm:prSet/>
      <dgm:spPr/>
      <dgm:t>
        <a:bodyPr/>
        <a:lstStyle/>
        <a:p>
          <a:endParaRPr lang="en-US"/>
        </a:p>
      </dgm:t>
    </dgm:pt>
    <dgm:pt modelId="{32FB528B-1717-43E2-978F-C364E8F3F6D0}">
      <dgm:prSet custT="1"/>
      <dgm:spPr>
        <a:xfrm rot="5400000">
          <a:off x="-108232" y="2781579"/>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2011</a:t>
          </a:r>
        </a:p>
      </dgm:t>
    </dgm:pt>
    <dgm:pt modelId="{4A88EF85-51A8-4500-8FEF-37427552B909}" type="parTrans" cxnId="{82AEF758-6F99-4029-AB14-EA8C819D37ED}">
      <dgm:prSet/>
      <dgm:spPr/>
      <dgm:t>
        <a:bodyPr/>
        <a:lstStyle/>
        <a:p>
          <a:endParaRPr lang="en-US"/>
        </a:p>
      </dgm:t>
    </dgm:pt>
    <dgm:pt modelId="{33768DF4-FB79-49C2-8E8E-E0BED65985FE}" type="sibTrans" cxnId="{82AEF758-6F99-4029-AB14-EA8C819D37ED}">
      <dgm:prSet/>
      <dgm:spPr/>
      <dgm:t>
        <a:bodyPr/>
        <a:lstStyle/>
        <a:p>
          <a:endParaRPr lang="en-US"/>
        </a:p>
      </dgm:t>
    </dgm:pt>
    <dgm:pt modelId="{646BB9E1-168A-431E-B370-90EE3D820BA1}">
      <dgm:prSet custT="1"/>
      <dgm:spPr>
        <a:xfrm rot="5400000">
          <a:off x="2985076" y="193357"/>
          <a:ext cx="469009"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June  -- Final Rule  sets regional standards of 90% AFUE and in northern states and 80% AFUE in southern states.</a:t>
          </a:r>
        </a:p>
      </dgm:t>
    </dgm:pt>
    <dgm:pt modelId="{AF9893D9-21F1-44CB-8DA2-EFD024BA69EF}" type="parTrans" cxnId="{8D965EDA-13CC-4A78-82A0-F70EB38E028B}">
      <dgm:prSet/>
      <dgm:spPr/>
      <dgm:t>
        <a:bodyPr/>
        <a:lstStyle/>
        <a:p>
          <a:endParaRPr lang="en-US"/>
        </a:p>
      </dgm:t>
    </dgm:pt>
    <dgm:pt modelId="{56CFCAC4-17CD-4150-88B1-A0D9A308B51E}" type="sibTrans" cxnId="{8D965EDA-13CC-4A78-82A0-F70EB38E028B}">
      <dgm:prSet/>
      <dgm:spPr/>
      <dgm:t>
        <a:bodyPr/>
        <a:lstStyle/>
        <a:p>
          <a:endParaRPr lang="en-US"/>
        </a:p>
      </dgm:t>
    </dgm:pt>
    <dgm:pt modelId="{42D7C9D7-C710-45BB-AD0B-507B514E3C5A}">
      <dgm:prSet custT="1"/>
      <dgm:spPr>
        <a:xfrm rot="5400000">
          <a:off x="-108232" y="3446298"/>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2012</a:t>
          </a:r>
        </a:p>
      </dgm:t>
    </dgm:pt>
    <dgm:pt modelId="{1631F74C-1E73-466F-A1CA-70EB36B0979D}" type="parTrans" cxnId="{9CC7E2E9-B03B-426E-8315-0E75B000582A}">
      <dgm:prSet/>
      <dgm:spPr/>
      <dgm:t>
        <a:bodyPr/>
        <a:lstStyle/>
        <a:p>
          <a:endParaRPr lang="en-US"/>
        </a:p>
      </dgm:t>
    </dgm:pt>
    <dgm:pt modelId="{7C95A25D-5BE9-4F10-A1D1-03812BF79D05}" type="sibTrans" cxnId="{9CC7E2E9-B03B-426E-8315-0E75B000582A}">
      <dgm:prSet/>
      <dgm:spPr/>
      <dgm:t>
        <a:bodyPr/>
        <a:lstStyle/>
        <a:p>
          <a:endParaRPr lang="en-US"/>
        </a:p>
      </dgm:t>
    </dgm:pt>
    <dgm:pt modelId="{254F7A91-9568-42B9-8033-8BA9313975F2}">
      <dgm:prSet custT="1"/>
      <dgm:spPr>
        <a:xfrm rot="5400000">
          <a:off x="2985076" y="858076"/>
          <a:ext cx="469009"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January  -- APGA files suite on procedural grounds that DOE did not adequately consider the concerns of all stakeholders.</a:t>
          </a:r>
        </a:p>
      </dgm:t>
    </dgm:pt>
    <dgm:pt modelId="{F8191A37-3EAC-4ED0-ABEF-A78FF7DCA8D9}" type="parTrans" cxnId="{139D6874-16A3-48F1-A2D8-E3FD2C76AA76}">
      <dgm:prSet/>
      <dgm:spPr/>
      <dgm:t>
        <a:bodyPr/>
        <a:lstStyle/>
        <a:p>
          <a:endParaRPr lang="en-US"/>
        </a:p>
      </dgm:t>
    </dgm:pt>
    <dgm:pt modelId="{C7C4989C-ED33-4526-83BE-B427EE736CD5}" type="sibTrans" cxnId="{139D6874-16A3-48F1-A2D8-E3FD2C76AA76}">
      <dgm:prSet/>
      <dgm:spPr/>
      <dgm:t>
        <a:bodyPr/>
        <a:lstStyle/>
        <a:p>
          <a:endParaRPr lang="en-US"/>
        </a:p>
      </dgm:t>
    </dgm:pt>
    <dgm:pt modelId="{7431D684-CBB6-485C-B907-B95CB29D293A}">
      <dgm:prSet custT="1"/>
      <dgm:spPr>
        <a:xfrm rot="5400000">
          <a:off x="-108232" y="4111017"/>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2013</a:t>
          </a:r>
        </a:p>
      </dgm:t>
    </dgm:pt>
    <dgm:pt modelId="{40174B89-4E19-4B1C-94B0-C07F13B30522}" type="parTrans" cxnId="{1B5FBF79-DBDB-40BD-ACE8-D60781CD478F}">
      <dgm:prSet/>
      <dgm:spPr/>
      <dgm:t>
        <a:bodyPr/>
        <a:lstStyle/>
        <a:p>
          <a:endParaRPr lang="en-US"/>
        </a:p>
      </dgm:t>
    </dgm:pt>
    <dgm:pt modelId="{E04E0025-238F-44A8-A231-507405ADEDF6}" type="sibTrans" cxnId="{1B5FBF79-DBDB-40BD-ACE8-D60781CD478F}">
      <dgm:prSet/>
      <dgm:spPr/>
      <dgm:t>
        <a:bodyPr/>
        <a:lstStyle/>
        <a:p>
          <a:endParaRPr lang="en-US"/>
        </a:p>
      </dgm:t>
    </dgm:pt>
    <dgm:pt modelId="{3468B5D8-EFC9-4C22-87D5-448C35BBCDBA}">
      <dgm:prSet custT="1"/>
      <dgm:spPr>
        <a:xfrm rot="5400000">
          <a:off x="-108232" y="4775735"/>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2014</a:t>
          </a:r>
        </a:p>
      </dgm:t>
    </dgm:pt>
    <dgm:pt modelId="{10ADA551-58EA-40E9-90F6-CDE9DEFD0E0D}" type="parTrans" cxnId="{FD6EC41B-C493-45D5-B886-2CCE8395E007}">
      <dgm:prSet/>
      <dgm:spPr/>
      <dgm:t>
        <a:bodyPr/>
        <a:lstStyle/>
        <a:p>
          <a:endParaRPr lang="en-US"/>
        </a:p>
      </dgm:t>
    </dgm:pt>
    <dgm:pt modelId="{04CD79CB-5AA2-4498-A3CE-49132027AEA2}" type="sibTrans" cxnId="{FD6EC41B-C493-45D5-B886-2CCE8395E007}">
      <dgm:prSet/>
      <dgm:spPr/>
      <dgm:t>
        <a:bodyPr/>
        <a:lstStyle/>
        <a:p>
          <a:endParaRPr lang="en-US"/>
        </a:p>
      </dgm:t>
    </dgm:pt>
    <dgm:pt modelId="{2EC35853-C0CA-4A28-810C-B180EDED54EE}">
      <dgm:prSet custT="1"/>
      <dgm:spPr>
        <a:xfrm rot="5400000">
          <a:off x="-108232" y="5508338"/>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2015</a:t>
          </a:r>
        </a:p>
      </dgm:t>
    </dgm:pt>
    <dgm:pt modelId="{CDFA58A7-E757-4A05-A649-886CBD1A714C}" type="parTrans" cxnId="{242187DD-EF37-4714-BEDF-58131F9E1DD9}">
      <dgm:prSet/>
      <dgm:spPr/>
      <dgm:t>
        <a:bodyPr/>
        <a:lstStyle/>
        <a:p>
          <a:endParaRPr lang="en-US"/>
        </a:p>
      </dgm:t>
    </dgm:pt>
    <dgm:pt modelId="{9339FFAF-1E4C-496F-8173-0B78CDE343C8}" type="sibTrans" cxnId="{242187DD-EF37-4714-BEDF-58131F9E1DD9}">
      <dgm:prSet/>
      <dgm:spPr/>
      <dgm:t>
        <a:bodyPr/>
        <a:lstStyle/>
        <a:p>
          <a:endParaRPr lang="en-US"/>
        </a:p>
      </dgm:t>
    </dgm:pt>
    <dgm:pt modelId="{CF94DFE5-BF10-475A-A4FB-5FB70CA6CFF0}">
      <dgm:prSet custT="1"/>
      <dgm:spPr>
        <a:xfrm rot="5400000">
          <a:off x="-108232" y="6173057"/>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2016</a:t>
          </a:r>
        </a:p>
      </dgm:t>
    </dgm:pt>
    <dgm:pt modelId="{04B8D432-7C21-483A-AD4A-7B7894EB87A5}" type="parTrans" cxnId="{FAB622AA-E4DF-4E0C-9868-5BAF1F653AD6}">
      <dgm:prSet/>
      <dgm:spPr/>
      <dgm:t>
        <a:bodyPr/>
        <a:lstStyle/>
        <a:p>
          <a:endParaRPr lang="en-US"/>
        </a:p>
      </dgm:t>
    </dgm:pt>
    <dgm:pt modelId="{0C1A1038-82FB-4003-9943-427DF9CC3D72}" type="sibTrans" cxnId="{FAB622AA-E4DF-4E0C-9868-5BAF1F653AD6}">
      <dgm:prSet/>
      <dgm:spPr/>
      <dgm:t>
        <a:bodyPr/>
        <a:lstStyle/>
        <a:p>
          <a:endParaRPr lang="en-US"/>
        </a:p>
      </dgm:t>
    </dgm:pt>
    <dgm:pt modelId="{5C99FAFC-6E0F-46D2-ACED-9FD2B4433D5D}">
      <dgm:prSet custT="1"/>
      <dgm:spPr>
        <a:xfrm rot="5400000">
          <a:off x="-108232" y="2116861"/>
          <a:ext cx="721552" cy="50508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2010</a:t>
          </a:r>
        </a:p>
      </dgm:t>
    </dgm:pt>
    <dgm:pt modelId="{C8E6688B-2474-43C1-B422-778322C44732}" type="parTrans" cxnId="{D906C513-86A9-40FF-AAC3-75712B56F1A6}">
      <dgm:prSet/>
      <dgm:spPr/>
      <dgm:t>
        <a:bodyPr/>
        <a:lstStyle/>
        <a:p>
          <a:endParaRPr lang="en-US"/>
        </a:p>
      </dgm:t>
    </dgm:pt>
    <dgm:pt modelId="{CB850574-BFF5-47A3-B0E3-26C7F5B96CE9}" type="sibTrans" cxnId="{D906C513-86A9-40FF-AAC3-75712B56F1A6}">
      <dgm:prSet/>
      <dgm:spPr/>
      <dgm:t>
        <a:bodyPr/>
        <a:lstStyle/>
        <a:p>
          <a:endParaRPr lang="en-US"/>
        </a:p>
      </dgm:t>
    </dgm:pt>
    <dgm:pt modelId="{184A758B-9093-4E34-821D-804E829F6CB4}">
      <dgm:prSet custT="1"/>
      <dgm:spPr>
        <a:xfrm rot="5400000">
          <a:off x="2985076" y="2187513"/>
          <a:ext cx="469009"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April  -- Court vacates 2011 Final Rule and DOE agrees to revisit its findings in future rulemakings. </a:t>
          </a:r>
        </a:p>
      </dgm:t>
    </dgm:pt>
    <dgm:pt modelId="{E04C7533-4B9A-467D-B37C-C75088C314F1}" type="parTrans" cxnId="{1D1E1F36-5209-4898-9F70-703FEA91F201}">
      <dgm:prSet/>
      <dgm:spPr/>
      <dgm:t>
        <a:bodyPr/>
        <a:lstStyle/>
        <a:p>
          <a:endParaRPr lang="en-US"/>
        </a:p>
      </dgm:t>
    </dgm:pt>
    <dgm:pt modelId="{4F2E1954-FAE5-43B4-A091-D6A1438BAACA}" type="sibTrans" cxnId="{1D1E1F36-5209-4898-9F70-703FEA91F201}">
      <dgm:prSet/>
      <dgm:spPr/>
      <dgm:t>
        <a:bodyPr/>
        <a:lstStyle/>
        <a:p>
          <a:endParaRPr lang="en-US"/>
        </a:p>
      </dgm:t>
    </dgm:pt>
    <dgm:pt modelId="{EFFC615E-5E34-4808-A6B7-E48D6C60CD59}">
      <dgm:prSet custT="1"/>
      <dgm:spPr>
        <a:xfrm rot="5400000">
          <a:off x="2917191" y="2920116"/>
          <a:ext cx="604778"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March 11 -- DOE Publishes NOPR for national standard of 92% national standard.</a:t>
          </a:r>
        </a:p>
      </dgm:t>
    </dgm:pt>
    <dgm:pt modelId="{7F252A33-E2B5-4F80-89C0-48DEAE7011FD}" type="parTrans" cxnId="{9DACC46B-77F5-4A46-AF2F-962AA8DEF3F8}">
      <dgm:prSet/>
      <dgm:spPr/>
      <dgm:t>
        <a:bodyPr/>
        <a:lstStyle/>
        <a:p>
          <a:endParaRPr lang="en-US"/>
        </a:p>
      </dgm:t>
    </dgm:pt>
    <dgm:pt modelId="{4981E85D-EA8E-43E6-BD6D-A8EB9A64A9AD}" type="sibTrans" cxnId="{9DACC46B-77F5-4A46-AF2F-962AA8DEF3F8}">
      <dgm:prSet/>
      <dgm:spPr/>
      <dgm:t>
        <a:bodyPr/>
        <a:lstStyle/>
        <a:p>
          <a:endParaRPr lang="en-US"/>
        </a:p>
      </dgm:t>
    </dgm:pt>
    <dgm:pt modelId="{92799AA0-9F53-45C2-B3FA-7C491CFE844E}">
      <dgm:prSet custT="1"/>
      <dgm:spPr>
        <a:xfrm rot="5400000">
          <a:off x="2917191" y="2920116"/>
          <a:ext cx="604778"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March27 -- Public meeting and comment on the NOPR</a:t>
          </a:r>
        </a:p>
      </dgm:t>
    </dgm:pt>
    <dgm:pt modelId="{BE88D753-3C91-4DBA-BA3A-D9944187E970}" type="parTrans" cxnId="{2F9FB797-BF0A-4C96-BF5A-CD503BA49586}">
      <dgm:prSet/>
      <dgm:spPr/>
      <dgm:t>
        <a:bodyPr/>
        <a:lstStyle/>
        <a:p>
          <a:endParaRPr lang="en-US"/>
        </a:p>
      </dgm:t>
    </dgm:pt>
    <dgm:pt modelId="{552216FC-A24C-45BD-85AD-B77BC3C4F246}" type="sibTrans" cxnId="{2F9FB797-BF0A-4C96-BF5A-CD503BA49586}">
      <dgm:prSet/>
      <dgm:spPr/>
      <dgm:t>
        <a:bodyPr/>
        <a:lstStyle/>
        <a:p>
          <a:endParaRPr lang="en-US"/>
        </a:p>
      </dgm:t>
    </dgm:pt>
    <dgm:pt modelId="{1E1C5A8A-4678-4DB9-8768-0F74E755C87E}">
      <dgm:prSet custT="1"/>
      <dgm:spPr>
        <a:xfrm rot="5400000">
          <a:off x="2917191" y="2920116"/>
          <a:ext cx="604778"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April 13 -- Public Meeting and comment on the NOPR</a:t>
          </a:r>
        </a:p>
      </dgm:t>
    </dgm:pt>
    <dgm:pt modelId="{B9B5217C-378D-4FA8-B71B-36305C7C194C}" type="parTrans" cxnId="{C892CDCE-5B79-4602-AE2B-ECB1E8A3CA61}">
      <dgm:prSet/>
      <dgm:spPr/>
      <dgm:t>
        <a:bodyPr/>
        <a:lstStyle/>
        <a:p>
          <a:endParaRPr lang="en-US"/>
        </a:p>
      </dgm:t>
    </dgm:pt>
    <dgm:pt modelId="{4C764B84-8D0E-49FB-A3CC-0DCA86E649D6}" type="sibTrans" cxnId="{C892CDCE-5B79-4602-AE2B-ECB1E8A3CA61}">
      <dgm:prSet/>
      <dgm:spPr/>
      <dgm:t>
        <a:bodyPr/>
        <a:lstStyle/>
        <a:p>
          <a:endParaRPr lang="en-US"/>
        </a:p>
      </dgm:t>
    </dgm:pt>
    <dgm:pt modelId="{0DCF7E6F-3953-409C-9E8B-1C58958F5D11}">
      <dgm:prSet custT="1"/>
      <dgm:spPr>
        <a:xfrm rot="5400000">
          <a:off x="2917191" y="2920116"/>
          <a:ext cx="604778"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June 10 -- Deadline for submitting comments to DOE</a:t>
          </a:r>
        </a:p>
      </dgm:t>
    </dgm:pt>
    <dgm:pt modelId="{C3A74483-090C-463D-94B4-385A35AC0B19}" type="parTrans" cxnId="{DAF6E8EC-39F5-4560-BA84-CB4101CAE0E8}">
      <dgm:prSet/>
      <dgm:spPr/>
      <dgm:t>
        <a:bodyPr/>
        <a:lstStyle/>
        <a:p>
          <a:endParaRPr lang="en-US"/>
        </a:p>
      </dgm:t>
    </dgm:pt>
    <dgm:pt modelId="{A0890C68-EA86-4E0F-8480-8EF0859E5367}" type="sibTrans" cxnId="{DAF6E8EC-39F5-4560-BA84-CB4101CAE0E8}">
      <dgm:prSet/>
      <dgm:spPr/>
      <dgm:t>
        <a:bodyPr/>
        <a:lstStyle/>
        <a:p>
          <a:endParaRPr lang="en-US"/>
        </a:p>
      </dgm:t>
    </dgm:pt>
    <dgm:pt modelId="{BFF99E84-5136-4FA1-BEE8-4470CF9BCE7C}">
      <dgm:prSet custT="1"/>
      <dgm:spPr>
        <a:xfrm rot="5400000">
          <a:off x="2985076" y="3584835"/>
          <a:ext cx="469009"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Expected publication of Final Rule.  Effective compliance date  is five years from publication.</a:t>
          </a:r>
        </a:p>
      </dgm:t>
    </dgm:pt>
    <dgm:pt modelId="{E923CDD4-A596-4399-901E-4C2ED82DACD3}" type="parTrans" cxnId="{8C2A8386-171B-431F-9966-2C9C2AAE8688}">
      <dgm:prSet/>
      <dgm:spPr/>
      <dgm:t>
        <a:bodyPr/>
        <a:lstStyle/>
        <a:p>
          <a:endParaRPr lang="en-US"/>
        </a:p>
      </dgm:t>
    </dgm:pt>
    <dgm:pt modelId="{698E088A-78E6-4749-9821-C90E4444BBCB}" type="sibTrans" cxnId="{8C2A8386-171B-431F-9966-2C9C2AAE8688}">
      <dgm:prSet/>
      <dgm:spPr/>
      <dgm:t>
        <a:bodyPr/>
        <a:lstStyle/>
        <a:p>
          <a:endParaRPr lang="en-US"/>
        </a:p>
      </dgm:t>
    </dgm:pt>
    <dgm:pt modelId="{16B3D8A9-308B-4E1F-90EC-77D8CC3FBD89}">
      <dgm:prSet phldrT="[Text]" custT="1"/>
      <dgm:spPr>
        <a:xfrm rot="5400000">
          <a:off x="2985076" y="-2465516"/>
          <a:ext cx="469009" cy="54289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00">
              <a:solidFill>
                <a:sysClr val="windowText" lastClr="000000">
                  <a:hueOff val="0"/>
                  <a:satOff val="0"/>
                  <a:lumOff val="0"/>
                  <a:alphaOff val="0"/>
                </a:sysClr>
              </a:solidFill>
              <a:latin typeface="Calibri"/>
              <a:ea typeface="+mn-ea"/>
              <a:cs typeface="+mn-cs"/>
            </a:rPr>
            <a:t>November  -- Final Rule set national standard of 80% AFUE</a:t>
          </a:r>
        </a:p>
      </dgm:t>
    </dgm:pt>
    <dgm:pt modelId="{669AA1AE-AEEF-4700-A029-57F258570CBB}" type="sibTrans" cxnId="{23A951E7-B47F-4009-9DC3-9620199128D1}">
      <dgm:prSet/>
      <dgm:spPr/>
      <dgm:t>
        <a:bodyPr/>
        <a:lstStyle/>
        <a:p>
          <a:endParaRPr lang="en-US"/>
        </a:p>
      </dgm:t>
    </dgm:pt>
    <dgm:pt modelId="{09EE1E93-7B1A-4297-8DAA-41E330C98DC0}" type="parTrans" cxnId="{23A951E7-B47F-4009-9DC3-9620199128D1}">
      <dgm:prSet/>
      <dgm:spPr/>
      <dgm:t>
        <a:bodyPr/>
        <a:lstStyle/>
        <a:p>
          <a:endParaRPr lang="en-US"/>
        </a:p>
      </dgm:t>
    </dgm:pt>
    <dgm:pt modelId="{75FC51A4-8589-4F0A-A8C3-A1791F80DFC2}" type="pres">
      <dgm:prSet presAssocID="{8B5EA5A8-D6FB-4105-9D87-AAEE8D500C30}" presName="linearFlow" presStyleCnt="0">
        <dgm:presLayoutVars>
          <dgm:dir/>
          <dgm:animLvl val="lvl"/>
          <dgm:resizeHandles val="exact"/>
        </dgm:presLayoutVars>
      </dgm:prSet>
      <dgm:spPr/>
      <dgm:t>
        <a:bodyPr/>
        <a:lstStyle/>
        <a:p>
          <a:endParaRPr lang="en-US"/>
        </a:p>
      </dgm:t>
    </dgm:pt>
    <dgm:pt modelId="{FCA0A7E5-A28F-4C94-9F41-31D439F8FEAB}" type="pres">
      <dgm:prSet presAssocID="{68D6B90C-946E-4857-A6A5-9B1CEB891159}" presName="composite" presStyleCnt="0"/>
      <dgm:spPr/>
    </dgm:pt>
    <dgm:pt modelId="{542881F1-1047-4642-B925-239E009C6994}" type="pres">
      <dgm:prSet presAssocID="{68D6B90C-946E-4857-A6A5-9B1CEB891159}" presName="parentText" presStyleLbl="alignNode1" presStyleIdx="0" presStyleCnt="10">
        <dgm:presLayoutVars>
          <dgm:chMax val="1"/>
          <dgm:bulletEnabled val="1"/>
        </dgm:presLayoutVars>
      </dgm:prSet>
      <dgm:spPr>
        <a:prstGeom prst="chevron">
          <a:avLst/>
        </a:prstGeom>
      </dgm:spPr>
      <dgm:t>
        <a:bodyPr/>
        <a:lstStyle/>
        <a:p>
          <a:endParaRPr lang="en-US"/>
        </a:p>
      </dgm:t>
    </dgm:pt>
    <dgm:pt modelId="{66AB07B0-16D3-4308-B042-B3CA8A1EA5A6}" type="pres">
      <dgm:prSet presAssocID="{68D6B90C-946E-4857-A6A5-9B1CEB891159}" presName="descendantText" presStyleLbl="alignAcc1" presStyleIdx="0" presStyleCnt="10">
        <dgm:presLayoutVars>
          <dgm:bulletEnabled val="1"/>
        </dgm:presLayoutVars>
      </dgm:prSet>
      <dgm:spPr>
        <a:prstGeom prst="round2SameRect">
          <a:avLst/>
        </a:prstGeom>
      </dgm:spPr>
      <dgm:t>
        <a:bodyPr/>
        <a:lstStyle/>
        <a:p>
          <a:endParaRPr lang="en-US"/>
        </a:p>
      </dgm:t>
    </dgm:pt>
    <dgm:pt modelId="{C9849B97-AA7E-42C5-A8FB-2645E292C332}" type="pres">
      <dgm:prSet presAssocID="{9FF6E52D-4827-40C4-9329-8437D5190102}" presName="sp" presStyleCnt="0"/>
      <dgm:spPr/>
    </dgm:pt>
    <dgm:pt modelId="{B4DDA53B-D423-465B-BB3D-A1FE8DAC5F52}" type="pres">
      <dgm:prSet presAssocID="{4FB552D4-6276-414B-9516-87F9472F7120}" presName="composite" presStyleCnt="0"/>
      <dgm:spPr/>
    </dgm:pt>
    <dgm:pt modelId="{18DCDACE-DD52-4567-B0DD-43DBD534AF78}" type="pres">
      <dgm:prSet presAssocID="{4FB552D4-6276-414B-9516-87F9472F7120}" presName="parentText" presStyleLbl="alignNode1" presStyleIdx="1" presStyleCnt="10">
        <dgm:presLayoutVars>
          <dgm:chMax val="1"/>
          <dgm:bulletEnabled val="1"/>
        </dgm:presLayoutVars>
      </dgm:prSet>
      <dgm:spPr>
        <a:prstGeom prst="chevron">
          <a:avLst/>
        </a:prstGeom>
      </dgm:spPr>
      <dgm:t>
        <a:bodyPr/>
        <a:lstStyle/>
        <a:p>
          <a:endParaRPr lang="en-US"/>
        </a:p>
      </dgm:t>
    </dgm:pt>
    <dgm:pt modelId="{45A2B331-0834-48DC-A3C8-27391E7D68D3}" type="pres">
      <dgm:prSet presAssocID="{4FB552D4-6276-414B-9516-87F9472F7120}" presName="descendantText" presStyleLbl="alignAcc1" presStyleIdx="1" presStyleCnt="10">
        <dgm:presLayoutVars>
          <dgm:bulletEnabled val="1"/>
        </dgm:presLayoutVars>
      </dgm:prSet>
      <dgm:spPr>
        <a:prstGeom prst="round2SameRect">
          <a:avLst/>
        </a:prstGeom>
      </dgm:spPr>
      <dgm:t>
        <a:bodyPr/>
        <a:lstStyle/>
        <a:p>
          <a:endParaRPr lang="en-US"/>
        </a:p>
      </dgm:t>
    </dgm:pt>
    <dgm:pt modelId="{32AA8EB6-60C9-439F-8002-23985E3E3F6B}" type="pres">
      <dgm:prSet presAssocID="{8CD3100A-1748-4201-9712-E575C33699B5}" presName="sp" presStyleCnt="0"/>
      <dgm:spPr/>
    </dgm:pt>
    <dgm:pt modelId="{D7CB04CC-A7D1-4B7D-A0FD-40213AD8CD4E}" type="pres">
      <dgm:prSet presAssocID="{5DB0C3A3-9A6F-40F5-8134-CF7576056216}" presName="composite" presStyleCnt="0"/>
      <dgm:spPr/>
    </dgm:pt>
    <dgm:pt modelId="{C1A7E135-BEDB-484D-94CD-5FC2B5B70228}" type="pres">
      <dgm:prSet presAssocID="{5DB0C3A3-9A6F-40F5-8134-CF7576056216}" presName="parentText" presStyleLbl="alignNode1" presStyleIdx="2" presStyleCnt="10">
        <dgm:presLayoutVars>
          <dgm:chMax val="1"/>
          <dgm:bulletEnabled val="1"/>
        </dgm:presLayoutVars>
      </dgm:prSet>
      <dgm:spPr>
        <a:prstGeom prst="chevron">
          <a:avLst/>
        </a:prstGeom>
      </dgm:spPr>
      <dgm:t>
        <a:bodyPr/>
        <a:lstStyle/>
        <a:p>
          <a:endParaRPr lang="en-US"/>
        </a:p>
      </dgm:t>
    </dgm:pt>
    <dgm:pt modelId="{695F008F-8C5E-486D-A76E-EEA9B038369F}" type="pres">
      <dgm:prSet presAssocID="{5DB0C3A3-9A6F-40F5-8134-CF7576056216}" presName="descendantText" presStyleLbl="alignAcc1" presStyleIdx="2" presStyleCnt="10">
        <dgm:presLayoutVars>
          <dgm:bulletEnabled val="1"/>
        </dgm:presLayoutVars>
      </dgm:prSet>
      <dgm:spPr>
        <a:prstGeom prst="round2SameRect">
          <a:avLst/>
        </a:prstGeom>
      </dgm:spPr>
      <dgm:t>
        <a:bodyPr/>
        <a:lstStyle/>
        <a:p>
          <a:endParaRPr lang="en-US"/>
        </a:p>
      </dgm:t>
    </dgm:pt>
    <dgm:pt modelId="{0CC776F9-CF04-4E41-BE9C-DADB6C045E6C}" type="pres">
      <dgm:prSet presAssocID="{B58A60F1-D2DC-4988-82F6-176A5366CF34}" presName="sp" presStyleCnt="0"/>
      <dgm:spPr/>
    </dgm:pt>
    <dgm:pt modelId="{0ECD7E59-68FA-49FE-A45E-5CD7D7FF7978}" type="pres">
      <dgm:prSet presAssocID="{5C99FAFC-6E0F-46D2-ACED-9FD2B4433D5D}" presName="composite" presStyleCnt="0"/>
      <dgm:spPr/>
    </dgm:pt>
    <dgm:pt modelId="{157AC4AF-AD78-4970-846F-1DBFE94675E3}" type="pres">
      <dgm:prSet presAssocID="{5C99FAFC-6E0F-46D2-ACED-9FD2B4433D5D}" presName="parentText" presStyleLbl="alignNode1" presStyleIdx="3" presStyleCnt="10">
        <dgm:presLayoutVars>
          <dgm:chMax val="1"/>
          <dgm:bulletEnabled val="1"/>
        </dgm:presLayoutVars>
      </dgm:prSet>
      <dgm:spPr>
        <a:prstGeom prst="chevron">
          <a:avLst/>
        </a:prstGeom>
      </dgm:spPr>
      <dgm:t>
        <a:bodyPr/>
        <a:lstStyle/>
        <a:p>
          <a:endParaRPr lang="en-US"/>
        </a:p>
      </dgm:t>
    </dgm:pt>
    <dgm:pt modelId="{7A6D353E-29CE-4F5B-9553-BB18F9DA525E}" type="pres">
      <dgm:prSet presAssocID="{5C99FAFC-6E0F-46D2-ACED-9FD2B4433D5D}" presName="descendantText" presStyleLbl="alignAcc1" presStyleIdx="3" presStyleCnt="10">
        <dgm:presLayoutVars>
          <dgm:bulletEnabled val="1"/>
        </dgm:presLayoutVars>
      </dgm:prSet>
      <dgm:spPr>
        <a:xfrm rot="5400000">
          <a:off x="2985076" y="-471360"/>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p>
      </dgm:t>
    </dgm:pt>
    <dgm:pt modelId="{F6088EFE-763D-4B07-9453-3D2893AF1EBD}" type="pres">
      <dgm:prSet presAssocID="{CB850574-BFF5-47A3-B0E3-26C7F5B96CE9}" presName="sp" presStyleCnt="0"/>
      <dgm:spPr/>
    </dgm:pt>
    <dgm:pt modelId="{725C3426-F309-4A51-8E26-17614D9ED82D}" type="pres">
      <dgm:prSet presAssocID="{32FB528B-1717-43E2-978F-C364E8F3F6D0}" presName="composite" presStyleCnt="0"/>
      <dgm:spPr/>
    </dgm:pt>
    <dgm:pt modelId="{A19A7700-9648-43A5-83B4-1FF3F260AE5D}" type="pres">
      <dgm:prSet presAssocID="{32FB528B-1717-43E2-978F-C364E8F3F6D0}" presName="parentText" presStyleLbl="alignNode1" presStyleIdx="4" presStyleCnt="10">
        <dgm:presLayoutVars>
          <dgm:chMax val="1"/>
          <dgm:bulletEnabled val="1"/>
        </dgm:presLayoutVars>
      </dgm:prSet>
      <dgm:spPr>
        <a:prstGeom prst="chevron">
          <a:avLst/>
        </a:prstGeom>
      </dgm:spPr>
      <dgm:t>
        <a:bodyPr/>
        <a:lstStyle/>
        <a:p>
          <a:endParaRPr lang="en-US"/>
        </a:p>
      </dgm:t>
    </dgm:pt>
    <dgm:pt modelId="{07877F82-651B-49A7-81D6-48395523BC9B}" type="pres">
      <dgm:prSet presAssocID="{32FB528B-1717-43E2-978F-C364E8F3F6D0}" presName="descendantText" presStyleLbl="alignAcc1" presStyleIdx="4" presStyleCnt="10">
        <dgm:presLayoutVars>
          <dgm:bulletEnabled val="1"/>
        </dgm:presLayoutVars>
      </dgm:prSet>
      <dgm:spPr>
        <a:prstGeom prst="round2SameRect">
          <a:avLst/>
        </a:prstGeom>
      </dgm:spPr>
      <dgm:t>
        <a:bodyPr/>
        <a:lstStyle/>
        <a:p>
          <a:endParaRPr lang="en-US"/>
        </a:p>
      </dgm:t>
    </dgm:pt>
    <dgm:pt modelId="{1C57ECA1-B3D3-4869-813F-292AC73812DA}" type="pres">
      <dgm:prSet presAssocID="{33768DF4-FB79-49C2-8E8E-E0BED65985FE}" presName="sp" presStyleCnt="0"/>
      <dgm:spPr/>
    </dgm:pt>
    <dgm:pt modelId="{4A3E38E1-4F84-441F-87A7-CF8EF8CDE41B}" type="pres">
      <dgm:prSet presAssocID="{42D7C9D7-C710-45BB-AD0B-507B514E3C5A}" presName="composite" presStyleCnt="0"/>
      <dgm:spPr/>
    </dgm:pt>
    <dgm:pt modelId="{A7F45299-FF6A-41D0-9F3A-1CC8D9702F13}" type="pres">
      <dgm:prSet presAssocID="{42D7C9D7-C710-45BB-AD0B-507B514E3C5A}" presName="parentText" presStyleLbl="alignNode1" presStyleIdx="5" presStyleCnt="10">
        <dgm:presLayoutVars>
          <dgm:chMax val="1"/>
          <dgm:bulletEnabled val="1"/>
        </dgm:presLayoutVars>
      </dgm:prSet>
      <dgm:spPr>
        <a:prstGeom prst="chevron">
          <a:avLst/>
        </a:prstGeom>
      </dgm:spPr>
      <dgm:t>
        <a:bodyPr/>
        <a:lstStyle/>
        <a:p>
          <a:endParaRPr lang="en-US"/>
        </a:p>
      </dgm:t>
    </dgm:pt>
    <dgm:pt modelId="{5309B224-757D-4D14-8447-47B2FCD5AFE6}" type="pres">
      <dgm:prSet presAssocID="{42D7C9D7-C710-45BB-AD0B-507B514E3C5A}" presName="descendantText" presStyleLbl="alignAcc1" presStyleIdx="5" presStyleCnt="10">
        <dgm:presLayoutVars>
          <dgm:bulletEnabled val="1"/>
        </dgm:presLayoutVars>
      </dgm:prSet>
      <dgm:spPr>
        <a:prstGeom prst="round2SameRect">
          <a:avLst/>
        </a:prstGeom>
      </dgm:spPr>
      <dgm:t>
        <a:bodyPr/>
        <a:lstStyle/>
        <a:p>
          <a:endParaRPr lang="en-US"/>
        </a:p>
      </dgm:t>
    </dgm:pt>
    <dgm:pt modelId="{FD6775EC-8704-4A4D-BCBD-C6841CE5DAB3}" type="pres">
      <dgm:prSet presAssocID="{7C95A25D-5BE9-4F10-A1D1-03812BF79D05}" presName="sp" presStyleCnt="0"/>
      <dgm:spPr/>
    </dgm:pt>
    <dgm:pt modelId="{0A316454-E45B-415F-B3C1-5CAEAA48706C}" type="pres">
      <dgm:prSet presAssocID="{7431D684-CBB6-485C-B907-B95CB29D293A}" presName="composite" presStyleCnt="0"/>
      <dgm:spPr/>
    </dgm:pt>
    <dgm:pt modelId="{E5F28461-742E-420C-9F3D-DDD8609D5EAB}" type="pres">
      <dgm:prSet presAssocID="{7431D684-CBB6-485C-B907-B95CB29D293A}" presName="parentText" presStyleLbl="alignNode1" presStyleIdx="6" presStyleCnt="10">
        <dgm:presLayoutVars>
          <dgm:chMax val="1"/>
          <dgm:bulletEnabled val="1"/>
        </dgm:presLayoutVars>
      </dgm:prSet>
      <dgm:spPr>
        <a:prstGeom prst="chevron">
          <a:avLst/>
        </a:prstGeom>
      </dgm:spPr>
      <dgm:t>
        <a:bodyPr/>
        <a:lstStyle/>
        <a:p>
          <a:endParaRPr lang="en-US"/>
        </a:p>
      </dgm:t>
    </dgm:pt>
    <dgm:pt modelId="{86DE382B-3CDC-4977-ADF6-16D0A2DA7B3A}" type="pres">
      <dgm:prSet presAssocID="{7431D684-CBB6-485C-B907-B95CB29D293A}" presName="descendantText" presStyleLbl="alignAcc1" presStyleIdx="6" presStyleCnt="10">
        <dgm:presLayoutVars>
          <dgm:bulletEnabled val="1"/>
        </dgm:presLayoutVars>
      </dgm:prSet>
      <dgm:spPr>
        <a:xfrm rot="5400000">
          <a:off x="2985076" y="1522794"/>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US"/>
        </a:p>
      </dgm:t>
    </dgm:pt>
    <dgm:pt modelId="{826E4E04-8D04-4E15-BB74-B6D133313479}" type="pres">
      <dgm:prSet presAssocID="{E04E0025-238F-44A8-A231-507405ADEDF6}" presName="sp" presStyleCnt="0"/>
      <dgm:spPr/>
    </dgm:pt>
    <dgm:pt modelId="{85D37AD8-F44D-49CA-A8AA-AA22FB74B8D3}" type="pres">
      <dgm:prSet presAssocID="{3468B5D8-EFC9-4C22-87D5-448C35BBCDBA}" presName="composite" presStyleCnt="0"/>
      <dgm:spPr/>
    </dgm:pt>
    <dgm:pt modelId="{A5510ACC-0688-47A0-9C42-FB35CDC9C74D}" type="pres">
      <dgm:prSet presAssocID="{3468B5D8-EFC9-4C22-87D5-448C35BBCDBA}" presName="parentText" presStyleLbl="alignNode1" presStyleIdx="7" presStyleCnt="10">
        <dgm:presLayoutVars>
          <dgm:chMax val="1"/>
          <dgm:bulletEnabled val="1"/>
        </dgm:presLayoutVars>
      </dgm:prSet>
      <dgm:spPr>
        <a:prstGeom prst="chevron">
          <a:avLst/>
        </a:prstGeom>
      </dgm:spPr>
      <dgm:t>
        <a:bodyPr/>
        <a:lstStyle/>
        <a:p>
          <a:endParaRPr lang="en-US"/>
        </a:p>
      </dgm:t>
    </dgm:pt>
    <dgm:pt modelId="{C31C21EC-6EFC-4D89-B593-F0AAB14133A9}" type="pres">
      <dgm:prSet presAssocID="{3468B5D8-EFC9-4C22-87D5-448C35BBCDBA}" presName="descendantText" presStyleLbl="alignAcc1" presStyleIdx="7" presStyleCnt="10">
        <dgm:presLayoutVars>
          <dgm:bulletEnabled val="1"/>
        </dgm:presLayoutVars>
      </dgm:prSet>
      <dgm:spPr>
        <a:prstGeom prst="round2SameRect">
          <a:avLst/>
        </a:prstGeom>
      </dgm:spPr>
      <dgm:t>
        <a:bodyPr/>
        <a:lstStyle/>
        <a:p>
          <a:endParaRPr lang="en-US"/>
        </a:p>
      </dgm:t>
    </dgm:pt>
    <dgm:pt modelId="{59C6EE80-65B8-4ACE-BF76-F3FD64A9E757}" type="pres">
      <dgm:prSet presAssocID="{04CD79CB-5AA2-4498-A3CE-49132027AEA2}" presName="sp" presStyleCnt="0"/>
      <dgm:spPr/>
    </dgm:pt>
    <dgm:pt modelId="{2CA04462-A034-4E29-84B9-3C94E6BF32C8}" type="pres">
      <dgm:prSet presAssocID="{2EC35853-C0CA-4A28-810C-B180EDED54EE}" presName="composite" presStyleCnt="0"/>
      <dgm:spPr/>
    </dgm:pt>
    <dgm:pt modelId="{E1766DA0-3461-43EC-8437-CA596EA16835}" type="pres">
      <dgm:prSet presAssocID="{2EC35853-C0CA-4A28-810C-B180EDED54EE}" presName="parentText" presStyleLbl="alignNode1" presStyleIdx="8" presStyleCnt="10">
        <dgm:presLayoutVars>
          <dgm:chMax val="1"/>
          <dgm:bulletEnabled val="1"/>
        </dgm:presLayoutVars>
      </dgm:prSet>
      <dgm:spPr>
        <a:prstGeom prst="chevron">
          <a:avLst/>
        </a:prstGeom>
      </dgm:spPr>
      <dgm:t>
        <a:bodyPr/>
        <a:lstStyle/>
        <a:p>
          <a:endParaRPr lang="en-US"/>
        </a:p>
      </dgm:t>
    </dgm:pt>
    <dgm:pt modelId="{9ECB7495-53DB-4D28-9FDB-FAEF725A39FA}" type="pres">
      <dgm:prSet presAssocID="{2EC35853-C0CA-4A28-810C-B180EDED54EE}" presName="descendantText" presStyleLbl="alignAcc1" presStyleIdx="8" presStyleCnt="10" custScaleY="128948">
        <dgm:presLayoutVars>
          <dgm:bulletEnabled val="1"/>
        </dgm:presLayoutVars>
      </dgm:prSet>
      <dgm:spPr>
        <a:prstGeom prst="round2SameRect">
          <a:avLst/>
        </a:prstGeom>
      </dgm:spPr>
      <dgm:t>
        <a:bodyPr/>
        <a:lstStyle/>
        <a:p>
          <a:endParaRPr lang="en-US"/>
        </a:p>
      </dgm:t>
    </dgm:pt>
    <dgm:pt modelId="{4849EFB8-FFAF-4E5B-9929-54956784B4CC}" type="pres">
      <dgm:prSet presAssocID="{9339FFAF-1E4C-496F-8173-0B78CDE343C8}" presName="sp" presStyleCnt="0"/>
      <dgm:spPr/>
    </dgm:pt>
    <dgm:pt modelId="{7A8AC1B1-8CE6-428B-ADD5-58CA601A20A5}" type="pres">
      <dgm:prSet presAssocID="{CF94DFE5-BF10-475A-A4FB-5FB70CA6CFF0}" presName="composite" presStyleCnt="0"/>
      <dgm:spPr/>
    </dgm:pt>
    <dgm:pt modelId="{1E20EF35-6EC9-472C-9A28-AFF812785E28}" type="pres">
      <dgm:prSet presAssocID="{CF94DFE5-BF10-475A-A4FB-5FB70CA6CFF0}" presName="parentText" presStyleLbl="alignNode1" presStyleIdx="9" presStyleCnt="10">
        <dgm:presLayoutVars>
          <dgm:chMax val="1"/>
          <dgm:bulletEnabled val="1"/>
        </dgm:presLayoutVars>
      </dgm:prSet>
      <dgm:spPr>
        <a:prstGeom prst="chevron">
          <a:avLst/>
        </a:prstGeom>
      </dgm:spPr>
      <dgm:t>
        <a:bodyPr/>
        <a:lstStyle/>
        <a:p>
          <a:endParaRPr lang="en-US"/>
        </a:p>
      </dgm:t>
    </dgm:pt>
    <dgm:pt modelId="{F7123954-AAF8-49F4-9246-98C7B66FB38D}" type="pres">
      <dgm:prSet presAssocID="{CF94DFE5-BF10-475A-A4FB-5FB70CA6CFF0}" presName="descendantText" presStyleLbl="alignAcc1" presStyleIdx="9" presStyleCnt="10">
        <dgm:presLayoutVars>
          <dgm:bulletEnabled val="1"/>
        </dgm:presLayoutVars>
      </dgm:prSet>
      <dgm:spPr>
        <a:prstGeom prst="round2SameRect">
          <a:avLst/>
        </a:prstGeom>
      </dgm:spPr>
      <dgm:t>
        <a:bodyPr/>
        <a:lstStyle/>
        <a:p>
          <a:endParaRPr lang="en-US"/>
        </a:p>
      </dgm:t>
    </dgm:pt>
  </dgm:ptLst>
  <dgm:cxnLst>
    <dgm:cxn modelId="{139D6874-16A3-48F1-A2D8-E3FD2C76AA76}" srcId="{42D7C9D7-C710-45BB-AD0B-507B514E3C5A}" destId="{254F7A91-9568-42B9-8033-8BA9313975F2}" srcOrd="0" destOrd="0" parTransId="{F8191A37-3EAC-4ED0-ABEF-A78FF7DCA8D9}" sibTransId="{C7C4989C-ED33-4526-83BE-B427EE736CD5}"/>
    <dgm:cxn modelId="{03EAB9A1-AA34-4872-A229-CFFAE7FE6ACC}" type="presOf" srcId="{839A6059-687D-4F67-B468-DC2E11B48366}" destId="{45A2B331-0834-48DC-A3C8-27391E7D68D3}" srcOrd="0" destOrd="0" presId="urn:microsoft.com/office/officeart/2005/8/layout/chevron2"/>
    <dgm:cxn modelId="{9DACC46B-77F5-4A46-AF2F-962AA8DEF3F8}" srcId="{2EC35853-C0CA-4A28-810C-B180EDED54EE}" destId="{EFFC615E-5E34-4808-A6B7-E48D6C60CD59}" srcOrd="0" destOrd="0" parTransId="{7F252A33-E2B5-4F80-89C0-48DEAE7011FD}" sibTransId="{4981E85D-EA8E-43E6-BD6D-A8EB9A64A9AD}"/>
    <dgm:cxn modelId="{187A7782-D323-4B77-92DE-307A9021781F}" type="presOf" srcId="{EFFC615E-5E34-4808-A6B7-E48D6C60CD59}" destId="{9ECB7495-53DB-4D28-9FDB-FAEF725A39FA}" srcOrd="0" destOrd="0" presId="urn:microsoft.com/office/officeart/2005/8/layout/chevron2"/>
    <dgm:cxn modelId="{1272CDC6-78EF-4677-B48A-E80A4ECA1473}" srcId="{8B5EA5A8-D6FB-4105-9D87-AAEE8D500C30}" destId="{4FB552D4-6276-414B-9516-87F9472F7120}" srcOrd="1" destOrd="0" parTransId="{2223019A-3A95-4439-9DA2-66C75ADD954B}" sibTransId="{8CD3100A-1748-4201-9712-E575C33699B5}"/>
    <dgm:cxn modelId="{35A25303-5D9E-4930-8D7D-B2573B0DF33D}" type="presOf" srcId="{2EC35853-C0CA-4A28-810C-B180EDED54EE}" destId="{E1766DA0-3461-43EC-8437-CA596EA16835}" srcOrd="0" destOrd="0" presId="urn:microsoft.com/office/officeart/2005/8/layout/chevron2"/>
    <dgm:cxn modelId="{11D526BA-29AC-4BA3-9B40-EDC2BD1C5AA7}" type="presOf" srcId="{CF94DFE5-BF10-475A-A4FB-5FB70CA6CFF0}" destId="{1E20EF35-6EC9-472C-9A28-AFF812785E28}" srcOrd="0" destOrd="0" presId="urn:microsoft.com/office/officeart/2005/8/layout/chevron2"/>
    <dgm:cxn modelId="{1D1E1F36-5209-4898-9F70-703FEA91F201}" srcId="{3468B5D8-EFC9-4C22-87D5-448C35BBCDBA}" destId="{184A758B-9093-4E34-821D-804E829F6CB4}" srcOrd="0" destOrd="0" parTransId="{E04C7533-4B9A-467D-B37C-C75088C314F1}" sibTransId="{4F2E1954-FAE5-43B4-A091-D6A1438BAACA}"/>
    <dgm:cxn modelId="{FAB622AA-E4DF-4E0C-9868-5BAF1F653AD6}" srcId="{8B5EA5A8-D6FB-4105-9D87-AAEE8D500C30}" destId="{CF94DFE5-BF10-475A-A4FB-5FB70CA6CFF0}" srcOrd="9" destOrd="0" parTransId="{04B8D432-7C21-483A-AD4A-7B7894EB87A5}" sibTransId="{0C1A1038-82FB-4003-9943-427DF9CC3D72}"/>
    <dgm:cxn modelId="{24C2BFE5-696A-41B0-A0BF-0DEACD868CB5}" type="presOf" srcId="{7431D684-CBB6-485C-B907-B95CB29D293A}" destId="{E5F28461-742E-420C-9F3D-DDD8609D5EAB}" srcOrd="0" destOrd="0" presId="urn:microsoft.com/office/officeart/2005/8/layout/chevron2"/>
    <dgm:cxn modelId="{447B9F72-4286-4E37-9141-06AD98AF268A}" type="presOf" srcId="{42D7C9D7-C710-45BB-AD0B-507B514E3C5A}" destId="{A7F45299-FF6A-41D0-9F3A-1CC8D9702F13}" srcOrd="0" destOrd="0" presId="urn:microsoft.com/office/officeart/2005/8/layout/chevron2"/>
    <dgm:cxn modelId="{397462D1-C3F3-4025-93A4-67ACC23AEF07}" type="presOf" srcId="{4FB552D4-6276-414B-9516-87F9472F7120}" destId="{18DCDACE-DD52-4567-B0DD-43DBD534AF78}" srcOrd="0" destOrd="0" presId="urn:microsoft.com/office/officeart/2005/8/layout/chevron2"/>
    <dgm:cxn modelId="{1A5E29BF-16B9-4CD9-ACE8-847E3E9909AA}" srcId="{8B5EA5A8-D6FB-4105-9D87-AAEE8D500C30}" destId="{68D6B90C-946E-4857-A6A5-9B1CEB891159}" srcOrd="0" destOrd="0" parTransId="{44EEFE74-8B8E-44CA-AAA4-35829FBFFC82}" sibTransId="{9FF6E52D-4827-40C4-9329-8437D5190102}"/>
    <dgm:cxn modelId="{083009E2-8364-44F8-92DE-36C0B7675435}" srcId="{4FB552D4-6276-414B-9516-87F9472F7120}" destId="{5C3F026B-2FD3-48BC-BA4F-3F59ABBE3E4B}" srcOrd="1" destOrd="0" parTransId="{2AAB1B2D-5922-4702-AFA8-272F4508438C}" sibTransId="{7482E093-2128-4973-BD39-6B5109F28381}"/>
    <dgm:cxn modelId="{82835E1C-3B9E-4E34-8E6C-07F61257D969}" type="presOf" srcId="{1E1C5A8A-4678-4DB9-8768-0F74E755C87E}" destId="{9ECB7495-53DB-4D28-9FDB-FAEF725A39FA}" srcOrd="0" destOrd="2" presId="urn:microsoft.com/office/officeart/2005/8/layout/chevron2"/>
    <dgm:cxn modelId="{B276FB18-AE2F-404B-A16C-392FA4D6D4F6}" type="presOf" srcId="{92799AA0-9F53-45C2-B3FA-7C491CFE844E}" destId="{9ECB7495-53DB-4D28-9FDB-FAEF725A39FA}" srcOrd="0" destOrd="1" presId="urn:microsoft.com/office/officeart/2005/8/layout/chevron2"/>
    <dgm:cxn modelId="{A53B062D-BE0A-4037-95B7-0A305B8F9B77}" type="presOf" srcId="{5DB0C3A3-9A6F-40F5-8134-CF7576056216}" destId="{C1A7E135-BEDB-484D-94CD-5FC2B5B70228}" srcOrd="0" destOrd="0" presId="urn:microsoft.com/office/officeart/2005/8/layout/chevron2"/>
    <dgm:cxn modelId="{EFA2199F-7217-4BDB-997C-D6D9101645AB}" type="presOf" srcId="{254F7A91-9568-42B9-8033-8BA9313975F2}" destId="{5309B224-757D-4D14-8447-47B2FCD5AFE6}" srcOrd="0" destOrd="0" presId="urn:microsoft.com/office/officeart/2005/8/layout/chevron2"/>
    <dgm:cxn modelId="{BDF799A4-04F0-42EF-BC84-18F32E6CEF38}" srcId="{4FB552D4-6276-414B-9516-87F9472F7120}" destId="{839A6059-687D-4F67-B468-DC2E11B48366}" srcOrd="0" destOrd="0" parTransId="{B4A47B2D-EA03-4636-ABD4-B549774F2925}" sibTransId="{A5748B55-CE1F-49F9-B016-D37B1C2424DE}"/>
    <dgm:cxn modelId="{1B5FBF79-DBDB-40BD-ACE8-D60781CD478F}" srcId="{8B5EA5A8-D6FB-4105-9D87-AAEE8D500C30}" destId="{7431D684-CBB6-485C-B907-B95CB29D293A}" srcOrd="6" destOrd="0" parTransId="{40174B89-4E19-4B1C-94B0-C07F13B30522}" sibTransId="{E04E0025-238F-44A8-A231-507405ADEDF6}"/>
    <dgm:cxn modelId="{A891FE7E-485A-42C7-8470-4DDB608E3376}" type="presOf" srcId="{6A09E515-87F6-4216-BF6C-0D6223B08A0C}" destId="{695F008F-8C5E-486D-A76E-EEA9B038369F}" srcOrd="0" destOrd="0" presId="urn:microsoft.com/office/officeart/2005/8/layout/chevron2"/>
    <dgm:cxn modelId="{00117083-69A2-467E-AAEA-21E324EB7331}" srcId="{5DB0C3A3-9A6F-40F5-8134-CF7576056216}" destId="{6A09E515-87F6-4216-BF6C-0D6223B08A0C}" srcOrd="0" destOrd="0" parTransId="{C04C4C9F-B3A8-49D7-974C-59DCC52DF2A4}" sibTransId="{F9B7B51B-59E7-47BA-BF0A-4045FD412F3F}"/>
    <dgm:cxn modelId="{2089C37D-FFB5-475B-AA04-1722556FF562}" type="presOf" srcId="{16B3D8A9-308B-4E1F-90EC-77D8CC3FBD89}" destId="{66AB07B0-16D3-4308-B042-B3CA8A1EA5A6}" srcOrd="0" destOrd="0" presId="urn:microsoft.com/office/officeart/2005/8/layout/chevron2"/>
    <dgm:cxn modelId="{4A3004E4-648D-44B9-B0F9-433C46A1A986}" type="presOf" srcId="{68D6B90C-946E-4857-A6A5-9B1CEB891159}" destId="{542881F1-1047-4642-B925-239E009C6994}" srcOrd="0" destOrd="0" presId="urn:microsoft.com/office/officeart/2005/8/layout/chevron2"/>
    <dgm:cxn modelId="{DAF6E8EC-39F5-4560-BA84-CB4101CAE0E8}" srcId="{2EC35853-C0CA-4A28-810C-B180EDED54EE}" destId="{0DCF7E6F-3953-409C-9E8B-1C58958F5D11}" srcOrd="3" destOrd="0" parTransId="{C3A74483-090C-463D-94B4-385A35AC0B19}" sibTransId="{A0890C68-EA86-4E0F-8480-8EF0859E5367}"/>
    <dgm:cxn modelId="{23A951E7-B47F-4009-9DC3-9620199128D1}" srcId="{68D6B90C-946E-4857-A6A5-9B1CEB891159}" destId="{16B3D8A9-308B-4E1F-90EC-77D8CC3FBD89}" srcOrd="0" destOrd="0" parTransId="{09EE1E93-7B1A-4297-8DAA-41E330C98DC0}" sibTransId="{669AA1AE-AEEF-4700-A029-57F258570CBB}"/>
    <dgm:cxn modelId="{2C3B70BB-8227-4A32-897D-50ECB873B64F}" type="presOf" srcId="{5C99FAFC-6E0F-46D2-ACED-9FD2B4433D5D}" destId="{157AC4AF-AD78-4970-846F-1DBFE94675E3}" srcOrd="0" destOrd="0" presId="urn:microsoft.com/office/officeart/2005/8/layout/chevron2"/>
    <dgm:cxn modelId="{3E96D8FD-82A7-4AFF-8EBD-A42D89107DCB}" type="presOf" srcId="{646BB9E1-168A-431E-B370-90EE3D820BA1}" destId="{07877F82-651B-49A7-81D6-48395523BC9B}" srcOrd="0" destOrd="0" presId="urn:microsoft.com/office/officeart/2005/8/layout/chevron2"/>
    <dgm:cxn modelId="{C892CDCE-5B79-4602-AE2B-ECB1E8A3CA61}" srcId="{2EC35853-C0CA-4A28-810C-B180EDED54EE}" destId="{1E1C5A8A-4678-4DB9-8768-0F74E755C87E}" srcOrd="2" destOrd="0" parTransId="{B9B5217C-378D-4FA8-B71B-36305C7C194C}" sibTransId="{4C764B84-8D0E-49FB-A3CC-0DCA86E649D6}"/>
    <dgm:cxn modelId="{7CA5D33F-1AB5-4776-97D1-175690AAB247}" type="presOf" srcId="{0DCF7E6F-3953-409C-9E8B-1C58958F5D11}" destId="{9ECB7495-53DB-4D28-9FDB-FAEF725A39FA}" srcOrd="0" destOrd="3" presId="urn:microsoft.com/office/officeart/2005/8/layout/chevron2"/>
    <dgm:cxn modelId="{D906C513-86A9-40FF-AAC3-75712B56F1A6}" srcId="{8B5EA5A8-D6FB-4105-9D87-AAEE8D500C30}" destId="{5C99FAFC-6E0F-46D2-ACED-9FD2B4433D5D}" srcOrd="3" destOrd="0" parTransId="{C8E6688B-2474-43C1-B422-778322C44732}" sibTransId="{CB850574-BFF5-47A3-B0E3-26C7F5B96CE9}"/>
    <dgm:cxn modelId="{8C2A8386-171B-431F-9966-2C9C2AAE8688}" srcId="{CF94DFE5-BF10-475A-A4FB-5FB70CA6CFF0}" destId="{BFF99E84-5136-4FA1-BEE8-4470CF9BCE7C}" srcOrd="0" destOrd="0" parTransId="{E923CDD4-A596-4399-901E-4C2ED82DACD3}" sibTransId="{698E088A-78E6-4749-9821-C90E4444BBCB}"/>
    <dgm:cxn modelId="{D56D786B-4968-4B10-ACE3-B580F9B53048}" type="presOf" srcId="{3468B5D8-EFC9-4C22-87D5-448C35BBCDBA}" destId="{A5510ACC-0688-47A0-9C42-FB35CDC9C74D}" srcOrd="0" destOrd="0" presId="urn:microsoft.com/office/officeart/2005/8/layout/chevron2"/>
    <dgm:cxn modelId="{B5FD4FF4-C396-420E-9300-447D546F7757}" type="presOf" srcId="{32FB528B-1717-43E2-978F-C364E8F3F6D0}" destId="{A19A7700-9648-43A5-83B4-1FF3F260AE5D}" srcOrd="0" destOrd="0" presId="urn:microsoft.com/office/officeart/2005/8/layout/chevron2"/>
    <dgm:cxn modelId="{9A61EDE9-E1B6-4314-805C-773287962426}" type="presOf" srcId="{8B5EA5A8-D6FB-4105-9D87-AAEE8D500C30}" destId="{75FC51A4-8589-4F0A-A8C3-A1791F80DFC2}" srcOrd="0" destOrd="0" presId="urn:microsoft.com/office/officeart/2005/8/layout/chevron2"/>
    <dgm:cxn modelId="{FD6EC41B-C493-45D5-B886-2CCE8395E007}" srcId="{8B5EA5A8-D6FB-4105-9D87-AAEE8D500C30}" destId="{3468B5D8-EFC9-4C22-87D5-448C35BBCDBA}" srcOrd="7" destOrd="0" parTransId="{10ADA551-58EA-40E9-90F6-CDE9DEFD0E0D}" sibTransId="{04CD79CB-5AA2-4498-A3CE-49132027AEA2}"/>
    <dgm:cxn modelId="{074F07B4-15B0-48E3-B4C0-2C4F0F92629D}" srcId="{8B5EA5A8-D6FB-4105-9D87-AAEE8D500C30}" destId="{5DB0C3A3-9A6F-40F5-8134-CF7576056216}" srcOrd="2" destOrd="0" parTransId="{2890D5E5-39D4-44DF-A5B7-CFD6A6397E3A}" sibTransId="{B58A60F1-D2DC-4988-82F6-176A5366CF34}"/>
    <dgm:cxn modelId="{9CC7E2E9-B03B-426E-8315-0E75B000582A}" srcId="{8B5EA5A8-D6FB-4105-9D87-AAEE8D500C30}" destId="{42D7C9D7-C710-45BB-AD0B-507B514E3C5A}" srcOrd="5" destOrd="0" parTransId="{1631F74C-1E73-466F-A1CA-70EB36B0979D}" sibTransId="{7C95A25D-5BE9-4F10-A1D1-03812BF79D05}"/>
    <dgm:cxn modelId="{D88CF40C-D5B3-4E51-9D7D-A915BED17C3D}" type="presOf" srcId="{184A758B-9093-4E34-821D-804E829F6CB4}" destId="{C31C21EC-6EFC-4D89-B593-F0AAB14133A9}" srcOrd="0" destOrd="0" presId="urn:microsoft.com/office/officeart/2005/8/layout/chevron2"/>
    <dgm:cxn modelId="{D78579F0-1074-4FDB-AEAA-F1ADBE6F39D0}" type="presOf" srcId="{5C3F026B-2FD3-48BC-BA4F-3F59ABBE3E4B}" destId="{45A2B331-0834-48DC-A3C8-27391E7D68D3}" srcOrd="0" destOrd="1" presId="urn:microsoft.com/office/officeart/2005/8/layout/chevron2"/>
    <dgm:cxn modelId="{82AEF758-6F99-4029-AB14-EA8C819D37ED}" srcId="{8B5EA5A8-D6FB-4105-9D87-AAEE8D500C30}" destId="{32FB528B-1717-43E2-978F-C364E8F3F6D0}" srcOrd="4" destOrd="0" parTransId="{4A88EF85-51A8-4500-8FEF-37427552B909}" sibTransId="{33768DF4-FB79-49C2-8E8E-E0BED65985FE}"/>
    <dgm:cxn modelId="{8D965EDA-13CC-4A78-82A0-F70EB38E028B}" srcId="{32FB528B-1717-43E2-978F-C364E8F3F6D0}" destId="{646BB9E1-168A-431E-B370-90EE3D820BA1}" srcOrd="0" destOrd="0" parTransId="{AF9893D9-21F1-44CB-8DA2-EFD024BA69EF}" sibTransId="{56CFCAC4-17CD-4150-88B1-A0D9A308B51E}"/>
    <dgm:cxn modelId="{2F9FB797-BF0A-4C96-BF5A-CD503BA49586}" srcId="{2EC35853-C0CA-4A28-810C-B180EDED54EE}" destId="{92799AA0-9F53-45C2-B3FA-7C491CFE844E}" srcOrd="1" destOrd="0" parTransId="{BE88D753-3C91-4DBA-BA3A-D9944187E970}" sibTransId="{552216FC-A24C-45BD-85AD-B77BC3C4F246}"/>
    <dgm:cxn modelId="{9EDD9859-A8EA-4BF7-B57C-E5F8E75BEDC5}" type="presOf" srcId="{BFF99E84-5136-4FA1-BEE8-4470CF9BCE7C}" destId="{F7123954-AAF8-49F4-9246-98C7B66FB38D}" srcOrd="0" destOrd="0" presId="urn:microsoft.com/office/officeart/2005/8/layout/chevron2"/>
    <dgm:cxn modelId="{242187DD-EF37-4714-BEDF-58131F9E1DD9}" srcId="{8B5EA5A8-D6FB-4105-9D87-AAEE8D500C30}" destId="{2EC35853-C0CA-4A28-810C-B180EDED54EE}" srcOrd="8" destOrd="0" parTransId="{CDFA58A7-E757-4A05-A649-886CBD1A714C}" sibTransId="{9339FFAF-1E4C-496F-8173-0B78CDE343C8}"/>
    <dgm:cxn modelId="{53A7666E-D938-43B5-AD41-097B9E26DA0D}" type="presParOf" srcId="{75FC51A4-8589-4F0A-A8C3-A1791F80DFC2}" destId="{FCA0A7E5-A28F-4C94-9F41-31D439F8FEAB}" srcOrd="0" destOrd="0" presId="urn:microsoft.com/office/officeart/2005/8/layout/chevron2"/>
    <dgm:cxn modelId="{86842A15-8576-4E6D-95C9-DDAE8DC3FD51}" type="presParOf" srcId="{FCA0A7E5-A28F-4C94-9F41-31D439F8FEAB}" destId="{542881F1-1047-4642-B925-239E009C6994}" srcOrd="0" destOrd="0" presId="urn:microsoft.com/office/officeart/2005/8/layout/chevron2"/>
    <dgm:cxn modelId="{3E9CD3DB-3BA8-4CE9-B1D5-362D7C64B545}" type="presParOf" srcId="{FCA0A7E5-A28F-4C94-9F41-31D439F8FEAB}" destId="{66AB07B0-16D3-4308-B042-B3CA8A1EA5A6}" srcOrd="1" destOrd="0" presId="urn:microsoft.com/office/officeart/2005/8/layout/chevron2"/>
    <dgm:cxn modelId="{9FE43513-374F-4561-9970-26C0A033DA31}" type="presParOf" srcId="{75FC51A4-8589-4F0A-A8C3-A1791F80DFC2}" destId="{C9849B97-AA7E-42C5-A8FB-2645E292C332}" srcOrd="1" destOrd="0" presId="urn:microsoft.com/office/officeart/2005/8/layout/chevron2"/>
    <dgm:cxn modelId="{E1856794-81C2-4375-B970-54BA1A823735}" type="presParOf" srcId="{75FC51A4-8589-4F0A-A8C3-A1791F80DFC2}" destId="{B4DDA53B-D423-465B-BB3D-A1FE8DAC5F52}" srcOrd="2" destOrd="0" presId="urn:microsoft.com/office/officeart/2005/8/layout/chevron2"/>
    <dgm:cxn modelId="{8F53253D-B732-4323-8169-2CB2A3B54FEA}" type="presParOf" srcId="{B4DDA53B-D423-465B-BB3D-A1FE8DAC5F52}" destId="{18DCDACE-DD52-4567-B0DD-43DBD534AF78}" srcOrd="0" destOrd="0" presId="urn:microsoft.com/office/officeart/2005/8/layout/chevron2"/>
    <dgm:cxn modelId="{2E068706-39B6-4317-9D45-744BA2412112}" type="presParOf" srcId="{B4DDA53B-D423-465B-BB3D-A1FE8DAC5F52}" destId="{45A2B331-0834-48DC-A3C8-27391E7D68D3}" srcOrd="1" destOrd="0" presId="urn:microsoft.com/office/officeart/2005/8/layout/chevron2"/>
    <dgm:cxn modelId="{E7BC5C32-3302-426B-AE05-9A8A02962AD9}" type="presParOf" srcId="{75FC51A4-8589-4F0A-A8C3-A1791F80DFC2}" destId="{32AA8EB6-60C9-439F-8002-23985E3E3F6B}" srcOrd="3" destOrd="0" presId="urn:microsoft.com/office/officeart/2005/8/layout/chevron2"/>
    <dgm:cxn modelId="{A3FA1175-A882-4F05-9238-05849BC6FBEE}" type="presParOf" srcId="{75FC51A4-8589-4F0A-A8C3-A1791F80DFC2}" destId="{D7CB04CC-A7D1-4B7D-A0FD-40213AD8CD4E}" srcOrd="4" destOrd="0" presId="urn:microsoft.com/office/officeart/2005/8/layout/chevron2"/>
    <dgm:cxn modelId="{ECA551F1-D249-43B1-935E-A094B0317DA0}" type="presParOf" srcId="{D7CB04CC-A7D1-4B7D-A0FD-40213AD8CD4E}" destId="{C1A7E135-BEDB-484D-94CD-5FC2B5B70228}" srcOrd="0" destOrd="0" presId="urn:microsoft.com/office/officeart/2005/8/layout/chevron2"/>
    <dgm:cxn modelId="{59BF9717-A604-455A-9E4A-17BA5AE0446A}" type="presParOf" srcId="{D7CB04CC-A7D1-4B7D-A0FD-40213AD8CD4E}" destId="{695F008F-8C5E-486D-A76E-EEA9B038369F}" srcOrd="1" destOrd="0" presId="urn:microsoft.com/office/officeart/2005/8/layout/chevron2"/>
    <dgm:cxn modelId="{1BC36C85-F430-4BA6-AA39-6872FFE1BFA1}" type="presParOf" srcId="{75FC51A4-8589-4F0A-A8C3-A1791F80DFC2}" destId="{0CC776F9-CF04-4E41-BE9C-DADB6C045E6C}" srcOrd="5" destOrd="0" presId="urn:microsoft.com/office/officeart/2005/8/layout/chevron2"/>
    <dgm:cxn modelId="{93D4F39A-9ADD-48CC-98D6-998B8BBB9E0F}" type="presParOf" srcId="{75FC51A4-8589-4F0A-A8C3-A1791F80DFC2}" destId="{0ECD7E59-68FA-49FE-A45E-5CD7D7FF7978}" srcOrd="6" destOrd="0" presId="urn:microsoft.com/office/officeart/2005/8/layout/chevron2"/>
    <dgm:cxn modelId="{31A49075-F0C2-447C-9B5F-2A1A7AE0BCB2}" type="presParOf" srcId="{0ECD7E59-68FA-49FE-A45E-5CD7D7FF7978}" destId="{157AC4AF-AD78-4970-846F-1DBFE94675E3}" srcOrd="0" destOrd="0" presId="urn:microsoft.com/office/officeart/2005/8/layout/chevron2"/>
    <dgm:cxn modelId="{71E5EB94-A55B-4409-AE0E-0AB1B46B924C}" type="presParOf" srcId="{0ECD7E59-68FA-49FE-A45E-5CD7D7FF7978}" destId="{7A6D353E-29CE-4F5B-9553-BB18F9DA525E}" srcOrd="1" destOrd="0" presId="urn:microsoft.com/office/officeart/2005/8/layout/chevron2"/>
    <dgm:cxn modelId="{CFC69E87-2816-461E-979C-42E1A417D8F8}" type="presParOf" srcId="{75FC51A4-8589-4F0A-A8C3-A1791F80DFC2}" destId="{F6088EFE-763D-4B07-9453-3D2893AF1EBD}" srcOrd="7" destOrd="0" presId="urn:microsoft.com/office/officeart/2005/8/layout/chevron2"/>
    <dgm:cxn modelId="{19D7B6D4-A5E8-4EF1-9EE5-EF9B17D0609D}" type="presParOf" srcId="{75FC51A4-8589-4F0A-A8C3-A1791F80DFC2}" destId="{725C3426-F309-4A51-8E26-17614D9ED82D}" srcOrd="8" destOrd="0" presId="urn:microsoft.com/office/officeart/2005/8/layout/chevron2"/>
    <dgm:cxn modelId="{934F67FA-9018-4CC3-AA2F-C70BBA6A53C1}" type="presParOf" srcId="{725C3426-F309-4A51-8E26-17614D9ED82D}" destId="{A19A7700-9648-43A5-83B4-1FF3F260AE5D}" srcOrd="0" destOrd="0" presId="urn:microsoft.com/office/officeart/2005/8/layout/chevron2"/>
    <dgm:cxn modelId="{B9B33E5A-C9E1-4B26-B3D8-571C7F02A629}" type="presParOf" srcId="{725C3426-F309-4A51-8E26-17614D9ED82D}" destId="{07877F82-651B-49A7-81D6-48395523BC9B}" srcOrd="1" destOrd="0" presId="urn:microsoft.com/office/officeart/2005/8/layout/chevron2"/>
    <dgm:cxn modelId="{E5741F6E-099C-4750-AFED-BDC7CA2529AD}" type="presParOf" srcId="{75FC51A4-8589-4F0A-A8C3-A1791F80DFC2}" destId="{1C57ECA1-B3D3-4869-813F-292AC73812DA}" srcOrd="9" destOrd="0" presId="urn:microsoft.com/office/officeart/2005/8/layout/chevron2"/>
    <dgm:cxn modelId="{25D88A6A-855C-433F-830D-6BB0344FDC8A}" type="presParOf" srcId="{75FC51A4-8589-4F0A-A8C3-A1791F80DFC2}" destId="{4A3E38E1-4F84-441F-87A7-CF8EF8CDE41B}" srcOrd="10" destOrd="0" presId="urn:microsoft.com/office/officeart/2005/8/layout/chevron2"/>
    <dgm:cxn modelId="{8F7016FB-7E93-43D2-B8C3-F29117A43EE4}" type="presParOf" srcId="{4A3E38E1-4F84-441F-87A7-CF8EF8CDE41B}" destId="{A7F45299-FF6A-41D0-9F3A-1CC8D9702F13}" srcOrd="0" destOrd="0" presId="urn:microsoft.com/office/officeart/2005/8/layout/chevron2"/>
    <dgm:cxn modelId="{356DDEF4-E32A-4317-A7E7-AE114A057DD2}" type="presParOf" srcId="{4A3E38E1-4F84-441F-87A7-CF8EF8CDE41B}" destId="{5309B224-757D-4D14-8447-47B2FCD5AFE6}" srcOrd="1" destOrd="0" presId="urn:microsoft.com/office/officeart/2005/8/layout/chevron2"/>
    <dgm:cxn modelId="{436D5C84-3582-4090-B580-53067D8061C1}" type="presParOf" srcId="{75FC51A4-8589-4F0A-A8C3-A1791F80DFC2}" destId="{FD6775EC-8704-4A4D-BCBD-C6841CE5DAB3}" srcOrd="11" destOrd="0" presId="urn:microsoft.com/office/officeart/2005/8/layout/chevron2"/>
    <dgm:cxn modelId="{C87D3E21-36FC-405A-88AB-04576AB7AB0A}" type="presParOf" srcId="{75FC51A4-8589-4F0A-A8C3-A1791F80DFC2}" destId="{0A316454-E45B-415F-B3C1-5CAEAA48706C}" srcOrd="12" destOrd="0" presId="urn:microsoft.com/office/officeart/2005/8/layout/chevron2"/>
    <dgm:cxn modelId="{C712832D-1D1E-4386-9DAE-82AD871C3B3F}" type="presParOf" srcId="{0A316454-E45B-415F-B3C1-5CAEAA48706C}" destId="{E5F28461-742E-420C-9F3D-DDD8609D5EAB}" srcOrd="0" destOrd="0" presId="urn:microsoft.com/office/officeart/2005/8/layout/chevron2"/>
    <dgm:cxn modelId="{FEB81D0D-8D34-4B43-9591-D1C1D4D33CC5}" type="presParOf" srcId="{0A316454-E45B-415F-B3C1-5CAEAA48706C}" destId="{86DE382B-3CDC-4977-ADF6-16D0A2DA7B3A}" srcOrd="1" destOrd="0" presId="urn:microsoft.com/office/officeart/2005/8/layout/chevron2"/>
    <dgm:cxn modelId="{D27EF0D3-3233-43AA-887D-A0DC87D42191}" type="presParOf" srcId="{75FC51A4-8589-4F0A-A8C3-A1791F80DFC2}" destId="{826E4E04-8D04-4E15-BB74-B6D133313479}" srcOrd="13" destOrd="0" presId="urn:microsoft.com/office/officeart/2005/8/layout/chevron2"/>
    <dgm:cxn modelId="{96AF5AB4-10F0-4A97-9F39-D8CA558C3A7F}" type="presParOf" srcId="{75FC51A4-8589-4F0A-A8C3-A1791F80DFC2}" destId="{85D37AD8-F44D-49CA-A8AA-AA22FB74B8D3}" srcOrd="14" destOrd="0" presId="urn:microsoft.com/office/officeart/2005/8/layout/chevron2"/>
    <dgm:cxn modelId="{C8F33478-651B-4545-9FAA-C6D439C62893}" type="presParOf" srcId="{85D37AD8-F44D-49CA-A8AA-AA22FB74B8D3}" destId="{A5510ACC-0688-47A0-9C42-FB35CDC9C74D}" srcOrd="0" destOrd="0" presId="urn:microsoft.com/office/officeart/2005/8/layout/chevron2"/>
    <dgm:cxn modelId="{C9606E51-7D1C-412A-9972-EB7632F9C483}" type="presParOf" srcId="{85D37AD8-F44D-49CA-A8AA-AA22FB74B8D3}" destId="{C31C21EC-6EFC-4D89-B593-F0AAB14133A9}" srcOrd="1" destOrd="0" presId="urn:microsoft.com/office/officeart/2005/8/layout/chevron2"/>
    <dgm:cxn modelId="{2B6C5116-0456-488D-9A74-03FFCDD906F3}" type="presParOf" srcId="{75FC51A4-8589-4F0A-A8C3-A1791F80DFC2}" destId="{59C6EE80-65B8-4ACE-BF76-F3FD64A9E757}" srcOrd="15" destOrd="0" presId="urn:microsoft.com/office/officeart/2005/8/layout/chevron2"/>
    <dgm:cxn modelId="{205DBB07-913F-492E-9D68-F44D719FE7B0}" type="presParOf" srcId="{75FC51A4-8589-4F0A-A8C3-A1791F80DFC2}" destId="{2CA04462-A034-4E29-84B9-3C94E6BF32C8}" srcOrd="16" destOrd="0" presId="urn:microsoft.com/office/officeart/2005/8/layout/chevron2"/>
    <dgm:cxn modelId="{DB7E6AB6-01C5-48B8-B66C-4B77D1C5E4A8}" type="presParOf" srcId="{2CA04462-A034-4E29-84B9-3C94E6BF32C8}" destId="{E1766DA0-3461-43EC-8437-CA596EA16835}" srcOrd="0" destOrd="0" presId="urn:microsoft.com/office/officeart/2005/8/layout/chevron2"/>
    <dgm:cxn modelId="{1DEE80CD-F9DE-49A2-A869-A300B4768687}" type="presParOf" srcId="{2CA04462-A034-4E29-84B9-3C94E6BF32C8}" destId="{9ECB7495-53DB-4D28-9FDB-FAEF725A39FA}" srcOrd="1" destOrd="0" presId="urn:microsoft.com/office/officeart/2005/8/layout/chevron2"/>
    <dgm:cxn modelId="{94261E4D-B286-4A8D-AE91-EC7502012000}" type="presParOf" srcId="{75FC51A4-8589-4F0A-A8C3-A1791F80DFC2}" destId="{4849EFB8-FFAF-4E5B-9929-54956784B4CC}" srcOrd="17" destOrd="0" presId="urn:microsoft.com/office/officeart/2005/8/layout/chevron2"/>
    <dgm:cxn modelId="{84380AC2-4BC0-4262-87CD-7586A6599CE6}" type="presParOf" srcId="{75FC51A4-8589-4F0A-A8C3-A1791F80DFC2}" destId="{7A8AC1B1-8CE6-428B-ADD5-58CA601A20A5}" srcOrd="18" destOrd="0" presId="urn:microsoft.com/office/officeart/2005/8/layout/chevron2"/>
    <dgm:cxn modelId="{50DAB939-3872-44A3-A859-0E788AD2A697}" type="presParOf" srcId="{7A8AC1B1-8CE6-428B-ADD5-58CA601A20A5}" destId="{1E20EF35-6EC9-472C-9A28-AFF812785E28}" srcOrd="0" destOrd="0" presId="urn:microsoft.com/office/officeart/2005/8/layout/chevron2"/>
    <dgm:cxn modelId="{5CC8D7E7-6E87-4DDF-948F-094DD467E0D3}" type="presParOf" srcId="{7A8AC1B1-8CE6-428B-ADD5-58CA601A20A5}" destId="{F7123954-AAF8-49F4-9246-98C7B66FB38D}"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881F1-1047-4642-B925-239E009C6994}">
      <dsp:nvSpPr>
        <dsp:cNvPr id="0" name=""/>
        <dsp:cNvSpPr/>
      </dsp:nvSpPr>
      <dsp:spPr>
        <a:xfrm rot="5400000">
          <a:off x="-108232" y="122705"/>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2007</a:t>
          </a:r>
        </a:p>
      </dsp:txBody>
      <dsp:txXfrm rot="-5400000">
        <a:off x="1" y="267017"/>
        <a:ext cx="505087" cy="216465"/>
      </dsp:txXfrm>
    </dsp:sp>
    <dsp:sp modelId="{66AB07B0-16D3-4308-B042-B3CA8A1EA5A6}">
      <dsp:nvSpPr>
        <dsp:cNvPr id="0" name=""/>
        <dsp:cNvSpPr/>
      </dsp:nvSpPr>
      <dsp:spPr>
        <a:xfrm rot="5400000">
          <a:off x="2985076" y="-2465516"/>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November  -- Final Rule set national standard of 80% AFUE</a:t>
          </a:r>
        </a:p>
      </dsp:txBody>
      <dsp:txXfrm rot="-5400000">
        <a:off x="505088" y="37367"/>
        <a:ext cx="5406092" cy="423219"/>
      </dsp:txXfrm>
    </dsp:sp>
    <dsp:sp modelId="{18DCDACE-DD52-4567-B0DD-43DBD534AF78}">
      <dsp:nvSpPr>
        <dsp:cNvPr id="0" name=""/>
        <dsp:cNvSpPr/>
      </dsp:nvSpPr>
      <dsp:spPr>
        <a:xfrm rot="5400000">
          <a:off x="-108232" y="787424"/>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2008</a:t>
          </a:r>
        </a:p>
      </dsp:txBody>
      <dsp:txXfrm rot="-5400000">
        <a:off x="1" y="931736"/>
        <a:ext cx="505087" cy="216465"/>
      </dsp:txXfrm>
    </dsp:sp>
    <dsp:sp modelId="{45A2B331-0834-48DC-A3C8-27391E7D68D3}">
      <dsp:nvSpPr>
        <dsp:cNvPr id="0" name=""/>
        <dsp:cNvSpPr/>
      </dsp:nvSpPr>
      <dsp:spPr>
        <a:xfrm rot="5400000">
          <a:off x="2985076" y="-1800798"/>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Calibri"/>
              <a:ea typeface="+mn-ea"/>
              <a:cs typeface="+mn-cs"/>
            </a:rPr>
            <a:t>January</a:t>
          </a:r>
          <a:r>
            <a:rPr lang="en-US" sz="900" b="1" kern="1200">
              <a:solidFill>
                <a:sysClr val="windowText" lastClr="000000">
                  <a:hueOff val="0"/>
                  <a:satOff val="0"/>
                  <a:lumOff val="0"/>
                  <a:alphaOff val="0"/>
                </a:sysClr>
              </a:solidFill>
              <a:latin typeface="Calibri"/>
              <a:ea typeface="+mn-ea"/>
              <a:cs typeface="+mn-cs"/>
            </a:rPr>
            <a:t>  -- </a:t>
          </a:r>
          <a:r>
            <a:rPr lang="en-US" sz="900" kern="1200">
              <a:solidFill>
                <a:sysClr val="windowText" lastClr="000000">
                  <a:hueOff val="0"/>
                  <a:satOff val="0"/>
                  <a:lumOff val="0"/>
                  <a:alphaOff val="0"/>
                </a:sysClr>
              </a:solidFill>
              <a:latin typeface="Calibri"/>
              <a:ea typeface="+mn-ea"/>
              <a:cs typeface="+mn-cs"/>
            </a:rPr>
            <a:t>DOE suited on grounds that standards could be more stringet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April -- 	Court vacates rulemaking and DOE agrees to revisit its findings in future rulemakings.</a:t>
          </a:r>
        </a:p>
      </dsp:txBody>
      <dsp:txXfrm rot="-5400000">
        <a:off x="505088" y="702085"/>
        <a:ext cx="5406092" cy="423219"/>
      </dsp:txXfrm>
    </dsp:sp>
    <dsp:sp modelId="{C1A7E135-BEDB-484D-94CD-5FC2B5B70228}">
      <dsp:nvSpPr>
        <dsp:cNvPr id="0" name=""/>
        <dsp:cNvSpPr/>
      </dsp:nvSpPr>
      <dsp:spPr>
        <a:xfrm rot="5400000">
          <a:off x="-108232" y="1452142"/>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2009</a:t>
          </a:r>
        </a:p>
      </dsp:txBody>
      <dsp:txXfrm rot="-5400000">
        <a:off x="1" y="1596454"/>
        <a:ext cx="505087" cy="216465"/>
      </dsp:txXfrm>
    </dsp:sp>
    <dsp:sp modelId="{695F008F-8C5E-486D-A76E-EEA9B038369F}">
      <dsp:nvSpPr>
        <dsp:cNvPr id="0" name=""/>
        <dsp:cNvSpPr/>
      </dsp:nvSpPr>
      <dsp:spPr>
        <a:xfrm rot="5400000">
          <a:off x="2985076" y="-1136079"/>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October -- "Consensus Agreement" from joint petitioners (including CEC) proposes regional standard of 90% AFUE  in northern states and 80% AFUE in southern states.</a:t>
          </a:r>
        </a:p>
      </dsp:txBody>
      <dsp:txXfrm rot="-5400000">
        <a:off x="505088" y="1366804"/>
        <a:ext cx="5406092" cy="423219"/>
      </dsp:txXfrm>
    </dsp:sp>
    <dsp:sp modelId="{157AC4AF-AD78-4970-846F-1DBFE94675E3}">
      <dsp:nvSpPr>
        <dsp:cNvPr id="0" name=""/>
        <dsp:cNvSpPr/>
      </dsp:nvSpPr>
      <dsp:spPr>
        <a:xfrm rot="5400000">
          <a:off x="-108232" y="2116861"/>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2010</a:t>
          </a:r>
        </a:p>
      </dsp:txBody>
      <dsp:txXfrm rot="-5400000">
        <a:off x="1" y="2261173"/>
        <a:ext cx="505087" cy="216465"/>
      </dsp:txXfrm>
    </dsp:sp>
    <dsp:sp modelId="{7A6D353E-29CE-4F5B-9553-BB18F9DA525E}">
      <dsp:nvSpPr>
        <dsp:cNvPr id="0" name=""/>
        <dsp:cNvSpPr/>
      </dsp:nvSpPr>
      <dsp:spPr>
        <a:xfrm rot="5400000">
          <a:off x="2985076" y="-471360"/>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19A7700-9648-43A5-83B4-1FF3F260AE5D}">
      <dsp:nvSpPr>
        <dsp:cNvPr id="0" name=""/>
        <dsp:cNvSpPr/>
      </dsp:nvSpPr>
      <dsp:spPr>
        <a:xfrm rot="5400000">
          <a:off x="-108232" y="2781579"/>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2011</a:t>
          </a:r>
        </a:p>
      </dsp:txBody>
      <dsp:txXfrm rot="-5400000">
        <a:off x="1" y="2925891"/>
        <a:ext cx="505087" cy="216465"/>
      </dsp:txXfrm>
    </dsp:sp>
    <dsp:sp modelId="{07877F82-651B-49A7-81D6-48395523BC9B}">
      <dsp:nvSpPr>
        <dsp:cNvPr id="0" name=""/>
        <dsp:cNvSpPr/>
      </dsp:nvSpPr>
      <dsp:spPr>
        <a:xfrm rot="5400000">
          <a:off x="2985076" y="193357"/>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June  -- Final Rule  sets regional standards of 90% AFUE and in northern states and 80% AFUE in southern states.</a:t>
          </a:r>
        </a:p>
      </dsp:txBody>
      <dsp:txXfrm rot="-5400000">
        <a:off x="505088" y="2696241"/>
        <a:ext cx="5406092" cy="423219"/>
      </dsp:txXfrm>
    </dsp:sp>
    <dsp:sp modelId="{A7F45299-FF6A-41D0-9F3A-1CC8D9702F13}">
      <dsp:nvSpPr>
        <dsp:cNvPr id="0" name=""/>
        <dsp:cNvSpPr/>
      </dsp:nvSpPr>
      <dsp:spPr>
        <a:xfrm rot="5400000">
          <a:off x="-108232" y="3446298"/>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2012</a:t>
          </a:r>
        </a:p>
      </dsp:txBody>
      <dsp:txXfrm rot="-5400000">
        <a:off x="1" y="3590610"/>
        <a:ext cx="505087" cy="216465"/>
      </dsp:txXfrm>
    </dsp:sp>
    <dsp:sp modelId="{5309B224-757D-4D14-8447-47B2FCD5AFE6}">
      <dsp:nvSpPr>
        <dsp:cNvPr id="0" name=""/>
        <dsp:cNvSpPr/>
      </dsp:nvSpPr>
      <dsp:spPr>
        <a:xfrm rot="5400000">
          <a:off x="2985076" y="858076"/>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January  -- APGA files suite on procedural grounds that DOE did not adequately consider the concerns of all stakeholders.</a:t>
          </a:r>
        </a:p>
      </dsp:txBody>
      <dsp:txXfrm rot="-5400000">
        <a:off x="505088" y="3360960"/>
        <a:ext cx="5406092" cy="423219"/>
      </dsp:txXfrm>
    </dsp:sp>
    <dsp:sp modelId="{E5F28461-742E-420C-9F3D-DDD8609D5EAB}">
      <dsp:nvSpPr>
        <dsp:cNvPr id="0" name=""/>
        <dsp:cNvSpPr/>
      </dsp:nvSpPr>
      <dsp:spPr>
        <a:xfrm rot="5400000">
          <a:off x="-108232" y="4111017"/>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2013</a:t>
          </a:r>
        </a:p>
      </dsp:txBody>
      <dsp:txXfrm rot="-5400000">
        <a:off x="1" y="4255329"/>
        <a:ext cx="505087" cy="216465"/>
      </dsp:txXfrm>
    </dsp:sp>
    <dsp:sp modelId="{86DE382B-3CDC-4977-ADF6-16D0A2DA7B3A}">
      <dsp:nvSpPr>
        <dsp:cNvPr id="0" name=""/>
        <dsp:cNvSpPr/>
      </dsp:nvSpPr>
      <dsp:spPr>
        <a:xfrm rot="5400000">
          <a:off x="2985076" y="1522794"/>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A5510ACC-0688-47A0-9C42-FB35CDC9C74D}">
      <dsp:nvSpPr>
        <dsp:cNvPr id="0" name=""/>
        <dsp:cNvSpPr/>
      </dsp:nvSpPr>
      <dsp:spPr>
        <a:xfrm rot="5400000">
          <a:off x="-108232" y="4775735"/>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2014</a:t>
          </a:r>
        </a:p>
      </dsp:txBody>
      <dsp:txXfrm rot="-5400000">
        <a:off x="1" y="4920047"/>
        <a:ext cx="505087" cy="216465"/>
      </dsp:txXfrm>
    </dsp:sp>
    <dsp:sp modelId="{C31C21EC-6EFC-4D89-B593-F0AAB14133A9}">
      <dsp:nvSpPr>
        <dsp:cNvPr id="0" name=""/>
        <dsp:cNvSpPr/>
      </dsp:nvSpPr>
      <dsp:spPr>
        <a:xfrm rot="5400000">
          <a:off x="2985076" y="2187513"/>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April  -- Court vacates 2011 Final Rule and DOE agrees to revisit its findings in future rulemakings. </a:t>
          </a:r>
        </a:p>
      </dsp:txBody>
      <dsp:txXfrm rot="-5400000">
        <a:off x="505088" y="4690397"/>
        <a:ext cx="5406092" cy="423219"/>
      </dsp:txXfrm>
    </dsp:sp>
    <dsp:sp modelId="{E1766DA0-3461-43EC-8437-CA596EA16835}">
      <dsp:nvSpPr>
        <dsp:cNvPr id="0" name=""/>
        <dsp:cNvSpPr/>
      </dsp:nvSpPr>
      <dsp:spPr>
        <a:xfrm rot="5400000">
          <a:off x="-108232" y="5508338"/>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2015</a:t>
          </a:r>
        </a:p>
      </dsp:txBody>
      <dsp:txXfrm rot="-5400000">
        <a:off x="1" y="5652650"/>
        <a:ext cx="505087" cy="216465"/>
      </dsp:txXfrm>
    </dsp:sp>
    <dsp:sp modelId="{9ECB7495-53DB-4D28-9FDB-FAEF725A39FA}">
      <dsp:nvSpPr>
        <dsp:cNvPr id="0" name=""/>
        <dsp:cNvSpPr/>
      </dsp:nvSpPr>
      <dsp:spPr>
        <a:xfrm rot="5400000">
          <a:off x="2917191" y="2920116"/>
          <a:ext cx="604778"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March 11 -- DOE Publishes NOPR for national standard of 92% national standard.</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March27 -- Public meeting and comment on the NOPR</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April 13 -- Public Meeting and comment on the NOPR</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June 10 -- Deadline for submitting comments to DOE</a:t>
          </a:r>
        </a:p>
      </dsp:txBody>
      <dsp:txXfrm rot="-5400000">
        <a:off x="505087" y="5361744"/>
        <a:ext cx="5399464" cy="545732"/>
      </dsp:txXfrm>
    </dsp:sp>
    <dsp:sp modelId="{1E20EF35-6EC9-472C-9A28-AFF812785E28}">
      <dsp:nvSpPr>
        <dsp:cNvPr id="0" name=""/>
        <dsp:cNvSpPr/>
      </dsp:nvSpPr>
      <dsp:spPr>
        <a:xfrm rot="5400000">
          <a:off x="-108232" y="6173057"/>
          <a:ext cx="721552" cy="505087"/>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2016</a:t>
          </a:r>
        </a:p>
      </dsp:txBody>
      <dsp:txXfrm rot="-5400000">
        <a:off x="1" y="6317369"/>
        <a:ext cx="505087" cy="216465"/>
      </dsp:txXfrm>
    </dsp:sp>
    <dsp:sp modelId="{F7123954-AAF8-49F4-9246-98C7B66FB38D}">
      <dsp:nvSpPr>
        <dsp:cNvPr id="0" name=""/>
        <dsp:cNvSpPr/>
      </dsp:nvSpPr>
      <dsp:spPr>
        <a:xfrm rot="5400000">
          <a:off x="2985076" y="3584835"/>
          <a:ext cx="469009" cy="54289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Expected publication of Final Rule.  Effective compliance date  is five years from publication.</a:t>
          </a:r>
        </a:p>
      </dsp:txBody>
      <dsp:txXfrm rot="-5400000">
        <a:off x="505088" y="6087719"/>
        <a:ext cx="5406092" cy="4232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4419A-2E8D-4BAE-A413-673CB331929E}"/>
</file>

<file path=customXml/itemProps2.xml><?xml version="1.0" encoding="utf-8"?>
<ds:datastoreItem xmlns:ds="http://schemas.openxmlformats.org/officeDocument/2006/customXml" ds:itemID="{D865FE44-5B40-469A-9DBC-B04C8775807D}"/>
</file>

<file path=customXml/itemProps3.xml><?xml version="1.0" encoding="utf-8"?>
<ds:datastoreItem xmlns:ds="http://schemas.openxmlformats.org/officeDocument/2006/customXml" ds:itemID="{9449A874-107C-48B2-89A6-7EBC5F2EC2EA}"/>
</file>

<file path=customXml/itemProps4.xml><?xml version="1.0" encoding="utf-8"?>
<ds:datastoreItem xmlns:ds="http://schemas.openxmlformats.org/officeDocument/2006/customXml" ds:itemID="{A6808F7E-E497-4882-BE45-2F6186B028DA}"/>
</file>

<file path=docProps/app.xml><?xml version="1.0" encoding="utf-8"?>
<Properties xmlns="http://schemas.openxmlformats.org/officeDocument/2006/extended-properties" xmlns:vt="http://schemas.openxmlformats.org/officeDocument/2006/docPropsVTypes">
  <Template>Normal.dotm</Template>
  <TotalTime>667</TotalTime>
  <Pages>27</Pages>
  <Words>8875</Words>
  <Characters>50594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dc:creator>
  <cp:lastModifiedBy>skristja</cp:lastModifiedBy>
  <cp:revision>3</cp:revision>
  <cp:lastPrinted>2015-04-02T14:14:00Z</cp:lastPrinted>
  <dcterms:created xsi:type="dcterms:W3CDTF">2015-04-07T03:28:00Z</dcterms:created>
  <dcterms:modified xsi:type="dcterms:W3CDTF">2015-04-07T14:35:00Z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