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882" w:type="dxa"/>
        <w:tblLayout w:type="fixed"/>
        <w:tblLook w:val="0000" w:firstRow="0" w:lastRow="0" w:firstColumn="0" w:lastColumn="0" w:noHBand="0" w:noVBand="0"/>
      </w:tblPr>
      <w:tblGrid>
        <w:gridCol w:w="7830"/>
        <w:gridCol w:w="2520"/>
      </w:tblGrid>
      <w:tr w:rsidR="00F52768">
        <w:trPr>
          <w:trHeight w:hRule="exact" w:val="2961"/>
        </w:trPr>
        <w:tc>
          <w:tcPr>
            <w:tcW w:w="7830" w:type="dxa"/>
          </w:tcPr>
          <w:p w:rsidR="00F52768" w:rsidRDefault="00F52768">
            <w:pPr>
              <w:spacing w:before="240" w:after="300" w:line="240" w:lineRule="auto"/>
              <w:ind w:left="162"/>
              <w:rPr>
                <w:i/>
              </w:rPr>
            </w:pPr>
            <w:bookmarkStart w:id="0" w:name="OLE_LINK1"/>
            <w:r>
              <w:t xml:space="preserve">         </w:t>
            </w:r>
            <w:r w:rsidR="00C95049">
              <w:rPr>
                <w:noProof/>
              </w:rPr>
              <w:drawing>
                <wp:inline distT="0" distB="0" distL="0" distR="0">
                  <wp:extent cx="1889760" cy="1219200"/>
                  <wp:effectExtent l="19050" t="0" r="0" b="0"/>
                  <wp:docPr id="1" name="Picture 1" descr="gclmc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mc2p"/>
                          <pic:cNvPicPr>
                            <a:picLocks noChangeAspect="1" noChangeArrowheads="1"/>
                          </pic:cNvPicPr>
                        </pic:nvPicPr>
                        <pic:blipFill>
                          <a:blip r:embed="rId9" cstate="print"/>
                          <a:srcRect/>
                          <a:stretch>
                            <a:fillRect/>
                          </a:stretch>
                        </pic:blipFill>
                        <pic:spPr bwMode="auto">
                          <a:xfrm>
                            <a:off x="0" y="0"/>
                            <a:ext cx="1889760" cy="1219200"/>
                          </a:xfrm>
                          <a:prstGeom prst="rect">
                            <a:avLst/>
                          </a:prstGeom>
                          <a:noFill/>
                          <a:ln w="9525">
                            <a:noFill/>
                            <a:miter lim="800000"/>
                            <a:headEnd/>
                            <a:tailEnd/>
                          </a:ln>
                        </pic:spPr>
                      </pic:pic>
                    </a:graphicData>
                  </a:graphic>
                </wp:inline>
              </w:drawing>
            </w:r>
            <w:r>
              <w:t xml:space="preserve">  </w:t>
            </w:r>
            <w:r>
              <w:tab/>
            </w:r>
            <w:bookmarkEnd w:id="0"/>
          </w:p>
        </w:tc>
        <w:tc>
          <w:tcPr>
            <w:tcW w:w="2520" w:type="dxa"/>
          </w:tcPr>
          <w:p w:rsidR="00F52768" w:rsidRDefault="00F52768">
            <w:pPr>
              <w:tabs>
                <w:tab w:val="left" w:pos="2808"/>
              </w:tabs>
              <w:spacing w:line="180" w:lineRule="exact"/>
              <w:jc w:val="right"/>
              <w:rPr>
                <w:rFonts w:ascii="Interstate-Light" w:hAnsi="Interstate-Light"/>
                <w:sz w:val="14"/>
              </w:rPr>
            </w:pPr>
            <w:bookmarkStart w:id="1" w:name="SenderName"/>
            <w:bookmarkStart w:id="2" w:name="SenderTitle"/>
            <w:bookmarkStart w:id="3" w:name="MainOfficeName"/>
            <w:bookmarkStart w:id="4" w:name="OptionalMailCode"/>
            <w:bookmarkStart w:id="5" w:name="MainOfficeAddress"/>
            <w:bookmarkStart w:id="6" w:name="CentralCity"/>
            <w:bookmarkStart w:id="7" w:name="SenderE_mail"/>
            <w:bookmarkEnd w:id="1"/>
            <w:bookmarkEnd w:id="2"/>
            <w:bookmarkEnd w:id="3"/>
            <w:bookmarkEnd w:id="4"/>
            <w:bookmarkEnd w:id="5"/>
            <w:bookmarkEnd w:id="6"/>
            <w:bookmarkEnd w:id="7"/>
          </w:p>
        </w:tc>
      </w:tr>
    </w:tbl>
    <w:p w:rsidR="00F52768" w:rsidRDefault="00F52768">
      <w:pPr>
        <w:sectPr w:rsidR="00F52768" w:rsidSect="00ED278D">
          <w:footerReference w:type="default" r:id="rId10"/>
          <w:footerReference w:type="first" r:id="rId11"/>
          <w:type w:val="continuous"/>
          <w:pgSz w:w="12240" w:h="15840" w:code="1"/>
          <w:pgMar w:top="864" w:right="1440" w:bottom="1440" w:left="1440" w:header="576" w:footer="144" w:gutter="0"/>
          <w:cols w:space="720"/>
          <w:formProt w:val="0"/>
          <w:titlePg/>
          <w:docGrid w:linePitch="326"/>
        </w:sectPr>
      </w:pPr>
    </w:p>
    <w:tbl>
      <w:tblPr>
        <w:tblW w:w="0" w:type="auto"/>
        <w:tblLayout w:type="fixed"/>
        <w:tblCellMar>
          <w:left w:w="36" w:type="dxa"/>
          <w:right w:w="36" w:type="dxa"/>
        </w:tblCellMar>
        <w:tblLook w:val="0000" w:firstRow="0" w:lastRow="0" w:firstColumn="0" w:lastColumn="0" w:noHBand="0" w:noVBand="0"/>
      </w:tblPr>
      <w:tblGrid>
        <w:gridCol w:w="6156"/>
        <w:gridCol w:w="3240"/>
      </w:tblGrid>
      <w:tr w:rsidR="00F52768">
        <w:trPr>
          <w:gridAfter w:val="1"/>
          <w:wAfter w:w="3240" w:type="dxa"/>
        </w:trPr>
        <w:tc>
          <w:tcPr>
            <w:tcW w:w="6156" w:type="dxa"/>
          </w:tcPr>
          <w:p w:rsidR="00F52768" w:rsidRDefault="00466EF3">
            <w:r>
              <w:lastRenderedPageBreak/>
              <w:t xml:space="preserve">October </w:t>
            </w:r>
            <w:r w:rsidR="004D6F0C">
              <w:t>7</w:t>
            </w:r>
            <w:r w:rsidR="006D3978">
              <w:t>, 2015</w:t>
            </w:r>
          </w:p>
          <w:p w:rsidR="00F52768" w:rsidRDefault="00F52768"/>
          <w:p w:rsidR="00F15067" w:rsidRDefault="00285B0B">
            <w:r>
              <w:t xml:space="preserve">Ms. </w:t>
            </w:r>
            <w:r w:rsidR="00204FA2" w:rsidRPr="00204FA2">
              <w:t xml:space="preserve">Carey </w:t>
            </w:r>
            <w:proofErr w:type="spellStart"/>
            <w:r w:rsidR="00204FA2" w:rsidRPr="00204FA2">
              <w:t>Bylin</w:t>
            </w:r>
            <w:proofErr w:type="spellEnd"/>
          </w:p>
          <w:p w:rsidR="003F35F2" w:rsidRDefault="00333D14">
            <w:r>
              <w:t>Methane Challenge Program Leader</w:t>
            </w:r>
          </w:p>
          <w:p w:rsidR="00333D14" w:rsidRDefault="00333D14">
            <w:r>
              <w:t>United States Environmental Protection Agency</w:t>
            </w:r>
          </w:p>
          <w:p w:rsidR="003F35F2" w:rsidRDefault="00D01C50">
            <w:r>
              <w:t>Mailing Address</w:t>
            </w:r>
          </w:p>
          <w:p w:rsidR="007E3DAE" w:rsidRDefault="007E3DAE"/>
          <w:p w:rsidR="00A2114D" w:rsidRDefault="00A2114D" w:rsidP="00285B0B"/>
        </w:tc>
      </w:tr>
      <w:tr w:rsidR="00F52768" w:rsidRPr="00A2114D">
        <w:tc>
          <w:tcPr>
            <w:tcW w:w="9396" w:type="dxa"/>
            <w:gridSpan w:val="2"/>
          </w:tcPr>
          <w:p w:rsidR="00F52768" w:rsidRPr="00A2114D" w:rsidRDefault="00F52768">
            <w:pPr>
              <w:rPr>
                <w:szCs w:val="24"/>
              </w:rPr>
            </w:pPr>
          </w:p>
        </w:tc>
      </w:tr>
      <w:tr w:rsidR="00F52768" w:rsidRPr="00A2114D">
        <w:tc>
          <w:tcPr>
            <w:tcW w:w="9396" w:type="dxa"/>
            <w:gridSpan w:val="2"/>
          </w:tcPr>
          <w:p w:rsidR="00F52768" w:rsidRPr="00A2114D" w:rsidRDefault="00F52768" w:rsidP="00F15067">
            <w:pPr>
              <w:rPr>
                <w:szCs w:val="24"/>
              </w:rPr>
            </w:pPr>
          </w:p>
        </w:tc>
      </w:tr>
    </w:tbl>
    <w:p w:rsidR="00F52768" w:rsidRDefault="00285B0B">
      <w:pPr>
        <w:pStyle w:val="ReferenceLine"/>
        <w:spacing w:after="0"/>
        <w:rPr>
          <w:sz w:val="24"/>
        </w:rPr>
      </w:pPr>
      <w:r w:rsidRPr="0096227D">
        <w:rPr>
          <w:b/>
          <w:sz w:val="24"/>
        </w:rPr>
        <w:t>Subject:</w:t>
      </w:r>
      <w:r>
        <w:rPr>
          <w:sz w:val="24"/>
        </w:rPr>
        <w:t xml:space="preserve"> </w:t>
      </w:r>
      <w:r w:rsidR="008D639E">
        <w:rPr>
          <w:sz w:val="24"/>
        </w:rPr>
        <w:t xml:space="preserve"> </w:t>
      </w:r>
      <w:r w:rsidR="00F063C1">
        <w:rPr>
          <w:sz w:val="24"/>
        </w:rPr>
        <w:t>Methane Challenge Proposal – SoCalGas/SDGE Comments</w:t>
      </w:r>
    </w:p>
    <w:p w:rsidR="00F52768" w:rsidRDefault="00F52768">
      <w:pPr>
        <w:pStyle w:val="Salutation"/>
        <w:rPr>
          <w:sz w:val="24"/>
        </w:rPr>
      </w:pPr>
    </w:p>
    <w:p w:rsidR="00F52768" w:rsidRDefault="00F52768">
      <w:r>
        <w:t xml:space="preserve">Dear </w:t>
      </w:r>
      <w:r w:rsidR="0096227D">
        <w:t xml:space="preserve">Ms. </w:t>
      </w:r>
      <w:proofErr w:type="spellStart"/>
      <w:r w:rsidR="00276202">
        <w:t>Bylin</w:t>
      </w:r>
      <w:proofErr w:type="spellEnd"/>
      <w:r w:rsidR="00D01C50">
        <w:t>,</w:t>
      </w:r>
    </w:p>
    <w:p w:rsidR="00F52768" w:rsidRDefault="00F52768"/>
    <w:p w:rsidR="001A135F" w:rsidRDefault="00285B0B">
      <w:r>
        <w:t xml:space="preserve">Southern California Gas Company (SoCalGas) </w:t>
      </w:r>
      <w:r w:rsidR="00F063C1">
        <w:t xml:space="preserve">and San Diego Gas &amp; Electric (SDGE) </w:t>
      </w:r>
      <w:r w:rsidR="001A135F">
        <w:t>appreciate</w:t>
      </w:r>
      <w:r w:rsidR="00FA6C4C">
        <w:t xml:space="preserve"> the opportunity to provide comments on the Environmental Protection Agency’s proposed Methane Challenge Program.  We have been working closely with </w:t>
      </w:r>
      <w:r w:rsidR="00276202">
        <w:t>the</w:t>
      </w:r>
      <w:r>
        <w:t xml:space="preserve"> American Gas Association (AGA) </w:t>
      </w:r>
      <w:r w:rsidR="00FA6C4C">
        <w:t xml:space="preserve">and the Down Stream Initiative (DSI) </w:t>
      </w:r>
      <w:r w:rsidR="001A135F">
        <w:t xml:space="preserve">in recent months </w:t>
      </w:r>
      <w:r w:rsidRPr="00285B0B">
        <w:t xml:space="preserve">to </w:t>
      </w:r>
      <w:r w:rsidR="001A135F">
        <w:t>develop</w:t>
      </w:r>
      <w:r w:rsidR="001A135F" w:rsidRPr="00285B0B">
        <w:t xml:space="preserve"> </w:t>
      </w:r>
      <w:r w:rsidR="00FA6C4C">
        <w:t xml:space="preserve">relevant </w:t>
      </w:r>
      <w:r w:rsidR="001A135F">
        <w:t xml:space="preserve">industry </w:t>
      </w:r>
      <w:r w:rsidRPr="00285B0B">
        <w:t xml:space="preserve">comments </w:t>
      </w:r>
      <w:r w:rsidR="00F063C1">
        <w:t xml:space="preserve">on </w:t>
      </w:r>
      <w:r w:rsidR="001D46C9">
        <w:t>the enhanced</w:t>
      </w:r>
      <w:r w:rsidR="001A135F">
        <w:t xml:space="preserve"> methane reduction Program</w:t>
      </w:r>
      <w:r w:rsidR="00F063C1">
        <w:t>.</w:t>
      </w:r>
      <w:r>
        <w:t xml:space="preserve">  </w:t>
      </w:r>
      <w:r w:rsidR="0096227D" w:rsidRPr="0096227D">
        <w:t xml:space="preserve">We </w:t>
      </w:r>
      <w:r w:rsidR="00941C89">
        <w:t xml:space="preserve">appreciate </w:t>
      </w:r>
      <w:r w:rsidR="00941C89" w:rsidRPr="00941C89">
        <w:t>EPA staff</w:t>
      </w:r>
      <w:r w:rsidR="00941C89">
        <w:t xml:space="preserve"> efforts to </w:t>
      </w:r>
      <w:r w:rsidR="00941C89" w:rsidRPr="00941C89">
        <w:t>modify the enhancements to the Natural Gas STAR Program in such a way that preserves a balance between critical operational, cost and safety demands with implementation of methane reduction strategies</w:t>
      </w:r>
      <w:r w:rsidR="00990619">
        <w:t xml:space="preserve">.  We also </w:t>
      </w:r>
      <w:r w:rsidR="001A135F">
        <w:t xml:space="preserve">concur with AGA </w:t>
      </w:r>
      <w:r w:rsidR="00990619">
        <w:t xml:space="preserve">in their support of </w:t>
      </w:r>
      <w:r w:rsidR="00D01C50">
        <w:t xml:space="preserve">the Methane Challenge </w:t>
      </w:r>
      <w:r w:rsidR="00990619">
        <w:t>program goals as</w:t>
      </w:r>
      <w:r w:rsidR="001A135F">
        <w:t xml:space="preserve"> follows:</w:t>
      </w:r>
    </w:p>
    <w:p w:rsidR="00941C89" w:rsidRDefault="00941C89"/>
    <w:p w:rsidR="00941C89" w:rsidRPr="00941C89" w:rsidRDefault="00941C89" w:rsidP="00941C89">
      <w:pPr>
        <w:spacing w:line="240" w:lineRule="auto"/>
        <w:ind w:left="720"/>
        <w:rPr>
          <w:rFonts w:ascii="Calibri" w:eastAsia="Calibri" w:hAnsi="Calibri"/>
          <w:color w:val="000099"/>
          <w:sz w:val="18"/>
          <w:szCs w:val="18"/>
        </w:rPr>
      </w:pPr>
    </w:p>
    <w:p w:rsidR="00941C89" w:rsidRPr="00990619" w:rsidRDefault="00990619" w:rsidP="00990619">
      <w:pPr>
        <w:pStyle w:val="ListParagraph"/>
        <w:numPr>
          <w:ilvl w:val="0"/>
          <w:numId w:val="9"/>
        </w:numPr>
        <w:spacing w:line="240" w:lineRule="auto"/>
        <w:rPr>
          <w:rFonts w:eastAsia="Calibri"/>
          <w:szCs w:val="24"/>
        </w:rPr>
      </w:pPr>
      <w:r w:rsidRPr="00990619">
        <w:rPr>
          <w:rFonts w:eastAsia="Calibri"/>
          <w:szCs w:val="24"/>
        </w:rPr>
        <w:t>E</w:t>
      </w:r>
      <w:r w:rsidR="00941C89" w:rsidRPr="00990619">
        <w:rPr>
          <w:rFonts w:eastAsia="Calibri"/>
          <w:szCs w:val="24"/>
        </w:rPr>
        <w:t xml:space="preserve">ncourage ambitious commitments to reduce methane emissions, </w:t>
      </w:r>
    </w:p>
    <w:p w:rsidR="00941C89" w:rsidRPr="00990619" w:rsidRDefault="00990619" w:rsidP="00990619">
      <w:pPr>
        <w:pStyle w:val="ListParagraph"/>
        <w:numPr>
          <w:ilvl w:val="0"/>
          <w:numId w:val="9"/>
        </w:numPr>
        <w:spacing w:line="240" w:lineRule="auto"/>
        <w:rPr>
          <w:rFonts w:eastAsia="Calibri"/>
          <w:szCs w:val="24"/>
        </w:rPr>
      </w:pPr>
      <w:r w:rsidRPr="00990619">
        <w:rPr>
          <w:rFonts w:eastAsia="Calibri"/>
          <w:szCs w:val="24"/>
        </w:rPr>
        <w:t>O</w:t>
      </w:r>
      <w:r w:rsidR="00941C89" w:rsidRPr="00990619">
        <w:rPr>
          <w:rFonts w:eastAsia="Calibri"/>
          <w:szCs w:val="24"/>
        </w:rPr>
        <w:t xml:space="preserve">ffer flexible mechanisms to achieve the commitments, </w:t>
      </w:r>
    </w:p>
    <w:p w:rsidR="00941C89" w:rsidRPr="00990619" w:rsidRDefault="00990619" w:rsidP="00990619">
      <w:pPr>
        <w:pStyle w:val="ListParagraph"/>
        <w:numPr>
          <w:ilvl w:val="0"/>
          <w:numId w:val="9"/>
        </w:numPr>
        <w:spacing w:line="240" w:lineRule="auto"/>
        <w:rPr>
          <w:rFonts w:eastAsia="Calibri"/>
          <w:szCs w:val="24"/>
        </w:rPr>
      </w:pPr>
      <w:r w:rsidRPr="00990619">
        <w:rPr>
          <w:rFonts w:eastAsia="Calibri"/>
          <w:szCs w:val="24"/>
        </w:rPr>
        <w:t>P</w:t>
      </w:r>
      <w:r w:rsidR="00941C89" w:rsidRPr="00990619">
        <w:rPr>
          <w:rFonts w:eastAsia="Calibri"/>
          <w:szCs w:val="24"/>
        </w:rPr>
        <w:t xml:space="preserve">romote innovative approaches, </w:t>
      </w:r>
    </w:p>
    <w:p w:rsidR="00941C89" w:rsidRPr="00990619" w:rsidRDefault="00990619" w:rsidP="00990619">
      <w:pPr>
        <w:pStyle w:val="ListParagraph"/>
        <w:numPr>
          <w:ilvl w:val="0"/>
          <w:numId w:val="9"/>
        </w:numPr>
        <w:spacing w:line="240" w:lineRule="auto"/>
        <w:rPr>
          <w:rFonts w:eastAsia="Calibri"/>
          <w:szCs w:val="24"/>
        </w:rPr>
      </w:pPr>
      <w:r w:rsidRPr="00990619">
        <w:rPr>
          <w:rFonts w:eastAsia="Calibri"/>
          <w:szCs w:val="24"/>
        </w:rPr>
        <w:t>P</w:t>
      </w:r>
      <w:r w:rsidR="00941C89" w:rsidRPr="00990619">
        <w:rPr>
          <w:rFonts w:eastAsia="Calibri"/>
          <w:szCs w:val="24"/>
        </w:rPr>
        <w:t xml:space="preserve">rovide accountability and transparency through robust annual reporting that utilizes EPA’s Greenhouse Gas Reporting Program (GHGRP) to the extent possible,  </w:t>
      </w:r>
    </w:p>
    <w:p w:rsidR="00941C89" w:rsidRPr="00990619" w:rsidRDefault="00990619" w:rsidP="00990619">
      <w:pPr>
        <w:pStyle w:val="ListParagraph"/>
        <w:numPr>
          <w:ilvl w:val="0"/>
          <w:numId w:val="9"/>
        </w:numPr>
        <w:spacing w:line="240" w:lineRule="auto"/>
        <w:rPr>
          <w:rFonts w:eastAsia="Calibri"/>
          <w:szCs w:val="24"/>
        </w:rPr>
      </w:pPr>
      <w:r w:rsidRPr="00990619">
        <w:rPr>
          <w:rFonts w:eastAsia="Calibri"/>
          <w:szCs w:val="24"/>
        </w:rPr>
        <w:t>R</w:t>
      </w:r>
      <w:r w:rsidR="00941C89" w:rsidRPr="00990619">
        <w:rPr>
          <w:rFonts w:eastAsia="Calibri"/>
          <w:szCs w:val="24"/>
        </w:rPr>
        <w:t xml:space="preserve">ecognize progress of companies that have been proactive in reducing methane emissions (early actors), and </w:t>
      </w:r>
    </w:p>
    <w:p w:rsidR="00941C89" w:rsidRPr="00990619" w:rsidRDefault="00990619" w:rsidP="00990619">
      <w:pPr>
        <w:pStyle w:val="ListParagraph"/>
        <w:numPr>
          <w:ilvl w:val="0"/>
          <w:numId w:val="9"/>
        </w:numPr>
        <w:spacing w:line="240" w:lineRule="auto"/>
        <w:rPr>
          <w:rFonts w:eastAsia="Calibri"/>
          <w:szCs w:val="24"/>
        </w:rPr>
      </w:pPr>
      <w:r w:rsidRPr="00990619">
        <w:rPr>
          <w:rFonts w:eastAsia="Calibri"/>
          <w:szCs w:val="24"/>
        </w:rPr>
        <w:t>Recognize</w:t>
      </w:r>
      <w:r w:rsidR="00941C89" w:rsidRPr="00990619">
        <w:rPr>
          <w:rFonts w:eastAsia="Calibri"/>
          <w:szCs w:val="24"/>
        </w:rPr>
        <w:t xml:space="preserve"> improved environmental performance through quantitative assessment of emission reductions.</w:t>
      </w:r>
    </w:p>
    <w:p w:rsidR="00941C89" w:rsidRDefault="00941C89"/>
    <w:p w:rsidR="0096227D" w:rsidRDefault="001D46C9">
      <w:r>
        <w:t xml:space="preserve">In addition to our support of AGA comments, we want to note that California utilities operate in a different regulatory climate than many other utilities represented by AGA.  As such, the potential for implementing additional or new methane reduction strategies may vary based on state or </w:t>
      </w:r>
      <w:r w:rsidR="00D01C50">
        <w:t xml:space="preserve">regional </w:t>
      </w:r>
      <w:r w:rsidR="00D01C50">
        <w:lastRenderedPageBreak/>
        <w:t xml:space="preserve">factors.  </w:t>
      </w:r>
      <w:r>
        <w:t>Outlined</w:t>
      </w:r>
      <w:r w:rsidR="00393D20">
        <w:t xml:space="preserve"> </w:t>
      </w:r>
      <w:r>
        <w:t>below are our</w:t>
      </w:r>
      <w:r w:rsidR="006E24F9">
        <w:t xml:space="preserve"> </w:t>
      </w:r>
      <w:r w:rsidR="006958E7">
        <w:t xml:space="preserve">more specific </w:t>
      </w:r>
      <w:r w:rsidR="00393D20">
        <w:t xml:space="preserve">comments </w:t>
      </w:r>
      <w:r w:rsidR="006E24F9">
        <w:t xml:space="preserve">on </w:t>
      </w:r>
      <w:r w:rsidR="00393D20">
        <w:t xml:space="preserve">the </w:t>
      </w:r>
      <w:r w:rsidR="006E24F9">
        <w:t xml:space="preserve">proposed </w:t>
      </w:r>
      <w:r w:rsidR="00E234B1">
        <w:t>Methane Challenge</w:t>
      </w:r>
      <w:r w:rsidR="00DF3C56">
        <w:t xml:space="preserve">, the </w:t>
      </w:r>
      <w:r w:rsidR="00393D20">
        <w:t xml:space="preserve">majority of </w:t>
      </w:r>
      <w:r w:rsidR="009F42EF">
        <w:t>which focus</w:t>
      </w:r>
      <w:r w:rsidR="00393D20">
        <w:t xml:space="preserve"> on </w:t>
      </w:r>
      <w:r w:rsidR="0096227D">
        <w:t>Best Management Practice (BMP) options</w:t>
      </w:r>
      <w:r w:rsidR="006958E7">
        <w:t>.</w:t>
      </w:r>
    </w:p>
    <w:p w:rsidR="0096227D" w:rsidRDefault="0096227D"/>
    <w:p w:rsidR="0096227D" w:rsidRDefault="0096227D"/>
    <w:p w:rsidR="009E2DA1" w:rsidRPr="006F084A" w:rsidRDefault="006F084A">
      <w:pPr>
        <w:rPr>
          <w:b/>
          <w:u w:val="single"/>
        </w:rPr>
      </w:pPr>
      <w:r w:rsidRPr="006F084A">
        <w:rPr>
          <w:b/>
          <w:u w:val="single"/>
        </w:rPr>
        <w:t>Impact</w:t>
      </w:r>
      <w:r w:rsidR="008B1B52">
        <w:rPr>
          <w:b/>
          <w:u w:val="single"/>
        </w:rPr>
        <w:t>s</w:t>
      </w:r>
      <w:r w:rsidRPr="006F084A">
        <w:rPr>
          <w:b/>
          <w:u w:val="single"/>
        </w:rPr>
        <w:t xml:space="preserve"> of Proposed Regulatory Activity in California </w:t>
      </w:r>
    </w:p>
    <w:p w:rsidR="00D01C50" w:rsidRDefault="00D01C50"/>
    <w:p w:rsidR="00F079F5" w:rsidRDefault="006F084A">
      <w:r>
        <w:t xml:space="preserve">The Methane Challenge is being proposed at a time when </w:t>
      </w:r>
      <w:r w:rsidR="00E234B1">
        <w:t>California-</w:t>
      </w:r>
      <w:r>
        <w:t xml:space="preserve">based utilities are </w:t>
      </w:r>
      <w:r w:rsidR="008B1B52">
        <w:t xml:space="preserve">also </w:t>
      </w:r>
      <w:r>
        <w:t xml:space="preserve">being subjected </w:t>
      </w:r>
      <w:r w:rsidR="008B1B52">
        <w:t xml:space="preserve">to </w:t>
      </w:r>
      <w:r w:rsidR="00EC4E74">
        <w:t xml:space="preserve">pending regulations </w:t>
      </w:r>
      <w:r>
        <w:t>t</w:t>
      </w:r>
      <w:r w:rsidR="00EC4E74">
        <w:t xml:space="preserve">hat target methane reductions. </w:t>
      </w:r>
      <w:r w:rsidR="00E234B1">
        <w:t>R</w:t>
      </w:r>
      <w:r w:rsidR="00EC4E74">
        <w:t xml:space="preserve">egulatory </w:t>
      </w:r>
      <w:r w:rsidR="00E234B1">
        <w:t xml:space="preserve">efforts </w:t>
      </w:r>
      <w:r w:rsidR="00EC4E74">
        <w:t xml:space="preserve">initiated by the California Air Resources Board (CARB) and the California Public Utilities Commission (CPUC) will impose mandatory requirements </w:t>
      </w:r>
      <w:r w:rsidR="00F079F5">
        <w:t>affecting</w:t>
      </w:r>
      <w:r w:rsidR="00EC4E74">
        <w:t xml:space="preserve"> transmission and storage </w:t>
      </w:r>
      <w:r w:rsidR="00F079F5">
        <w:t xml:space="preserve">facilities </w:t>
      </w:r>
      <w:r w:rsidR="001D0EE7">
        <w:t xml:space="preserve">as well as </w:t>
      </w:r>
      <w:r w:rsidR="00F079F5">
        <w:t xml:space="preserve">distribution systems. </w:t>
      </w:r>
      <w:r w:rsidR="001D0EE7">
        <w:t>Briefly, t</w:t>
      </w:r>
      <w:r w:rsidR="00F079F5">
        <w:t>he activities are as follows:</w:t>
      </w:r>
    </w:p>
    <w:p w:rsidR="00F079F5" w:rsidRDefault="00F079F5"/>
    <w:p w:rsidR="00F079F5" w:rsidRDefault="00F079F5" w:rsidP="00F079F5">
      <w:pPr>
        <w:pStyle w:val="ListParagraph"/>
        <w:numPr>
          <w:ilvl w:val="0"/>
          <w:numId w:val="5"/>
        </w:numPr>
        <w:ind w:left="360"/>
      </w:pPr>
      <w:r>
        <w:t>CARB:</w:t>
      </w:r>
      <w:r>
        <w:tab/>
        <w:t xml:space="preserve">Greenhouse Gas Emission Standards for Crude Oil and Natural Gas Facilities to </w:t>
      </w:r>
      <w:r w:rsidRPr="00F079F5">
        <w:t>establish greenhouse gas emission standards for crude oil and natural gas facilities</w:t>
      </w:r>
      <w:r>
        <w:t xml:space="preserve">; </w:t>
      </w:r>
    </w:p>
    <w:p w:rsidR="00D71521" w:rsidRDefault="00D71521" w:rsidP="00D71521">
      <w:pPr>
        <w:pStyle w:val="ListParagraph"/>
        <w:numPr>
          <w:ilvl w:val="1"/>
          <w:numId w:val="5"/>
        </w:numPr>
      </w:pPr>
      <w:r>
        <w:t>Local Air Districts: As a direct result of the CARB action, will update or modify regulations to incorporate methane emission standards or control measures to reduce methane emissions;</w:t>
      </w:r>
    </w:p>
    <w:p w:rsidR="00F079F5" w:rsidRDefault="00F079F5" w:rsidP="00F079F5">
      <w:pPr>
        <w:pStyle w:val="ListParagraph"/>
        <w:numPr>
          <w:ilvl w:val="0"/>
          <w:numId w:val="5"/>
        </w:numPr>
        <w:ind w:left="360"/>
      </w:pPr>
      <w:r>
        <w:t>CPUC:</w:t>
      </w:r>
      <w:r>
        <w:tab/>
        <w:t>S</w:t>
      </w:r>
      <w:r w:rsidRPr="00F079F5">
        <w:t>B 1371</w:t>
      </w:r>
      <w:r>
        <w:t xml:space="preserve"> (Leno)</w:t>
      </w:r>
      <w:r w:rsidRPr="00F079F5">
        <w:t xml:space="preserve">, </w:t>
      </w:r>
      <w:r w:rsidR="00E234B1" w:rsidRPr="00F079F5">
        <w:t>require</w:t>
      </w:r>
      <w:r w:rsidR="00E234B1">
        <w:t>s</w:t>
      </w:r>
      <w:r w:rsidR="00E234B1" w:rsidRPr="00F079F5">
        <w:t xml:space="preserve"> </w:t>
      </w:r>
      <w:r w:rsidRPr="00F079F5">
        <w:t xml:space="preserve">the adoption of rules and procedures to minimize natural gas leakage from </w:t>
      </w:r>
      <w:r w:rsidR="00E234B1">
        <w:t>CPUC</w:t>
      </w:r>
      <w:r w:rsidRPr="00F079F5">
        <w:t>-regulated natural gas pipeline facilities</w:t>
      </w:r>
      <w:r w:rsidR="001D0EE7">
        <w:t>.</w:t>
      </w:r>
    </w:p>
    <w:p w:rsidR="00456C05" w:rsidRDefault="00136DD3">
      <w:r>
        <w:t xml:space="preserve">California utilities </w:t>
      </w:r>
      <w:r w:rsidR="006850EB">
        <w:t>are seeking</w:t>
      </w:r>
      <w:r w:rsidR="008B1B52">
        <w:t xml:space="preserve"> </w:t>
      </w:r>
      <w:r>
        <w:t xml:space="preserve">to avoid being inadvertently “penalized” for implementing mandatory requirements that </w:t>
      </w:r>
      <w:r w:rsidR="008B1B52">
        <w:t xml:space="preserve">might be similar to </w:t>
      </w:r>
      <w:r>
        <w:t xml:space="preserve">Methane Challenge BMPs.  We suggest incorporating language in the </w:t>
      </w:r>
      <w:r w:rsidR="00D71521">
        <w:t xml:space="preserve">proposals and subsequent </w:t>
      </w:r>
      <w:r w:rsidR="003D0851">
        <w:t xml:space="preserve">Memoranda </w:t>
      </w:r>
      <w:r>
        <w:t>of Understanding (MOU</w:t>
      </w:r>
      <w:r w:rsidR="003D0851">
        <w:t>s</w:t>
      </w:r>
      <w:r>
        <w:t xml:space="preserve">) </w:t>
      </w:r>
      <w:r w:rsidR="008B1B52">
        <w:t xml:space="preserve">that allow affected </w:t>
      </w:r>
      <w:r w:rsidR="00D71521">
        <w:t xml:space="preserve">California </w:t>
      </w:r>
      <w:r>
        <w:t xml:space="preserve">utilities </w:t>
      </w:r>
      <w:r w:rsidR="008B1B52">
        <w:t xml:space="preserve">to meet Methane Challenge BMP requirements by implementing mandatory control/reduction requirements </w:t>
      </w:r>
      <w:r>
        <w:t xml:space="preserve">that may be required by </w:t>
      </w:r>
      <w:r w:rsidR="008B1B52">
        <w:t xml:space="preserve">a </w:t>
      </w:r>
      <w:r>
        <w:t xml:space="preserve">CPUC or CARB-driven regulation.  </w:t>
      </w:r>
    </w:p>
    <w:p w:rsidR="00456C05" w:rsidRDefault="00456C05"/>
    <w:p w:rsidR="00136DD3" w:rsidRDefault="00136DD3"/>
    <w:p w:rsidR="009E2DA1" w:rsidRPr="00ED278D" w:rsidRDefault="00456C05">
      <w:pPr>
        <w:rPr>
          <w:b/>
          <w:u w:val="single"/>
        </w:rPr>
      </w:pPr>
      <w:r w:rsidRPr="00ED278D">
        <w:rPr>
          <w:b/>
          <w:u w:val="single"/>
        </w:rPr>
        <w:t>Additional Best Management Practices</w:t>
      </w:r>
    </w:p>
    <w:p w:rsidR="00D01C50" w:rsidRDefault="00D01C50"/>
    <w:p w:rsidR="006850EB" w:rsidRDefault="00456C05">
      <w:bookmarkStart w:id="8" w:name="_GoBack"/>
      <w:bookmarkEnd w:id="8"/>
      <w:r>
        <w:t xml:space="preserve">We </w:t>
      </w:r>
      <w:r w:rsidR="006850EB">
        <w:t xml:space="preserve">propose </w:t>
      </w:r>
      <w:r>
        <w:t>that a</w:t>
      </w:r>
      <w:r w:rsidR="006850EB">
        <w:t>dded</w:t>
      </w:r>
      <w:r>
        <w:t xml:space="preserve"> flexibility be provided for </w:t>
      </w:r>
      <w:r w:rsidR="006850EB">
        <w:t xml:space="preserve">implementing </w:t>
      </w:r>
      <w:r>
        <w:t xml:space="preserve">BMPs that have yet to be proposed or identified.  </w:t>
      </w:r>
      <w:r w:rsidR="00455530">
        <w:t>This may include</w:t>
      </w:r>
      <w:r w:rsidR="006850EB">
        <w:t>:</w:t>
      </w:r>
    </w:p>
    <w:p w:rsidR="006850EB" w:rsidRDefault="006850EB" w:rsidP="00DF3C56">
      <w:pPr>
        <w:pStyle w:val="ListParagraph"/>
        <w:numPr>
          <w:ilvl w:val="0"/>
          <w:numId w:val="8"/>
        </w:numPr>
      </w:pPr>
      <w:r>
        <w:t>Adding</w:t>
      </w:r>
      <w:r w:rsidR="00455530">
        <w:t xml:space="preserve"> new BM</w:t>
      </w:r>
      <w:r w:rsidR="00D10820">
        <w:t xml:space="preserve">Ps </w:t>
      </w:r>
      <w:r w:rsidR="00376995">
        <w:t xml:space="preserve">to the existing list prior to a </w:t>
      </w:r>
      <w:r w:rsidR="00D10820">
        <w:t>utility’</w:t>
      </w:r>
      <w:r w:rsidR="00455530">
        <w:t>s commitment to the pr</w:t>
      </w:r>
      <w:r w:rsidR="00D10820">
        <w:t>ogram</w:t>
      </w:r>
      <w:r>
        <w:t>; or</w:t>
      </w:r>
    </w:p>
    <w:p w:rsidR="00DF3C56" w:rsidRDefault="00DF3C56" w:rsidP="00DF3C56">
      <w:pPr>
        <w:pStyle w:val="ListParagraph"/>
        <w:numPr>
          <w:ilvl w:val="0"/>
          <w:numId w:val="8"/>
        </w:numPr>
      </w:pPr>
      <w:r>
        <w:t>The</w:t>
      </w:r>
      <w:r w:rsidR="00D71521">
        <w:t xml:space="preserve"> option to modify </w:t>
      </w:r>
      <w:r w:rsidR="00D10820">
        <w:t>the utility’s</w:t>
      </w:r>
      <w:r w:rsidR="00455530">
        <w:t xml:space="preserve"> implementation plan with “equivalent”</w:t>
      </w:r>
      <w:r w:rsidR="00D10820">
        <w:t xml:space="preserve"> or more effective</w:t>
      </w:r>
      <w:r w:rsidR="00455530">
        <w:t xml:space="preserve"> BMPs that achieve </w:t>
      </w:r>
      <w:r w:rsidR="00D10820">
        <w:t xml:space="preserve">or exceed </w:t>
      </w:r>
      <w:r w:rsidR="00376995">
        <w:t xml:space="preserve">proposed </w:t>
      </w:r>
      <w:r w:rsidR="00455530">
        <w:t>reductions</w:t>
      </w:r>
      <w:r>
        <w:t xml:space="preserve"> (pending EPA approval)</w:t>
      </w:r>
      <w:r w:rsidR="00455530">
        <w:t xml:space="preserve">.   </w:t>
      </w:r>
    </w:p>
    <w:p w:rsidR="00DF3C56" w:rsidRDefault="00DF3C56" w:rsidP="00DF3C56">
      <w:pPr>
        <w:pStyle w:val="ListParagraph"/>
        <w:numPr>
          <w:ilvl w:val="0"/>
          <w:numId w:val="8"/>
        </w:numPr>
      </w:pPr>
      <w:r>
        <w:t>Including</w:t>
      </w:r>
      <w:r w:rsidR="00ED278D">
        <w:t xml:space="preserve"> </w:t>
      </w:r>
      <w:r>
        <w:t xml:space="preserve">BMP </w:t>
      </w:r>
      <w:r w:rsidR="00D10820">
        <w:t xml:space="preserve">categories for </w:t>
      </w:r>
      <w:r w:rsidR="00ED278D">
        <w:t>equipment</w:t>
      </w:r>
      <w:r w:rsidR="00D10820">
        <w:t xml:space="preserve"> repairs</w:t>
      </w:r>
      <w:r>
        <w:t>/</w:t>
      </w:r>
      <w:r w:rsidR="00D10820" w:rsidRPr="00D10820">
        <w:t xml:space="preserve">replacements with </w:t>
      </w:r>
      <w:r w:rsidR="00D10820">
        <w:t xml:space="preserve">less or </w:t>
      </w:r>
      <w:r w:rsidR="00D10820" w:rsidRPr="00D10820">
        <w:t>non-emitting processes or equipment</w:t>
      </w:r>
      <w:r w:rsidR="00D10820">
        <w:t xml:space="preserve">.  </w:t>
      </w:r>
    </w:p>
    <w:p w:rsidR="00ED278D" w:rsidRDefault="00DF3C56" w:rsidP="00DF3C56">
      <w:pPr>
        <w:pStyle w:val="ListParagraph"/>
        <w:numPr>
          <w:ilvl w:val="0"/>
          <w:numId w:val="8"/>
        </w:numPr>
      </w:pPr>
      <w:r>
        <w:t xml:space="preserve">Including </w:t>
      </w:r>
      <w:r w:rsidR="00D10820">
        <w:t>equipment, process or facility</w:t>
      </w:r>
      <w:r w:rsidR="00ED278D">
        <w:t xml:space="preserve"> </w:t>
      </w:r>
      <w:r w:rsidR="00D10820">
        <w:t xml:space="preserve">redesign that reduces </w:t>
      </w:r>
      <w:r w:rsidR="005E6892">
        <w:t>methane</w:t>
      </w:r>
      <w:r w:rsidR="00376995">
        <w:t>,</w:t>
      </w:r>
      <w:r w:rsidR="005E6892">
        <w:t xml:space="preserve"> or a </w:t>
      </w:r>
      <w:r w:rsidR="00ED278D">
        <w:t>“shutdown</w:t>
      </w:r>
      <w:r w:rsidR="00D10820">
        <w:t xml:space="preserve">” </w:t>
      </w:r>
      <w:r w:rsidR="005E6892">
        <w:t>(</w:t>
      </w:r>
      <w:r w:rsidR="00ED278D">
        <w:t>decommissioning</w:t>
      </w:r>
      <w:r w:rsidR="005E6892">
        <w:t>)</w:t>
      </w:r>
      <w:r w:rsidR="00ED278D">
        <w:t xml:space="preserve"> that </w:t>
      </w:r>
      <w:r w:rsidR="00D10820">
        <w:t>entirely</w:t>
      </w:r>
      <w:r w:rsidR="00ED278D">
        <w:t xml:space="preserve"> remove</w:t>
      </w:r>
      <w:r w:rsidR="005E6892">
        <w:t>s</w:t>
      </w:r>
      <w:r w:rsidR="00ED278D">
        <w:t xml:space="preserve"> </w:t>
      </w:r>
      <w:r w:rsidR="00D10820">
        <w:t xml:space="preserve">a methane source </w:t>
      </w:r>
    </w:p>
    <w:p w:rsidR="005D13FB" w:rsidRDefault="005D13FB" w:rsidP="009E2DA1"/>
    <w:p w:rsidR="00820DF2" w:rsidRDefault="00820DF2"/>
    <w:p w:rsidR="00820DF2" w:rsidRPr="003F35F2" w:rsidRDefault="00C71D57" w:rsidP="00C71D57">
      <w:pPr>
        <w:jc w:val="center"/>
        <w:rPr>
          <w:b/>
          <w:szCs w:val="24"/>
          <w:u w:val="single"/>
        </w:rPr>
      </w:pPr>
      <w:r w:rsidRPr="003F35F2">
        <w:rPr>
          <w:b/>
          <w:szCs w:val="24"/>
          <w:u w:val="single"/>
        </w:rPr>
        <w:t>Comments on specific BMP strategies</w:t>
      </w:r>
    </w:p>
    <w:p w:rsidR="00820DF2" w:rsidRDefault="00820DF2"/>
    <w:p w:rsidR="00820DF2" w:rsidRPr="00971616" w:rsidRDefault="00820DF2">
      <w:pPr>
        <w:rPr>
          <w:caps/>
        </w:rPr>
      </w:pPr>
    </w:p>
    <w:p w:rsidR="00820DF2" w:rsidRPr="00971616" w:rsidRDefault="00820DF2" w:rsidP="003F0FD5">
      <w:pPr>
        <w:jc w:val="center"/>
        <w:rPr>
          <w:b/>
          <w:caps/>
        </w:rPr>
      </w:pPr>
      <w:r w:rsidRPr="00971616">
        <w:rPr>
          <w:b/>
          <w:caps/>
        </w:rPr>
        <w:t>Transmission/Storage</w:t>
      </w:r>
      <w:r w:rsidR="00971616">
        <w:rPr>
          <w:b/>
          <w:caps/>
        </w:rPr>
        <w:t xml:space="preserve"> OPERATIONS</w:t>
      </w:r>
    </w:p>
    <w:p w:rsidR="00971616" w:rsidRPr="00820DF2" w:rsidRDefault="00971616">
      <w:pPr>
        <w:rPr>
          <w:b/>
        </w:rPr>
      </w:pPr>
    </w:p>
    <w:p w:rsidR="00820DF2" w:rsidRDefault="00820DF2"/>
    <w:p w:rsidR="003F0FD5" w:rsidRDefault="003F0FD5"/>
    <w:p w:rsidR="003F0FD5" w:rsidRDefault="003F0FD5"/>
    <w:p w:rsidR="00874522" w:rsidRPr="00971616" w:rsidRDefault="00445CCD" w:rsidP="00874522">
      <w:pPr>
        <w:rPr>
          <w:b/>
          <w:u w:val="single"/>
        </w:rPr>
      </w:pPr>
      <w:r w:rsidRPr="00971616">
        <w:rPr>
          <w:b/>
          <w:u w:val="single"/>
        </w:rPr>
        <w:t>Reciprocating Compressors</w:t>
      </w:r>
      <w:r w:rsidR="00874522" w:rsidRPr="00971616">
        <w:rPr>
          <w:b/>
          <w:u w:val="single"/>
        </w:rPr>
        <w:t>-</w:t>
      </w:r>
      <w:r w:rsidRPr="00971616">
        <w:rPr>
          <w:b/>
          <w:u w:val="single"/>
        </w:rPr>
        <w:t xml:space="preserve">venting </w:t>
      </w:r>
    </w:p>
    <w:p w:rsidR="00445CCD" w:rsidRPr="00C71D57" w:rsidRDefault="00C71D57" w:rsidP="00874522">
      <w:pPr>
        <w:rPr>
          <w:i/>
        </w:rPr>
      </w:pPr>
      <w:r w:rsidRPr="00C71D57">
        <w:rPr>
          <w:i/>
        </w:rPr>
        <w:t>Proposed BMP:</w:t>
      </w:r>
      <w:r w:rsidRPr="00C71D57">
        <w:rPr>
          <w:i/>
        </w:rPr>
        <w:tab/>
      </w:r>
      <w:r w:rsidR="00445CCD" w:rsidRPr="00C71D57">
        <w:rPr>
          <w:i/>
        </w:rPr>
        <w:t>Route rod packing vent to capture/use or route gas to flare or replace rod packing every 26,000 hours of operation or every 36 months</w:t>
      </w:r>
    </w:p>
    <w:p w:rsidR="00C71D57" w:rsidRDefault="00C71D57" w:rsidP="00874522"/>
    <w:p w:rsidR="00C71D57" w:rsidRDefault="00C71D57" w:rsidP="00971616">
      <w:pPr>
        <w:ind w:left="432"/>
      </w:pPr>
      <w:r w:rsidRPr="00715396">
        <w:rPr>
          <w:b/>
        </w:rPr>
        <w:t>Comment:</w:t>
      </w:r>
      <w:r>
        <w:t xml:space="preserve"> </w:t>
      </w:r>
      <w:r w:rsidR="00715396">
        <w:t>Venting compressor rod packing fugitive emissions to a flare or other control device, though possible</w:t>
      </w:r>
      <w:r w:rsidR="0074613C">
        <w:t>,</w:t>
      </w:r>
      <w:r w:rsidR="00715396">
        <w:t xml:space="preserve"> is often impractical due to the cost associated with permitting and installing </w:t>
      </w:r>
      <w:r w:rsidR="0074613C">
        <w:t xml:space="preserve">additional control </w:t>
      </w:r>
      <w:r w:rsidR="00715396">
        <w:t xml:space="preserve">equipment.  </w:t>
      </w:r>
      <w:r w:rsidR="0074613C">
        <w:t xml:space="preserve">We suggest adding a </w:t>
      </w:r>
      <w:r w:rsidR="0074613C" w:rsidRPr="0074613C">
        <w:t xml:space="preserve">packing repair/replacement </w:t>
      </w:r>
      <w:r w:rsidR="0074613C">
        <w:t xml:space="preserve">option that is </w:t>
      </w:r>
      <w:r w:rsidR="0074613C" w:rsidRPr="0074613C">
        <w:t>condition</w:t>
      </w:r>
      <w:r w:rsidR="00007781">
        <w:t>-based</w:t>
      </w:r>
      <w:r w:rsidR="0074613C" w:rsidRPr="0074613C">
        <w:t xml:space="preserve"> rather than time based.  </w:t>
      </w:r>
      <w:r w:rsidR="0074613C">
        <w:t xml:space="preserve">The proposed </w:t>
      </w:r>
      <w:r w:rsidR="0074613C" w:rsidRPr="0074613C">
        <w:t xml:space="preserve">CARB </w:t>
      </w:r>
      <w:r w:rsidR="0074613C">
        <w:t xml:space="preserve">Oil and Gas regulation requires </w:t>
      </w:r>
      <w:r w:rsidR="0074613C" w:rsidRPr="0074613C">
        <w:t>measure</w:t>
      </w:r>
      <w:r w:rsidR="0074613C">
        <w:t xml:space="preserve">ment of </w:t>
      </w:r>
      <w:r w:rsidR="0074613C" w:rsidRPr="0074613C">
        <w:t>fugitive</w:t>
      </w:r>
      <w:r w:rsidR="0074613C">
        <w:t>s</w:t>
      </w:r>
      <w:r w:rsidR="0074613C" w:rsidRPr="0074613C">
        <w:t xml:space="preserve"> from the packing and then </w:t>
      </w:r>
      <w:r w:rsidR="0074613C">
        <w:t>requires r</w:t>
      </w:r>
      <w:r w:rsidR="0074613C" w:rsidRPr="0074613C">
        <w:t xml:space="preserve">epairs if the leaking </w:t>
      </w:r>
      <w:r w:rsidR="003F35F2">
        <w:t>exceeds a specific threshold</w:t>
      </w:r>
      <w:r w:rsidR="0074613C" w:rsidRPr="0074613C">
        <w:t xml:space="preserve">.  </w:t>
      </w:r>
      <w:r w:rsidR="0074613C">
        <w:t>For others who would prefer to not add a new monitoring and measurement scheme to their operations, the time-based replacement may be viable</w:t>
      </w:r>
      <w:r w:rsidR="00171531">
        <w:t xml:space="preserve"> option</w:t>
      </w:r>
      <w:r w:rsidR="0074613C">
        <w:t xml:space="preserve">.  </w:t>
      </w:r>
    </w:p>
    <w:p w:rsidR="00874522" w:rsidRDefault="00874522" w:rsidP="00874522"/>
    <w:p w:rsidR="00874522" w:rsidRPr="00971616" w:rsidRDefault="00874522" w:rsidP="00874522">
      <w:pPr>
        <w:rPr>
          <w:b/>
          <w:u w:val="single"/>
        </w:rPr>
      </w:pPr>
      <w:r w:rsidRPr="00971616">
        <w:rPr>
          <w:b/>
          <w:u w:val="single"/>
        </w:rPr>
        <w:t xml:space="preserve">Centrifugal Compressors-venting </w:t>
      </w:r>
    </w:p>
    <w:p w:rsidR="00874522" w:rsidRPr="00171531" w:rsidRDefault="00171531" w:rsidP="00874522">
      <w:pPr>
        <w:rPr>
          <w:i/>
        </w:rPr>
      </w:pPr>
      <w:r w:rsidRPr="00171531">
        <w:rPr>
          <w:i/>
        </w:rPr>
        <w:t xml:space="preserve">Proposed BMP: </w:t>
      </w:r>
      <w:r w:rsidR="00874522" w:rsidRPr="00171531">
        <w:rPr>
          <w:i/>
        </w:rPr>
        <w:t>Route wet seal de-gassing vent to capture/use or route wet seal de-gassing to flare.</w:t>
      </w:r>
    </w:p>
    <w:p w:rsidR="00171531" w:rsidRDefault="00171531" w:rsidP="00874522"/>
    <w:p w:rsidR="00171531" w:rsidRDefault="00171531" w:rsidP="00971616">
      <w:pPr>
        <w:ind w:left="432"/>
      </w:pPr>
      <w:r w:rsidRPr="00171531">
        <w:rPr>
          <w:b/>
        </w:rPr>
        <w:t>Comment:</w:t>
      </w:r>
      <w:r w:rsidRPr="00171531">
        <w:t xml:space="preserve"> </w:t>
      </w:r>
      <w:r w:rsidR="00EC6B46">
        <w:t>In addition to the proposed BMP, replace wet seals with dry seals where feasible. Note that small population of wet seals may limit cost-effective reduction opportunities.</w:t>
      </w:r>
    </w:p>
    <w:p w:rsidR="00171531" w:rsidRDefault="00171531" w:rsidP="00874522"/>
    <w:p w:rsidR="00874522" w:rsidRPr="00971616" w:rsidRDefault="00EC6B46" w:rsidP="00874522">
      <w:pPr>
        <w:rPr>
          <w:b/>
          <w:u w:val="single"/>
        </w:rPr>
      </w:pPr>
      <w:r w:rsidRPr="00971616">
        <w:rPr>
          <w:b/>
          <w:u w:val="single"/>
        </w:rPr>
        <w:t>Compressor Station Equipment Leaks/</w:t>
      </w:r>
      <w:r w:rsidR="00874522" w:rsidRPr="00971616">
        <w:rPr>
          <w:b/>
          <w:u w:val="single"/>
        </w:rPr>
        <w:t xml:space="preserve">Fugitive Emissions </w:t>
      </w:r>
    </w:p>
    <w:p w:rsidR="00874522" w:rsidRDefault="00EC6B46" w:rsidP="00874522">
      <w:pPr>
        <w:rPr>
          <w:i/>
        </w:rPr>
      </w:pPr>
      <w:r w:rsidRPr="00171531">
        <w:rPr>
          <w:i/>
        </w:rPr>
        <w:t xml:space="preserve">Proposed BMP: </w:t>
      </w:r>
      <w:r w:rsidR="00874522" w:rsidRPr="00EC6B46">
        <w:rPr>
          <w:i/>
        </w:rPr>
        <w:t>Undertake monitoring and repair activities, at specified minimum intervals, following defined parameters governing repair activities.</w:t>
      </w:r>
    </w:p>
    <w:p w:rsidR="00EC6B46" w:rsidRDefault="00EC6B46" w:rsidP="00874522">
      <w:pPr>
        <w:rPr>
          <w:i/>
        </w:rPr>
      </w:pPr>
    </w:p>
    <w:p w:rsidR="00EC6B46" w:rsidRDefault="00EC6B46" w:rsidP="00971616">
      <w:pPr>
        <w:ind w:left="360"/>
      </w:pPr>
      <w:r w:rsidRPr="00EC6B46">
        <w:rPr>
          <w:b/>
        </w:rPr>
        <w:t>Comment</w:t>
      </w:r>
      <w:r>
        <w:rPr>
          <w:b/>
        </w:rPr>
        <w:t xml:space="preserve">: </w:t>
      </w:r>
      <w:r w:rsidRPr="00EC6B46">
        <w:t xml:space="preserve">CARB </w:t>
      </w:r>
      <w:r w:rsidR="005A6240">
        <w:t>is proposing</w:t>
      </w:r>
      <w:r w:rsidR="00912C0A">
        <w:t xml:space="preserve"> specific requirements for</w:t>
      </w:r>
      <w:r w:rsidRPr="00EC6B46">
        <w:t xml:space="preserve"> </w:t>
      </w:r>
      <w:r>
        <w:t>Leak Detection and Repair (LDAR)</w:t>
      </w:r>
      <w:r w:rsidR="00912C0A">
        <w:t xml:space="preserve"> activities as </w:t>
      </w:r>
      <w:r w:rsidR="005C76AF">
        <w:t>partially described below</w:t>
      </w:r>
      <w:r w:rsidR="00912C0A">
        <w:t>:</w:t>
      </w:r>
    </w:p>
    <w:p w:rsidR="00912C0A" w:rsidRDefault="00912C0A" w:rsidP="00971616">
      <w:pPr>
        <w:ind w:left="360"/>
      </w:pPr>
    </w:p>
    <w:p w:rsidR="00912C0A" w:rsidRPr="00912C0A" w:rsidRDefault="00912C0A" w:rsidP="00971616">
      <w:pPr>
        <w:pStyle w:val="ListParagraph"/>
        <w:numPr>
          <w:ilvl w:val="0"/>
          <w:numId w:val="6"/>
        </w:numPr>
        <w:ind w:left="1080"/>
        <w:rPr>
          <w:sz w:val="20"/>
        </w:rPr>
      </w:pPr>
      <w:r w:rsidRPr="00912C0A">
        <w:rPr>
          <w:b/>
          <w:sz w:val="20"/>
        </w:rPr>
        <w:t>Minor leak</w:t>
      </w:r>
      <w:r w:rsidRPr="00912C0A">
        <w:rPr>
          <w:sz w:val="20"/>
        </w:rPr>
        <w:t xml:space="preserve">” means the detection of total gaseous hydrocarbons in excess of 1,000 </w:t>
      </w:r>
      <w:proofErr w:type="spellStart"/>
      <w:r w:rsidRPr="00912C0A">
        <w:rPr>
          <w:sz w:val="20"/>
        </w:rPr>
        <w:t>ppmv</w:t>
      </w:r>
      <w:proofErr w:type="spellEnd"/>
      <w:r w:rsidRPr="00912C0A">
        <w:rPr>
          <w:sz w:val="20"/>
        </w:rPr>
        <w:t xml:space="preserve"> as methane above background measured using EPA Method 21</w:t>
      </w:r>
    </w:p>
    <w:p w:rsidR="00912C0A" w:rsidRPr="00912C0A" w:rsidRDefault="00912C0A" w:rsidP="00971616">
      <w:pPr>
        <w:pStyle w:val="ListParagraph"/>
        <w:numPr>
          <w:ilvl w:val="0"/>
          <w:numId w:val="6"/>
        </w:numPr>
        <w:ind w:left="1080"/>
        <w:rPr>
          <w:sz w:val="20"/>
        </w:rPr>
      </w:pPr>
      <w:r w:rsidRPr="00912C0A">
        <w:rPr>
          <w:b/>
          <w:sz w:val="20"/>
        </w:rPr>
        <w:t>Major leak</w:t>
      </w:r>
      <w:r w:rsidRPr="00912C0A">
        <w:rPr>
          <w:sz w:val="20"/>
        </w:rPr>
        <w:t xml:space="preserve">” means the detection of total gaseous hydrocarbons in excess of 10,000 </w:t>
      </w:r>
      <w:proofErr w:type="spellStart"/>
      <w:r w:rsidRPr="00912C0A">
        <w:rPr>
          <w:sz w:val="20"/>
        </w:rPr>
        <w:t>ppmv</w:t>
      </w:r>
      <w:proofErr w:type="spellEnd"/>
      <w:r w:rsidRPr="00912C0A">
        <w:rPr>
          <w:sz w:val="20"/>
        </w:rPr>
        <w:t xml:space="preserve"> as methane above background measured using EPA Method 21</w:t>
      </w:r>
    </w:p>
    <w:p w:rsidR="00912C0A" w:rsidRPr="00912C0A" w:rsidRDefault="00912C0A" w:rsidP="00971616">
      <w:pPr>
        <w:pStyle w:val="ListParagraph"/>
        <w:numPr>
          <w:ilvl w:val="0"/>
          <w:numId w:val="6"/>
        </w:numPr>
        <w:ind w:left="1080"/>
        <w:rPr>
          <w:sz w:val="20"/>
        </w:rPr>
      </w:pPr>
      <w:r w:rsidRPr="00912C0A">
        <w:rPr>
          <w:sz w:val="20"/>
        </w:rPr>
        <w:t xml:space="preserve">(A) </w:t>
      </w:r>
      <w:r w:rsidRPr="00912C0A">
        <w:rPr>
          <w:b/>
          <w:sz w:val="20"/>
        </w:rPr>
        <w:t>Fugitive leaks</w:t>
      </w:r>
      <w:r w:rsidRPr="00912C0A">
        <w:rPr>
          <w:sz w:val="20"/>
        </w:rPr>
        <w:t xml:space="preserve"> with a measured total hydrocarbon concentration </w:t>
      </w:r>
      <w:r w:rsidRPr="00912C0A">
        <w:rPr>
          <w:b/>
          <w:sz w:val="20"/>
        </w:rPr>
        <w:t xml:space="preserve">above 1,000 </w:t>
      </w:r>
      <w:proofErr w:type="spellStart"/>
      <w:r w:rsidRPr="00912C0A">
        <w:rPr>
          <w:b/>
          <w:sz w:val="20"/>
        </w:rPr>
        <w:t>ppmv</w:t>
      </w:r>
      <w:proofErr w:type="spellEnd"/>
      <w:r w:rsidRPr="00912C0A">
        <w:rPr>
          <w:sz w:val="20"/>
        </w:rPr>
        <w:t xml:space="preserve"> but not greater than 10,000 </w:t>
      </w:r>
      <w:proofErr w:type="spellStart"/>
      <w:r w:rsidRPr="00912C0A">
        <w:rPr>
          <w:sz w:val="20"/>
        </w:rPr>
        <w:t>ppmv</w:t>
      </w:r>
      <w:proofErr w:type="spellEnd"/>
      <w:r w:rsidRPr="00912C0A">
        <w:rPr>
          <w:sz w:val="20"/>
        </w:rPr>
        <w:t xml:space="preserve"> shall be successfully </w:t>
      </w:r>
      <w:r w:rsidRPr="00912C0A">
        <w:rPr>
          <w:sz w:val="20"/>
          <w:u w:val="single"/>
        </w:rPr>
        <w:t>repaired or removed from service within seven (7) calendar days</w:t>
      </w:r>
      <w:r w:rsidRPr="00912C0A">
        <w:rPr>
          <w:sz w:val="20"/>
        </w:rPr>
        <w:t xml:space="preserve"> of initial leak detection. </w:t>
      </w:r>
    </w:p>
    <w:p w:rsidR="00912C0A" w:rsidRPr="00912C0A" w:rsidRDefault="00912C0A" w:rsidP="00971616">
      <w:pPr>
        <w:pStyle w:val="ListParagraph"/>
        <w:numPr>
          <w:ilvl w:val="0"/>
          <w:numId w:val="6"/>
        </w:numPr>
        <w:ind w:left="1080"/>
        <w:rPr>
          <w:sz w:val="20"/>
        </w:rPr>
      </w:pPr>
      <w:r w:rsidRPr="00912C0A">
        <w:rPr>
          <w:sz w:val="20"/>
        </w:rPr>
        <w:t xml:space="preserve">(B) </w:t>
      </w:r>
      <w:r w:rsidRPr="00912C0A">
        <w:rPr>
          <w:b/>
          <w:sz w:val="20"/>
        </w:rPr>
        <w:t>Fugitive leaks</w:t>
      </w:r>
      <w:r w:rsidRPr="00912C0A">
        <w:rPr>
          <w:sz w:val="20"/>
        </w:rPr>
        <w:t xml:space="preserve"> with a measured total hydrocarbon concentration </w:t>
      </w:r>
      <w:r w:rsidRPr="00912C0A">
        <w:rPr>
          <w:b/>
          <w:sz w:val="20"/>
        </w:rPr>
        <w:t xml:space="preserve">above 10,000 </w:t>
      </w:r>
      <w:proofErr w:type="spellStart"/>
      <w:r w:rsidRPr="00912C0A">
        <w:rPr>
          <w:b/>
          <w:sz w:val="20"/>
        </w:rPr>
        <w:t>ppmv</w:t>
      </w:r>
      <w:proofErr w:type="spellEnd"/>
      <w:r w:rsidRPr="00912C0A">
        <w:rPr>
          <w:sz w:val="20"/>
        </w:rPr>
        <w:t xml:space="preserve"> shall be successfully </w:t>
      </w:r>
      <w:r w:rsidRPr="00912C0A">
        <w:rPr>
          <w:sz w:val="20"/>
          <w:u w:val="single"/>
        </w:rPr>
        <w:t>repaired or removed from service within three (3) business days</w:t>
      </w:r>
      <w:r w:rsidRPr="00912C0A">
        <w:rPr>
          <w:sz w:val="20"/>
        </w:rPr>
        <w:t xml:space="preserve"> of initial leak detection. </w:t>
      </w:r>
    </w:p>
    <w:p w:rsidR="00912C0A" w:rsidRPr="00912C0A" w:rsidRDefault="00912C0A" w:rsidP="00971616">
      <w:pPr>
        <w:pStyle w:val="ListParagraph"/>
        <w:numPr>
          <w:ilvl w:val="0"/>
          <w:numId w:val="6"/>
        </w:numPr>
        <w:ind w:left="1080"/>
        <w:rPr>
          <w:sz w:val="20"/>
        </w:rPr>
      </w:pPr>
      <w:r w:rsidRPr="00912C0A">
        <w:rPr>
          <w:sz w:val="20"/>
        </w:rPr>
        <w:t xml:space="preserve">(C) </w:t>
      </w:r>
      <w:r w:rsidRPr="00912C0A">
        <w:rPr>
          <w:b/>
          <w:sz w:val="20"/>
        </w:rPr>
        <w:t>Fugitive leaks</w:t>
      </w:r>
      <w:r w:rsidRPr="00912C0A">
        <w:rPr>
          <w:sz w:val="20"/>
        </w:rPr>
        <w:t xml:space="preserve"> with a measured total hydrocarbon concentration </w:t>
      </w:r>
      <w:r w:rsidRPr="00912C0A">
        <w:rPr>
          <w:b/>
          <w:sz w:val="20"/>
        </w:rPr>
        <w:t xml:space="preserve">above 50,000 </w:t>
      </w:r>
      <w:proofErr w:type="spellStart"/>
      <w:r w:rsidRPr="00912C0A">
        <w:rPr>
          <w:b/>
          <w:sz w:val="20"/>
        </w:rPr>
        <w:t>ppmv</w:t>
      </w:r>
      <w:proofErr w:type="spellEnd"/>
      <w:r w:rsidRPr="00912C0A">
        <w:rPr>
          <w:sz w:val="20"/>
        </w:rPr>
        <w:t xml:space="preserve"> shall be </w:t>
      </w:r>
      <w:r w:rsidRPr="00912C0A">
        <w:rPr>
          <w:sz w:val="20"/>
          <w:u w:val="single"/>
        </w:rPr>
        <w:t>successfully repaired within two (2) calendar days</w:t>
      </w:r>
      <w:r>
        <w:rPr>
          <w:sz w:val="20"/>
          <w:u w:val="single"/>
        </w:rPr>
        <w:t>.</w:t>
      </w:r>
    </w:p>
    <w:p w:rsidR="00874522" w:rsidRDefault="00874522" w:rsidP="00971616">
      <w:pPr>
        <w:ind w:left="360"/>
      </w:pPr>
    </w:p>
    <w:p w:rsidR="00EC6B46" w:rsidRDefault="00912C0A" w:rsidP="00971616">
      <w:pPr>
        <w:ind w:left="360"/>
      </w:pPr>
      <w:r>
        <w:t xml:space="preserve">California utilities are still working with CARB staff to </w:t>
      </w:r>
      <w:r w:rsidR="005A6240">
        <w:t xml:space="preserve">refine </w:t>
      </w:r>
      <w:r>
        <w:t>the regulation language and accompanying leak thres</w:t>
      </w:r>
      <w:r w:rsidR="005C76AF">
        <w:t>holds.  The rule language is not expected to be finalized prior to the time facilities must elect to participate in the Methane Challenge.  As noted earlier in our comments, utilities implementing the CARB (or any other state) reduction requirements should also be able to implement it as an acceptable BMP for the Methane Challenge program.</w:t>
      </w:r>
    </w:p>
    <w:p w:rsidR="005C76AF" w:rsidRDefault="005C76AF" w:rsidP="00874522"/>
    <w:p w:rsidR="005C76AF" w:rsidRDefault="005C76AF" w:rsidP="00874522"/>
    <w:p w:rsidR="00874522" w:rsidRPr="00971616" w:rsidRDefault="00874522" w:rsidP="00874522">
      <w:pPr>
        <w:rPr>
          <w:b/>
          <w:u w:val="single"/>
        </w:rPr>
      </w:pPr>
      <w:r w:rsidRPr="00971616">
        <w:rPr>
          <w:b/>
          <w:u w:val="single"/>
        </w:rPr>
        <w:t xml:space="preserve">Pipeline Venting &amp; Blowdowns </w:t>
      </w:r>
    </w:p>
    <w:p w:rsidR="00874522" w:rsidRDefault="005C76AF" w:rsidP="00874522">
      <w:r w:rsidRPr="00171531">
        <w:rPr>
          <w:i/>
        </w:rPr>
        <w:t xml:space="preserve">Proposed BMP: </w:t>
      </w:r>
      <w:r w:rsidR="00874522" w:rsidRPr="005C76AF">
        <w:rPr>
          <w:i/>
        </w:rPr>
        <w:t>Maximize gas recovery and/or emission reductions through the use of a combination of inline compression (when available) to maximum engineering potential, and route remaining gas to portable compression or flare. Excludes emergency blowdown situations</w:t>
      </w:r>
    </w:p>
    <w:p w:rsidR="00874522" w:rsidRDefault="00874522" w:rsidP="00874522"/>
    <w:p w:rsidR="005C76AF" w:rsidRDefault="005C76AF" w:rsidP="00971616">
      <w:pPr>
        <w:ind w:left="432"/>
      </w:pPr>
      <w:r w:rsidRPr="00E6644C">
        <w:rPr>
          <w:b/>
        </w:rPr>
        <w:t>Comment:</w:t>
      </w:r>
      <w:r w:rsidR="00E6644C">
        <w:t xml:space="preserve"> Individual utilities will need to </w:t>
      </w:r>
      <w:r w:rsidR="00F74B4E">
        <w:t xml:space="preserve">determine on their own the </w:t>
      </w:r>
      <w:r w:rsidR="00E6644C">
        <w:t>cost-effectiveness and feasibility of this proposed BMP</w:t>
      </w:r>
      <w:r w:rsidR="00F74B4E">
        <w:t>, since</w:t>
      </w:r>
      <w:r w:rsidR="00E6644C">
        <w:t xml:space="preserve"> it is often not feasible to route gas from a high-pressure transmission pipeline to a</w:t>
      </w:r>
      <w:r w:rsidR="004A5F19">
        <w:t>n emission</w:t>
      </w:r>
      <w:r w:rsidR="00E6644C">
        <w:t xml:space="preserve"> control device. Also the costs associated with mobilizing portable emissions control equipment, as well as the impact of releasing criteria pollutants into the atmosphere in exchange for methane reductions should be rigorously evaluated in advance.   </w:t>
      </w:r>
    </w:p>
    <w:p w:rsidR="005C76AF" w:rsidRDefault="005C76AF" w:rsidP="00874522"/>
    <w:p w:rsidR="006958E7" w:rsidRDefault="006958E7" w:rsidP="003F0FD5">
      <w:pPr>
        <w:jc w:val="center"/>
        <w:rPr>
          <w:b/>
        </w:rPr>
      </w:pPr>
    </w:p>
    <w:p w:rsidR="006958E7" w:rsidRDefault="006958E7" w:rsidP="003F0FD5">
      <w:pPr>
        <w:jc w:val="center"/>
        <w:rPr>
          <w:b/>
        </w:rPr>
      </w:pPr>
    </w:p>
    <w:p w:rsidR="00E6644C" w:rsidRDefault="00971616" w:rsidP="003F0FD5">
      <w:pPr>
        <w:jc w:val="center"/>
        <w:rPr>
          <w:b/>
        </w:rPr>
      </w:pPr>
      <w:r>
        <w:rPr>
          <w:b/>
        </w:rPr>
        <w:t>DISTRIBUTION OPERATIONS</w:t>
      </w:r>
    </w:p>
    <w:p w:rsidR="00971616" w:rsidRDefault="00971616" w:rsidP="00874522">
      <w:pPr>
        <w:rPr>
          <w:b/>
        </w:rPr>
      </w:pPr>
    </w:p>
    <w:p w:rsidR="000C12E2" w:rsidRPr="00971616" w:rsidRDefault="000C12E2" w:rsidP="00874522">
      <w:pPr>
        <w:rPr>
          <w:b/>
          <w:u w:val="single"/>
        </w:rPr>
      </w:pPr>
      <w:r w:rsidRPr="00971616">
        <w:rPr>
          <w:b/>
          <w:u w:val="single"/>
        </w:rPr>
        <w:t xml:space="preserve">Pneumatic Controllers </w:t>
      </w:r>
    </w:p>
    <w:p w:rsidR="000C12E2" w:rsidRPr="00E6644C" w:rsidRDefault="00E6644C" w:rsidP="00874522">
      <w:pPr>
        <w:rPr>
          <w:i/>
        </w:rPr>
      </w:pPr>
      <w:r>
        <w:rPr>
          <w:i/>
        </w:rPr>
        <w:t>Proposed BMP:</w:t>
      </w:r>
      <w:r>
        <w:rPr>
          <w:i/>
        </w:rPr>
        <w:tab/>
      </w:r>
      <w:r w:rsidR="000C12E2" w:rsidRPr="00E6644C">
        <w:rPr>
          <w:i/>
        </w:rPr>
        <w:t>For gas-driven pneumatic controllers, use low- (defined as gas bleed rate &lt; 6 standard cubic feet/hour) or no-bleed controllers for all applications except those requiring high-bleed controllers for certain purposes, including operational requirements and safety</w:t>
      </w:r>
    </w:p>
    <w:p w:rsidR="000C12E2" w:rsidRDefault="000C12E2" w:rsidP="00874522"/>
    <w:p w:rsidR="004A5F19" w:rsidRDefault="00C56EC4" w:rsidP="00971616">
      <w:pPr>
        <w:ind w:left="360"/>
      </w:pPr>
      <w:r w:rsidRPr="00C56EC4">
        <w:rPr>
          <w:b/>
        </w:rPr>
        <w:t>Comment:</w:t>
      </w:r>
      <w:r>
        <w:tab/>
      </w:r>
      <w:r w:rsidR="00971616" w:rsidRPr="00971616">
        <w:t>BMPs may also include</w:t>
      </w:r>
      <w:r w:rsidR="00971616">
        <w:t xml:space="preserve">: </w:t>
      </w:r>
    </w:p>
    <w:p w:rsidR="00971616" w:rsidRDefault="00971616" w:rsidP="00971616">
      <w:pPr>
        <w:pStyle w:val="ListParagraph"/>
        <w:numPr>
          <w:ilvl w:val="0"/>
          <w:numId w:val="7"/>
        </w:numPr>
        <w:ind w:left="1080"/>
      </w:pPr>
      <w:r>
        <w:t xml:space="preserve">Proper characterization of regulator/controller inventory and </w:t>
      </w:r>
      <w:r w:rsidRPr="00AF4A6E">
        <w:t>actual bleed rates</w:t>
      </w:r>
      <w:r>
        <w:t xml:space="preserve"> (these may often vary from rates in manufactures literature);</w:t>
      </w:r>
    </w:p>
    <w:p w:rsidR="00971616" w:rsidRDefault="00971616" w:rsidP="00971616">
      <w:pPr>
        <w:pStyle w:val="ListParagraph"/>
        <w:numPr>
          <w:ilvl w:val="0"/>
          <w:numId w:val="7"/>
        </w:numPr>
        <w:ind w:left="1080"/>
      </w:pPr>
      <w:r>
        <w:t>P</w:t>
      </w:r>
      <w:r w:rsidRPr="00AF4A6E">
        <w:t>roperly categorize highest methane emission equipment</w:t>
      </w:r>
      <w:r>
        <w:t>;</w:t>
      </w:r>
    </w:p>
    <w:p w:rsidR="00971616" w:rsidRDefault="00971616" w:rsidP="00971616">
      <w:pPr>
        <w:pStyle w:val="ListParagraph"/>
        <w:numPr>
          <w:ilvl w:val="0"/>
          <w:numId w:val="7"/>
        </w:numPr>
        <w:ind w:left="1080"/>
      </w:pPr>
      <w:r>
        <w:t>Implement plan to systematically replace highest emissions sources</w:t>
      </w:r>
    </w:p>
    <w:p w:rsidR="004A5F19" w:rsidRDefault="00971616" w:rsidP="00971616">
      <w:pPr>
        <w:pStyle w:val="ListParagraph"/>
        <w:numPr>
          <w:ilvl w:val="0"/>
          <w:numId w:val="7"/>
        </w:numPr>
        <w:ind w:left="1080"/>
      </w:pPr>
      <w:r>
        <w:t>Specify low-bleed controllers for future equipment purchases</w:t>
      </w:r>
    </w:p>
    <w:p w:rsidR="00820DF2" w:rsidRDefault="00820DF2"/>
    <w:p w:rsidR="00445CCD" w:rsidRPr="00971616" w:rsidRDefault="00445CCD">
      <w:pPr>
        <w:rPr>
          <w:b/>
          <w:u w:val="single"/>
        </w:rPr>
      </w:pPr>
      <w:r w:rsidRPr="00971616">
        <w:rPr>
          <w:b/>
          <w:u w:val="single"/>
        </w:rPr>
        <w:t xml:space="preserve">M&amp;R Stations/ City Gates </w:t>
      </w:r>
    </w:p>
    <w:p w:rsidR="00445CCD" w:rsidRPr="00971616" w:rsidRDefault="00971616">
      <w:pPr>
        <w:rPr>
          <w:i/>
        </w:rPr>
      </w:pPr>
      <w:r w:rsidRPr="00971616">
        <w:rPr>
          <w:i/>
        </w:rPr>
        <w:t>Proposed BMP:</w:t>
      </w:r>
      <w:r w:rsidRPr="00971616">
        <w:rPr>
          <w:i/>
        </w:rPr>
        <w:tab/>
      </w:r>
      <w:r w:rsidR="00445CCD" w:rsidRPr="00971616">
        <w:rPr>
          <w:i/>
        </w:rPr>
        <w:t>Undertake monitoring and repair activities, at specified minimum intervals, following defined parameters governing repair activities.</w:t>
      </w:r>
    </w:p>
    <w:p w:rsidR="00820DF2" w:rsidRPr="00971616" w:rsidRDefault="00820DF2">
      <w:pPr>
        <w:rPr>
          <w:i/>
        </w:rPr>
      </w:pPr>
    </w:p>
    <w:p w:rsidR="00AF4A6E" w:rsidRDefault="00AF4A6E" w:rsidP="00971616">
      <w:pPr>
        <w:ind w:left="360"/>
      </w:pPr>
      <w:r w:rsidRPr="004A5F19">
        <w:rPr>
          <w:b/>
        </w:rPr>
        <w:t>Comment:</w:t>
      </w:r>
      <w:r>
        <w:t xml:space="preserve"> BMPs may also include:</w:t>
      </w:r>
    </w:p>
    <w:p w:rsidR="004A5F19" w:rsidRDefault="00AF4A6E" w:rsidP="00971616">
      <w:pPr>
        <w:pStyle w:val="ListParagraph"/>
        <w:numPr>
          <w:ilvl w:val="0"/>
          <w:numId w:val="4"/>
        </w:numPr>
        <w:ind w:left="1080"/>
      </w:pPr>
      <w:r>
        <w:t xml:space="preserve">Proper characterization of regulator/controller inventory and </w:t>
      </w:r>
      <w:r w:rsidRPr="00AF4A6E">
        <w:t>actual bleed rates</w:t>
      </w:r>
      <w:r>
        <w:t xml:space="preserve"> (these may often vary from rates in manufacture</w:t>
      </w:r>
      <w:r w:rsidR="00F74B4E">
        <w:t>r’</w:t>
      </w:r>
      <w:r>
        <w:t>s liter</w:t>
      </w:r>
      <w:r w:rsidR="004A5F19">
        <w:t>ature;</w:t>
      </w:r>
    </w:p>
    <w:p w:rsidR="00AF4A6E" w:rsidRDefault="004A5F19" w:rsidP="00971616">
      <w:pPr>
        <w:pStyle w:val="ListParagraph"/>
        <w:numPr>
          <w:ilvl w:val="0"/>
          <w:numId w:val="4"/>
        </w:numPr>
        <w:ind w:left="1080"/>
      </w:pPr>
      <w:r>
        <w:t>P</w:t>
      </w:r>
      <w:r w:rsidR="00AF4A6E" w:rsidRPr="00AF4A6E">
        <w:t>roperly categorize highest methane emission equipment</w:t>
      </w:r>
      <w:r>
        <w:t>;</w:t>
      </w:r>
    </w:p>
    <w:p w:rsidR="004A5F19" w:rsidRDefault="004A5F19" w:rsidP="00971616">
      <w:pPr>
        <w:pStyle w:val="ListParagraph"/>
        <w:numPr>
          <w:ilvl w:val="0"/>
          <w:numId w:val="4"/>
        </w:numPr>
        <w:ind w:left="1080"/>
      </w:pPr>
      <w:r>
        <w:t>Implement plan to systematically reduce highest emissions sources</w:t>
      </w:r>
    </w:p>
    <w:p w:rsidR="004A5F19" w:rsidRDefault="004A5F19">
      <w:pPr>
        <w:rPr>
          <w:b/>
        </w:rPr>
      </w:pPr>
    </w:p>
    <w:p w:rsidR="00445CCD" w:rsidRPr="00971616" w:rsidRDefault="00445CCD">
      <w:pPr>
        <w:rPr>
          <w:u w:val="single"/>
        </w:rPr>
      </w:pPr>
      <w:r w:rsidRPr="00971616">
        <w:rPr>
          <w:b/>
          <w:u w:val="single"/>
        </w:rPr>
        <w:t>Mains – Cast Iron, Unprotected Steel</w:t>
      </w:r>
      <w:r w:rsidRPr="00971616">
        <w:rPr>
          <w:u w:val="single"/>
        </w:rPr>
        <w:t xml:space="preserve"> </w:t>
      </w:r>
    </w:p>
    <w:p w:rsidR="00820DF2" w:rsidRPr="00436790" w:rsidRDefault="004A5F19">
      <w:pPr>
        <w:rPr>
          <w:i/>
        </w:rPr>
      </w:pPr>
      <w:r w:rsidRPr="00436790">
        <w:rPr>
          <w:i/>
        </w:rPr>
        <w:t>Proposed BMP:</w:t>
      </w:r>
      <w:r w:rsidRPr="00436790">
        <w:rPr>
          <w:i/>
        </w:rPr>
        <w:tab/>
      </w:r>
      <w:r w:rsidR="00445CCD" w:rsidRPr="00436790">
        <w:rPr>
          <w:i/>
        </w:rPr>
        <w:t xml:space="preserve">Replace/line/seal cast iron pipes or replace/cathodically </w:t>
      </w:r>
      <w:proofErr w:type="gramStart"/>
      <w:r w:rsidR="00445CCD" w:rsidRPr="00436790">
        <w:rPr>
          <w:i/>
        </w:rPr>
        <w:t>protect</w:t>
      </w:r>
      <w:proofErr w:type="gramEnd"/>
      <w:r w:rsidR="00445CCD" w:rsidRPr="00436790">
        <w:rPr>
          <w:i/>
        </w:rPr>
        <w:t xml:space="preserve"> unprotected steel pipes at a specified annual rate.</w:t>
      </w:r>
    </w:p>
    <w:p w:rsidR="00820DF2" w:rsidRDefault="00820DF2"/>
    <w:p w:rsidR="004A5F19" w:rsidRDefault="00971616" w:rsidP="00971616">
      <w:pPr>
        <w:ind w:left="432"/>
      </w:pPr>
      <w:r w:rsidRPr="00971616">
        <w:rPr>
          <w:b/>
        </w:rPr>
        <w:t>Comment:</w:t>
      </w:r>
      <w:r>
        <w:tab/>
        <w:t xml:space="preserve">Specify that </w:t>
      </w:r>
      <w:r w:rsidR="00F74B4E">
        <w:t>CPUC-</w:t>
      </w:r>
      <w:r>
        <w:t>approved replacement rate qualif</w:t>
      </w:r>
      <w:r w:rsidR="00F74B4E">
        <w:t>ies</w:t>
      </w:r>
      <w:r>
        <w:t xml:space="preserve"> as </w:t>
      </w:r>
      <w:r w:rsidR="00F74B4E">
        <w:t xml:space="preserve">a </w:t>
      </w:r>
      <w:r>
        <w:t>BMP until utility can seek approval for updated replacement rate?</w:t>
      </w:r>
    </w:p>
    <w:p w:rsidR="00971616" w:rsidRDefault="00971616"/>
    <w:p w:rsidR="00971616" w:rsidRDefault="00971616"/>
    <w:p w:rsidR="004A5F19" w:rsidRPr="00971616" w:rsidRDefault="00445CCD">
      <w:pPr>
        <w:rPr>
          <w:u w:val="single"/>
        </w:rPr>
      </w:pPr>
      <w:r w:rsidRPr="00971616">
        <w:rPr>
          <w:b/>
          <w:u w:val="single"/>
        </w:rPr>
        <w:t>Services</w:t>
      </w:r>
    </w:p>
    <w:p w:rsidR="00445CCD" w:rsidRPr="00436790" w:rsidRDefault="004A5F19">
      <w:pPr>
        <w:rPr>
          <w:i/>
        </w:rPr>
      </w:pPr>
      <w:r w:rsidRPr="00436790">
        <w:rPr>
          <w:i/>
        </w:rPr>
        <w:t>Proposed BMP:</w:t>
      </w:r>
      <w:r w:rsidRPr="00436790">
        <w:rPr>
          <w:i/>
        </w:rPr>
        <w:tab/>
      </w:r>
      <w:r w:rsidR="00445CCD" w:rsidRPr="00436790">
        <w:rPr>
          <w:i/>
        </w:rPr>
        <w:t>Evaluation of BMPs in progress</w:t>
      </w:r>
    </w:p>
    <w:p w:rsidR="00C56EC4" w:rsidRDefault="00C56EC4">
      <w:pPr>
        <w:rPr>
          <w:b/>
        </w:rPr>
      </w:pPr>
    </w:p>
    <w:p w:rsidR="004A5F19" w:rsidRDefault="004A5F19" w:rsidP="00971616">
      <w:pPr>
        <w:ind w:left="432"/>
      </w:pPr>
      <w:r w:rsidRPr="00C56EC4">
        <w:rPr>
          <w:b/>
        </w:rPr>
        <w:t>Comment:</w:t>
      </w:r>
      <w:r>
        <w:tab/>
      </w:r>
      <w:r w:rsidR="00C56EC4">
        <w:t>See</w:t>
      </w:r>
      <w:r>
        <w:t xml:space="preserve">k to capture </w:t>
      </w:r>
      <w:r w:rsidR="00C56EC4">
        <w:t>gas</w:t>
      </w:r>
      <w:r>
        <w:t xml:space="preserve"> during </w:t>
      </w:r>
      <w:r w:rsidRPr="004A5F19">
        <w:t>abandonment</w:t>
      </w:r>
      <w:r w:rsidR="00C56EC4">
        <w:t xml:space="preserve"> </w:t>
      </w:r>
      <w:r w:rsidR="00C56EC4" w:rsidRPr="00C56EC4">
        <w:t>of existing high pressure services</w:t>
      </w:r>
      <w:r w:rsidRPr="004A5F19">
        <w:t>, capture gas being purged</w:t>
      </w:r>
    </w:p>
    <w:p w:rsidR="00C56EC4" w:rsidRDefault="00C56EC4">
      <w:pPr>
        <w:rPr>
          <w:b/>
        </w:rPr>
      </w:pPr>
    </w:p>
    <w:p w:rsidR="00445CCD" w:rsidRPr="00971616" w:rsidRDefault="00445CCD">
      <w:pPr>
        <w:rPr>
          <w:u w:val="single"/>
        </w:rPr>
      </w:pPr>
      <w:r w:rsidRPr="00971616">
        <w:rPr>
          <w:b/>
          <w:u w:val="single"/>
        </w:rPr>
        <w:t>High-Pressure Pipe Blowdowns</w:t>
      </w:r>
      <w:r w:rsidRPr="00971616">
        <w:rPr>
          <w:u w:val="single"/>
        </w:rPr>
        <w:t xml:space="preserve"> </w:t>
      </w:r>
    </w:p>
    <w:p w:rsidR="00445CCD" w:rsidRPr="00436790" w:rsidRDefault="00F4356E">
      <w:pPr>
        <w:rPr>
          <w:i/>
        </w:rPr>
      </w:pPr>
      <w:r w:rsidRPr="00436790">
        <w:rPr>
          <w:i/>
        </w:rPr>
        <w:t xml:space="preserve">Proposed BMP:  </w:t>
      </w:r>
      <w:r w:rsidR="00445CCD" w:rsidRPr="00436790">
        <w:rPr>
          <w:i/>
        </w:rPr>
        <w:t>Maximize gas recovery and/or emission reductions through gas capture/use, flaring, hot tapping, and/or squeezing.</w:t>
      </w:r>
    </w:p>
    <w:p w:rsidR="00C56EC4" w:rsidRDefault="00C56EC4"/>
    <w:p w:rsidR="00C56EC4" w:rsidRDefault="00C56EC4" w:rsidP="00971616">
      <w:pPr>
        <w:ind w:left="432"/>
      </w:pPr>
      <w:r w:rsidRPr="00C56EC4">
        <w:rPr>
          <w:b/>
        </w:rPr>
        <w:t>Comment:</w:t>
      </w:r>
      <w:r w:rsidRPr="00C56EC4">
        <w:rPr>
          <w:b/>
        </w:rPr>
        <w:tab/>
      </w:r>
      <w:r w:rsidRPr="00C56EC4">
        <w:t>Individual utilities will need to evaluate cost-effectiveness and feasibility of this proposed BMP; it is often not feasible to route gas from a high-pressure transmission pipeline to an emission control device. Also the costs associated with mobilizing portable emissions control equipment, as well as the impact of releasing criteria pollutants into the atmosphere in exchange for methane reductions should be rigorously evaluated in advance</w:t>
      </w:r>
    </w:p>
    <w:p w:rsidR="00C56EC4" w:rsidRDefault="00C56EC4"/>
    <w:p w:rsidR="00445CCD" w:rsidRPr="00971616" w:rsidRDefault="00445CCD">
      <w:pPr>
        <w:rPr>
          <w:u w:val="single"/>
        </w:rPr>
      </w:pPr>
      <w:r w:rsidRPr="00971616">
        <w:rPr>
          <w:b/>
          <w:u w:val="single"/>
        </w:rPr>
        <w:t>Excavation Damages</w:t>
      </w:r>
      <w:r w:rsidRPr="00971616">
        <w:rPr>
          <w:u w:val="single"/>
        </w:rPr>
        <w:t xml:space="preserve"> </w:t>
      </w:r>
    </w:p>
    <w:p w:rsidR="00820DF2" w:rsidRPr="00C56EC4" w:rsidRDefault="00C56EC4">
      <w:pPr>
        <w:rPr>
          <w:i/>
        </w:rPr>
      </w:pPr>
      <w:r w:rsidRPr="00C56EC4">
        <w:rPr>
          <w:i/>
        </w:rPr>
        <w:t>Proposed BMP:</w:t>
      </w:r>
      <w:r w:rsidRPr="00C56EC4">
        <w:rPr>
          <w:i/>
        </w:rPr>
        <w:tab/>
      </w:r>
      <w:r w:rsidR="00445CCD" w:rsidRPr="00C56EC4">
        <w:rPr>
          <w:i/>
        </w:rPr>
        <w:t>Reduce damages at target rate per thousand locate calls and shorten average time to shut-in for all damages by a minimum percentage</w:t>
      </w:r>
    </w:p>
    <w:p w:rsidR="00AF4A6E" w:rsidRDefault="00AF4A6E"/>
    <w:p w:rsidR="00AF4A6E" w:rsidRDefault="00C56EC4" w:rsidP="00971616">
      <w:pPr>
        <w:ind w:left="360"/>
      </w:pPr>
      <w:r w:rsidRPr="00C56EC4">
        <w:rPr>
          <w:b/>
        </w:rPr>
        <w:t>Comment:</w:t>
      </w:r>
      <w:r w:rsidRPr="00C56EC4">
        <w:rPr>
          <w:b/>
        </w:rPr>
        <w:tab/>
      </w:r>
      <w:r w:rsidR="00AF4A6E">
        <w:t xml:space="preserve">Since excavation damages are largely out of the </w:t>
      </w:r>
      <w:r w:rsidR="00F74B4E">
        <w:t xml:space="preserve">utility’s </w:t>
      </w:r>
      <w:r w:rsidR="00AF4A6E">
        <w:t>control</w:t>
      </w:r>
      <w:r w:rsidR="00F74B4E">
        <w:t>,</w:t>
      </w:r>
      <w:r w:rsidR="00AF4A6E">
        <w:t xml:space="preserve"> implementation of </w:t>
      </w:r>
      <w:r w:rsidR="00F74B4E">
        <w:t xml:space="preserve">this </w:t>
      </w:r>
      <w:r w:rsidR="00AF4A6E">
        <w:t>BMP could include the following:</w:t>
      </w:r>
    </w:p>
    <w:p w:rsidR="00AF4A6E" w:rsidRDefault="00AF4A6E" w:rsidP="00971616">
      <w:pPr>
        <w:pStyle w:val="ListParagraph"/>
        <w:numPr>
          <w:ilvl w:val="0"/>
          <w:numId w:val="4"/>
        </w:numPr>
        <w:ind w:left="1080"/>
      </w:pPr>
      <w:r>
        <w:t xml:space="preserve">Documented </w:t>
      </w:r>
      <w:r w:rsidRPr="00AF4A6E">
        <w:t>strategies to educate customers, contractors, and the general public on excavation safety</w:t>
      </w:r>
      <w:r>
        <w:t>;</w:t>
      </w:r>
    </w:p>
    <w:p w:rsidR="00AF4A6E" w:rsidRDefault="00AF4A6E" w:rsidP="00971616">
      <w:pPr>
        <w:pStyle w:val="ListParagraph"/>
        <w:numPr>
          <w:ilvl w:val="0"/>
          <w:numId w:val="4"/>
        </w:numPr>
        <w:ind w:left="1080"/>
      </w:pPr>
      <w:r>
        <w:t>Efforts to enforce penalties on offenders (or repeat offenders)</w:t>
      </w:r>
    </w:p>
    <w:p w:rsidR="00584D13" w:rsidRDefault="00C56EC4" w:rsidP="00971616">
      <w:pPr>
        <w:pStyle w:val="ListParagraph"/>
        <w:numPr>
          <w:ilvl w:val="0"/>
          <w:numId w:val="4"/>
        </w:numPr>
        <w:ind w:left="1080"/>
      </w:pPr>
      <w:r>
        <w:t xml:space="preserve">Improve </w:t>
      </w:r>
      <w:r w:rsidRPr="00C56EC4">
        <w:t>locate and mark programs to guarantee proper marking</w:t>
      </w:r>
    </w:p>
    <w:p w:rsidR="00AF4A6E" w:rsidRDefault="00436790" w:rsidP="00584D13">
      <w:pPr>
        <w:pStyle w:val="ListParagraph"/>
        <w:numPr>
          <w:ilvl w:val="0"/>
          <w:numId w:val="4"/>
        </w:numPr>
        <w:ind w:left="1080"/>
      </w:pPr>
      <w:r>
        <w:t xml:space="preserve">Consider </w:t>
      </w:r>
      <w:r w:rsidRPr="00436790">
        <w:t xml:space="preserve">increasing standby monitoring for high risk areas or repeat offenders </w:t>
      </w:r>
    </w:p>
    <w:p w:rsidR="00584D13" w:rsidRDefault="00584D13">
      <w:pPr>
        <w:rPr>
          <w:b/>
        </w:rPr>
      </w:pPr>
    </w:p>
    <w:p w:rsidR="00584D13" w:rsidRDefault="00584D13">
      <w:pPr>
        <w:rPr>
          <w:b/>
        </w:rPr>
      </w:pPr>
    </w:p>
    <w:p w:rsidR="00F4356E" w:rsidRPr="00436790" w:rsidRDefault="00F4356E">
      <w:pPr>
        <w:rPr>
          <w:b/>
        </w:rPr>
      </w:pPr>
      <w:r w:rsidRPr="00436790">
        <w:rPr>
          <w:b/>
        </w:rPr>
        <w:t xml:space="preserve">Additional BMP Consideration: </w:t>
      </w:r>
    </w:p>
    <w:p w:rsidR="00AF4A6E" w:rsidRPr="00436790" w:rsidRDefault="00F4356E">
      <w:r w:rsidRPr="00436790">
        <w:t>Residential/Commercial and Industrial Meter Set Assembly (MSA)</w:t>
      </w:r>
    </w:p>
    <w:p w:rsidR="00436790" w:rsidRPr="00436790" w:rsidRDefault="00F4356E">
      <w:r w:rsidRPr="00436790">
        <w:t xml:space="preserve">Data collected </w:t>
      </w:r>
      <w:r w:rsidR="00436790" w:rsidRPr="00436790">
        <w:t xml:space="preserve">by SoCalGas </w:t>
      </w:r>
      <w:r w:rsidRPr="00436790">
        <w:t xml:space="preserve">in support of the </w:t>
      </w:r>
      <w:r w:rsidR="00436790" w:rsidRPr="00436790">
        <w:t xml:space="preserve">SB1371 </w:t>
      </w:r>
      <w:r w:rsidRPr="00436790">
        <w:t>submission to the CPUC indicates that a large</w:t>
      </w:r>
      <w:r w:rsidR="00436790" w:rsidRPr="00436790">
        <w:t xml:space="preserve"> amount of fugitive methane leakage may come from Residential, Commercial and Industrial MSA’s.  Utilities may want to evaluate the potential for cost-effective leak reductions from this area. </w:t>
      </w:r>
    </w:p>
    <w:p w:rsidR="00820DF2" w:rsidRDefault="00820DF2"/>
    <w:p w:rsidR="006958E7" w:rsidRDefault="006958E7" w:rsidP="008939B8"/>
    <w:p w:rsidR="006958E7" w:rsidRDefault="006958E7" w:rsidP="008939B8"/>
    <w:p w:rsidR="00F52768" w:rsidRDefault="00F52768" w:rsidP="008939B8">
      <w:r>
        <w:t xml:space="preserve">If you have any questions regarding </w:t>
      </w:r>
      <w:r w:rsidR="00AC7382">
        <w:t xml:space="preserve">this </w:t>
      </w:r>
      <w:r w:rsidR="00154DBB">
        <w:t>submittal</w:t>
      </w:r>
      <w:r w:rsidR="00682A37">
        <w:t>, please</w:t>
      </w:r>
      <w:r>
        <w:t xml:space="preserve"> contact </w:t>
      </w:r>
      <w:r w:rsidR="00AC7382">
        <w:t>_______________</w:t>
      </w:r>
      <w:r>
        <w:t>.</w:t>
      </w:r>
    </w:p>
    <w:p w:rsidR="00F52768" w:rsidRDefault="00F52768"/>
    <w:p w:rsidR="00F52768" w:rsidRDefault="00F52768">
      <w:r>
        <w:t>Sincerely,</w:t>
      </w:r>
    </w:p>
    <w:p w:rsidR="005F3DB5" w:rsidRDefault="005F3DB5">
      <w:pPr>
        <w:rPr>
          <w:rFonts w:ascii="Brush Script MT" w:hAnsi="Brush Script MT"/>
          <w:sz w:val="40"/>
          <w:szCs w:val="40"/>
        </w:rPr>
      </w:pPr>
    </w:p>
    <w:p w:rsidR="005F3DB5" w:rsidRDefault="005F3DB5">
      <w:pPr>
        <w:rPr>
          <w:rFonts w:ascii="Brush Script MT" w:hAnsi="Brush Script MT"/>
          <w:sz w:val="40"/>
          <w:szCs w:val="40"/>
        </w:rPr>
      </w:pPr>
    </w:p>
    <w:p w:rsidR="00F52768" w:rsidRDefault="00F52768"/>
    <w:sectPr w:rsidR="00F52768" w:rsidSect="000A44A3">
      <w:headerReference w:type="default" r:id="rId12"/>
      <w:footerReference w:type="default" r:id="rId13"/>
      <w:type w:val="continuous"/>
      <w:pgSz w:w="12240" w:h="15840" w:code="1"/>
      <w:pgMar w:top="1440" w:right="1080" w:bottom="1440" w:left="1080" w:header="1080" w:footer="432"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C9" w:rsidRDefault="001D46C9">
      <w:r>
        <w:separator/>
      </w:r>
    </w:p>
  </w:endnote>
  <w:endnote w:type="continuationSeparator" w:id="0">
    <w:p w:rsidR="001D46C9" w:rsidRDefault="001D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C9" w:rsidRDefault="001D46C9">
    <w:pPr>
      <w:pStyle w:val="Footer"/>
      <w:jc w:val="both"/>
      <w:rPr>
        <w:rFonts w:ascii="Interstate-Light" w:hAnsi="Interstate-Light"/>
        <w:spacing w:val="-2"/>
        <w:sz w:val="18"/>
      </w:rPr>
    </w:pPr>
  </w:p>
  <w:p w:rsidR="001D46C9" w:rsidRDefault="001D46C9">
    <w:pPr>
      <w:pStyle w:val="Footer"/>
      <w:jc w:val="both"/>
      <w:rPr>
        <w:rFonts w:ascii="Interstate-Light" w:hAnsi="Interstate-Light"/>
        <w:spacing w:val="-2"/>
        <w:sz w:val="18"/>
      </w:rPr>
    </w:pPr>
  </w:p>
  <w:p w:rsidR="001D46C9" w:rsidRDefault="001D46C9">
    <w:pPr>
      <w:pStyle w:val="Footer"/>
      <w:jc w:val="both"/>
      <w:rPr>
        <w:rFonts w:ascii="Interstate-Light" w:hAnsi="Interstate-Light"/>
        <w:spacing w:val="-2"/>
        <w:sz w:val="18"/>
      </w:rPr>
    </w:pPr>
    <w:r>
      <w:rPr>
        <w:rFonts w:ascii="Interstate-Light" w:hAnsi="Interstate-Light"/>
        <w:spacing w:val="-2"/>
        <w:sz w:val="18"/>
      </w:rPr>
      <w:t>Sempra Energy Sales is not the same company as SDG&amp;E or SoCalGas. Sempra Energy Sales is not regulated by the CPUC and you do not have to buy Sempra Energy Sale's products or services to continue to receive quality regulated service from SDG&amp;E or SoCalGas.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C9" w:rsidRDefault="001D4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C9" w:rsidRDefault="001D4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C9" w:rsidRDefault="001D46C9">
      <w:r>
        <w:separator/>
      </w:r>
    </w:p>
  </w:footnote>
  <w:footnote w:type="continuationSeparator" w:id="0">
    <w:p w:rsidR="001D46C9" w:rsidRDefault="001D4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C9" w:rsidRDefault="001D46C9">
    <w:pPr>
      <w:pStyle w:val="Header"/>
      <w:spacing w:after="480"/>
      <w:rPr>
        <w:sz w:val="14"/>
      </w:rPr>
    </w:pPr>
    <w:r>
      <w:rPr>
        <w:sz w:val="14"/>
      </w:rPr>
      <w:t xml:space="preserve">Page </w:t>
    </w:r>
    <w:r>
      <w:rPr>
        <w:sz w:val="14"/>
      </w:rPr>
      <w:fldChar w:fldCharType="begin"/>
    </w:r>
    <w:r>
      <w:rPr>
        <w:sz w:val="14"/>
      </w:rPr>
      <w:instrText xml:space="preserve"> PAGE  \* MERGEFORMAT </w:instrText>
    </w:r>
    <w:r>
      <w:rPr>
        <w:sz w:val="14"/>
      </w:rPr>
      <w:fldChar w:fldCharType="separate"/>
    </w:r>
    <w:r w:rsidR="00D01C50">
      <w:rPr>
        <w:noProof/>
        <w:sz w:val="14"/>
      </w:rPr>
      <w:t>4</w:t>
    </w:r>
    <w:r>
      <w:rPr>
        <w:sz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6D9"/>
    <w:multiLevelType w:val="hybridMultilevel"/>
    <w:tmpl w:val="37A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27D0"/>
    <w:multiLevelType w:val="hybridMultilevel"/>
    <w:tmpl w:val="4596F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E85812"/>
    <w:multiLevelType w:val="hybridMultilevel"/>
    <w:tmpl w:val="C772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F55F9"/>
    <w:multiLevelType w:val="hybridMultilevel"/>
    <w:tmpl w:val="9FCE2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2673C7"/>
    <w:multiLevelType w:val="hybridMultilevel"/>
    <w:tmpl w:val="CADCE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27346"/>
    <w:multiLevelType w:val="hybridMultilevel"/>
    <w:tmpl w:val="45AEB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D82291"/>
    <w:multiLevelType w:val="hybridMultilevel"/>
    <w:tmpl w:val="DA20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95446"/>
    <w:multiLevelType w:val="hybridMultilevel"/>
    <w:tmpl w:val="B77C94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num>
  <w:num w:numId="4">
    <w:abstractNumId w:val="6"/>
  </w:num>
  <w:num w:numId="5">
    <w:abstractNumId w:val="4"/>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68"/>
    <w:rsid w:val="00007781"/>
    <w:rsid w:val="00055BBD"/>
    <w:rsid w:val="00075267"/>
    <w:rsid w:val="000A44A3"/>
    <w:rsid w:val="000C12E2"/>
    <w:rsid w:val="000C687D"/>
    <w:rsid w:val="000D1DFD"/>
    <w:rsid w:val="000E2FD5"/>
    <w:rsid w:val="00136DD3"/>
    <w:rsid w:val="00142CA7"/>
    <w:rsid w:val="00152B6E"/>
    <w:rsid w:val="00154DBB"/>
    <w:rsid w:val="00171531"/>
    <w:rsid w:val="001A135F"/>
    <w:rsid w:val="001A60E3"/>
    <w:rsid w:val="001B6BF6"/>
    <w:rsid w:val="001C33D8"/>
    <w:rsid w:val="001D0EE7"/>
    <w:rsid w:val="001D46C9"/>
    <w:rsid w:val="00204FA2"/>
    <w:rsid w:val="00276202"/>
    <w:rsid w:val="00285B0B"/>
    <w:rsid w:val="002E61B6"/>
    <w:rsid w:val="00333D14"/>
    <w:rsid w:val="0033677A"/>
    <w:rsid w:val="00376995"/>
    <w:rsid w:val="00393D20"/>
    <w:rsid w:val="003C53EA"/>
    <w:rsid w:val="003D0851"/>
    <w:rsid w:val="003F0FD5"/>
    <w:rsid w:val="003F35F2"/>
    <w:rsid w:val="004254FB"/>
    <w:rsid w:val="00431AE8"/>
    <w:rsid w:val="00436790"/>
    <w:rsid w:val="00445C49"/>
    <w:rsid w:val="00445CCD"/>
    <w:rsid w:val="00455530"/>
    <w:rsid w:val="00456C05"/>
    <w:rsid w:val="00466EF3"/>
    <w:rsid w:val="0049517D"/>
    <w:rsid w:val="004A5F19"/>
    <w:rsid w:val="004D6F0C"/>
    <w:rsid w:val="005138BF"/>
    <w:rsid w:val="00535BC8"/>
    <w:rsid w:val="00584D13"/>
    <w:rsid w:val="005A6240"/>
    <w:rsid w:val="005C55B8"/>
    <w:rsid w:val="005C76AF"/>
    <w:rsid w:val="005D13FB"/>
    <w:rsid w:val="005E6892"/>
    <w:rsid w:val="005F3DB5"/>
    <w:rsid w:val="00650E5A"/>
    <w:rsid w:val="00682A37"/>
    <w:rsid w:val="006850EB"/>
    <w:rsid w:val="00693D81"/>
    <w:rsid w:val="006958E7"/>
    <w:rsid w:val="006A0FAD"/>
    <w:rsid w:val="006D3978"/>
    <w:rsid w:val="006E24F9"/>
    <w:rsid w:val="006F084A"/>
    <w:rsid w:val="006F714D"/>
    <w:rsid w:val="00715396"/>
    <w:rsid w:val="0074613C"/>
    <w:rsid w:val="00793876"/>
    <w:rsid w:val="00793F34"/>
    <w:rsid w:val="007A636B"/>
    <w:rsid w:val="007C4276"/>
    <w:rsid w:val="007E3DAE"/>
    <w:rsid w:val="00820DF2"/>
    <w:rsid w:val="0085004A"/>
    <w:rsid w:val="008627A4"/>
    <w:rsid w:val="00864D00"/>
    <w:rsid w:val="00874522"/>
    <w:rsid w:val="0087755E"/>
    <w:rsid w:val="00887F70"/>
    <w:rsid w:val="00891657"/>
    <w:rsid w:val="008939B8"/>
    <w:rsid w:val="00896A72"/>
    <w:rsid w:val="008B0570"/>
    <w:rsid w:val="008B1B52"/>
    <w:rsid w:val="008C68F6"/>
    <w:rsid w:val="008D639E"/>
    <w:rsid w:val="008D7E92"/>
    <w:rsid w:val="009057B9"/>
    <w:rsid w:val="00912C0A"/>
    <w:rsid w:val="00941C89"/>
    <w:rsid w:val="009544E3"/>
    <w:rsid w:val="0096227D"/>
    <w:rsid w:val="00971616"/>
    <w:rsid w:val="00986EE0"/>
    <w:rsid w:val="00990619"/>
    <w:rsid w:val="009B4AA8"/>
    <w:rsid w:val="009E2DA1"/>
    <w:rsid w:val="009E2DDF"/>
    <w:rsid w:val="009F42EF"/>
    <w:rsid w:val="009F4754"/>
    <w:rsid w:val="00A173C2"/>
    <w:rsid w:val="00A2114D"/>
    <w:rsid w:val="00A23CAC"/>
    <w:rsid w:val="00A314A2"/>
    <w:rsid w:val="00A31511"/>
    <w:rsid w:val="00A47B1E"/>
    <w:rsid w:val="00A7011D"/>
    <w:rsid w:val="00AC7382"/>
    <w:rsid w:val="00AF4A6E"/>
    <w:rsid w:val="00AF51D2"/>
    <w:rsid w:val="00BE7DAF"/>
    <w:rsid w:val="00C17010"/>
    <w:rsid w:val="00C479D0"/>
    <w:rsid w:val="00C56EC4"/>
    <w:rsid w:val="00C71D57"/>
    <w:rsid w:val="00C95049"/>
    <w:rsid w:val="00CA7E67"/>
    <w:rsid w:val="00D01C50"/>
    <w:rsid w:val="00D10820"/>
    <w:rsid w:val="00D31D46"/>
    <w:rsid w:val="00D36ECC"/>
    <w:rsid w:val="00D71521"/>
    <w:rsid w:val="00D97EF5"/>
    <w:rsid w:val="00DA59F2"/>
    <w:rsid w:val="00DC0606"/>
    <w:rsid w:val="00DC50BE"/>
    <w:rsid w:val="00DD1439"/>
    <w:rsid w:val="00DE24BB"/>
    <w:rsid w:val="00DF3C56"/>
    <w:rsid w:val="00E064BC"/>
    <w:rsid w:val="00E138CB"/>
    <w:rsid w:val="00E234B1"/>
    <w:rsid w:val="00E30CF7"/>
    <w:rsid w:val="00E6644C"/>
    <w:rsid w:val="00E82523"/>
    <w:rsid w:val="00EA2597"/>
    <w:rsid w:val="00EA48E4"/>
    <w:rsid w:val="00EC4E74"/>
    <w:rsid w:val="00EC6B46"/>
    <w:rsid w:val="00ED278D"/>
    <w:rsid w:val="00EF5163"/>
    <w:rsid w:val="00F063C1"/>
    <w:rsid w:val="00F079F5"/>
    <w:rsid w:val="00F15067"/>
    <w:rsid w:val="00F22761"/>
    <w:rsid w:val="00F4356E"/>
    <w:rsid w:val="00F50E3A"/>
    <w:rsid w:val="00F52768"/>
    <w:rsid w:val="00F73115"/>
    <w:rsid w:val="00F74B4E"/>
    <w:rsid w:val="00FA6C4C"/>
    <w:rsid w:val="00FB4558"/>
    <w:rsid w:val="00FE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EC4"/>
    <w:pPr>
      <w:spacing w:line="280" w:lineRule="exact"/>
    </w:pPr>
    <w:rPr>
      <w:sz w:val="24"/>
    </w:rPr>
  </w:style>
  <w:style w:type="paragraph" w:styleId="Heading1">
    <w:name w:val="heading 1"/>
    <w:basedOn w:val="Normal"/>
    <w:next w:val="Normal"/>
    <w:qFormat/>
    <w:pPr>
      <w:keepNext/>
      <w:tabs>
        <w:tab w:val="left" w:pos="2808"/>
      </w:tabs>
      <w:spacing w:line="180" w:lineRule="exact"/>
      <w:jc w:val="right"/>
      <w:outlineLvl w:val="0"/>
    </w:pPr>
    <w:rPr>
      <w:rFonts w:ascii="Interstate-Light" w:hAnsi="Interstate-Light"/>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ind w:right="2347"/>
    </w:pPr>
    <w:rPr>
      <w:rFonts w:ascii="Interstate-Light" w:hAnsi="Interstate-Light"/>
      <w:b/>
    </w:rPr>
  </w:style>
  <w:style w:type="paragraph" w:styleId="Footer">
    <w:name w:val="footer"/>
    <w:basedOn w:val="Normal"/>
    <w:link w:val="FooterChar"/>
    <w:uiPriority w:val="99"/>
    <w:pPr>
      <w:tabs>
        <w:tab w:val="center" w:pos="4320"/>
        <w:tab w:val="right" w:pos="8640"/>
      </w:tabs>
      <w:spacing w:line="240" w:lineRule="auto"/>
    </w:pPr>
  </w:style>
  <w:style w:type="paragraph" w:customStyle="1" w:styleId="Notations">
    <w:name w:val="Notations"/>
    <w:basedOn w:val="Normal"/>
    <w:next w:val="Normal"/>
    <w:pPr>
      <w:tabs>
        <w:tab w:val="left" w:pos="0"/>
      </w:tabs>
      <w:spacing w:line="240" w:lineRule="auto"/>
      <w:ind w:left="1267" w:hanging="1267"/>
    </w:pPr>
  </w:style>
  <w:style w:type="paragraph" w:styleId="BodyText">
    <w:name w:val="Body Text"/>
    <w:basedOn w:val="Normal"/>
    <w:pPr>
      <w:spacing w:after="120"/>
    </w:pPr>
  </w:style>
  <w:style w:type="paragraph" w:customStyle="1" w:styleId="Space">
    <w:name w:val="Space"/>
    <w:basedOn w:val="Normal"/>
  </w:style>
  <w:style w:type="paragraph" w:customStyle="1" w:styleId="Card">
    <w:name w:val="Card"/>
    <w:basedOn w:val="Normal"/>
    <w:pPr>
      <w:spacing w:line="180" w:lineRule="exact"/>
      <w:ind w:right="115"/>
      <w:jc w:val="right"/>
    </w:pPr>
    <w:rPr>
      <w:sz w:val="14"/>
    </w:rPr>
  </w:style>
  <w:style w:type="paragraph" w:customStyle="1" w:styleId="CopyList">
    <w:name w:val="CopyList"/>
    <w:basedOn w:val="Notations"/>
    <w:next w:val="Normal"/>
    <w:pPr>
      <w:tabs>
        <w:tab w:val="clear" w:pos="0"/>
        <w:tab w:val="left" w:pos="360"/>
      </w:tabs>
      <w:ind w:left="720" w:hanging="720"/>
    </w:pPr>
  </w:style>
  <w:style w:type="paragraph" w:customStyle="1" w:styleId="Enclosures">
    <w:name w:val="Enclosures"/>
    <w:basedOn w:val="Normal"/>
    <w:next w:val="Normal"/>
    <w:pPr>
      <w:tabs>
        <w:tab w:val="left" w:pos="1260"/>
      </w:tabs>
      <w:spacing w:line="240" w:lineRule="auto"/>
      <w:ind w:left="1260" w:hanging="1260"/>
    </w:pPr>
  </w:style>
  <w:style w:type="paragraph" w:customStyle="1" w:styleId="HiddenText">
    <w:name w:val="Hidden Text"/>
    <w:basedOn w:val="Normal"/>
    <w:rPr>
      <w:vanish/>
    </w:rPr>
  </w:style>
  <w:style w:type="paragraph" w:customStyle="1" w:styleId="VisibleText">
    <w:name w:val="Visible Text"/>
    <w:basedOn w:val="HiddenText"/>
    <w:rPr>
      <w:vanish w:val="0"/>
    </w:rPr>
  </w:style>
  <w:style w:type="paragraph" w:customStyle="1" w:styleId="ReferenceLine">
    <w:name w:val="Reference Line"/>
    <w:basedOn w:val="BodyText"/>
    <w:pPr>
      <w:spacing w:line="240" w:lineRule="auto"/>
    </w:pPr>
    <w:rPr>
      <w:sz w:val="20"/>
    </w:rPr>
  </w:style>
  <w:style w:type="paragraph" w:styleId="Salutation">
    <w:name w:val="Salutation"/>
    <w:basedOn w:val="Normal"/>
    <w:next w:val="Normal"/>
    <w:pPr>
      <w:spacing w:line="240" w:lineRule="auto"/>
    </w:pPr>
    <w:rPr>
      <w:sz w:val="20"/>
    </w:rPr>
  </w:style>
  <w:style w:type="character" w:styleId="Hyperlink">
    <w:name w:val="Hyperlink"/>
    <w:basedOn w:val="DefaultParagraphFont"/>
    <w:rsid w:val="00154DBB"/>
    <w:rPr>
      <w:rFonts w:cs="Times New Roman"/>
      <w:color w:val="0000FF"/>
      <w:u w:val="single"/>
    </w:rPr>
  </w:style>
  <w:style w:type="paragraph" w:styleId="BalloonText">
    <w:name w:val="Balloon Text"/>
    <w:basedOn w:val="Normal"/>
    <w:link w:val="BalloonTextChar"/>
    <w:rsid w:val="00DD14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1439"/>
    <w:rPr>
      <w:rFonts w:ascii="Tahoma" w:hAnsi="Tahoma" w:cs="Tahoma"/>
      <w:sz w:val="16"/>
      <w:szCs w:val="16"/>
    </w:rPr>
  </w:style>
  <w:style w:type="paragraph" w:styleId="ListParagraph">
    <w:name w:val="List Paragraph"/>
    <w:basedOn w:val="Normal"/>
    <w:uiPriority w:val="34"/>
    <w:qFormat/>
    <w:rsid w:val="002E61B6"/>
    <w:pPr>
      <w:ind w:left="720"/>
      <w:contextualSpacing/>
    </w:pPr>
  </w:style>
  <w:style w:type="character" w:customStyle="1" w:styleId="FooterChar">
    <w:name w:val="Footer Char"/>
    <w:basedOn w:val="DefaultParagraphFont"/>
    <w:link w:val="Footer"/>
    <w:uiPriority w:val="99"/>
    <w:rsid w:val="00ED278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EC4"/>
    <w:pPr>
      <w:spacing w:line="280" w:lineRule="exact"/>
    </w:pPr>
    <w:rPr>
      <w:sz w:val="24"/>
    </w:rPr>
  </w:style>
  <w:style w:type="paragraph" w:styleId="Heading1">
    <w:name w:val="heading 1"/>
    <w:basedOn w:val="Normal"/>
    <w:next w:val="Normal"/>
    <w:qFormat/>
    <w:pPr>
      <w:keepNext/>
      <w:tabs>
        <w:tab w:val="left" w:pos="2808"/>
      </w:tabs>
      <w:spacing w:line="180" w:lineRule="exact"/>
      <w:jc w:val="right"/>
      <w:outlineLvl w:val="0"/>
    </w:pPr>
    <w:rPr>
      <w:rFonts w:ascii="Interstate-Light" w:hAnsi="Interstate-Light"/>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ind w:right="2347"/>
    </w:pPr>
    <w:rPr>
      <w:rFonts w:ascii="Interstate-Light" w:hAnsi="Interstate-Light"/>
      <w:b/>
    </w:rPr>
  </w:style>
  <w:style w:type="paragraph" w:styleId="Footer">
    <w:name w:val="footer"/>
    <w:basedOn w:val="Normal"/>
    <w:link w:val="FooterChar"/>
    <w:uiPriority w:val="99"/>
    <w:pPr>
      <w:tabs>
        <w:tab w:val="center" w:pos="4320"/>
        <w:tab w:val="right" w:pos="8640"/>
      </w:tabs>
      <w:spacing w:line="240" w:lineRule="auto"/>
    </w:pPr>
  </w:style>
  <w:style w:type="paragraph" w:customStyle="1" w:styleId="Notations">
    <w:name w:val="Notations"/>
    <w:basedOn w:val="Normal"/>
    <w:next w:val="Normal"/>
    <w:pPr>
      <w:tabs>
        <w:tab w:val="left" w:pos="0"/>
      </w:tabs>
      <w:spacing w:line="240" w:lineRule="auto"/>
      <w:ind w:left="1267" w:hanging="1267"/>
    </w:pPr>
  </w:style>
  <w:style w:type="paragraph" w:styleId="BodyText">
    <w:name w:val="Body Text"/>
    <w:basedOn w:val="Normal"/>
    <w:pPr>
      <w:spacing w:after="120"/>
    </w:pPr>
  </w:style>
  <w:style w:type="paragraph" w:customStyle="1" w:styleId="Space">
    <w:name w:val="Space"/>
    <w:basedOn w:val="Normal"/>
  </w:style>
  <w:style w:type="paragraph" w:customStyle="1" w:styleId="Card">
    <w:name w:val="Card"/>
    <w:basedOn w:val="Normal"/>
    <w:pPr>
      <w:spacing w:line="180" w:lineRule="exact"/>
      <w:ind w:right="115"/>
      <w:jc w:val="right"/>
    </w:pPr>
    <w:rPr>
      <w:sz w:val="14"/>
    </w:rPr>
  </w:style>
  <w:style w:type="paragraph" w:customStyle="1" w:styleId="CopyList">
    <w:name w:val="CopyList"/>
    <w:basedOn w:val="Notations"/>
    <w:next w:val="Normal"/>
    <w:pPr>
      <w:tabs>
        <w:tab w:val="clear" w:pos="0"/>
        <w:tab w:val="left" w:pos="360"/>
      </w:tabs>
      <w:ind w:left="720" w:hanging="720"/>
    </w:pPr>
  </w:style>
  <w:style w:type="paragraph" w:customStyle="1" w:styleId="Enclosures">
    <w:name w:val="Enclosures"/>
    <w:basedOn w:val="Normal"/>
    <w:next w:val="Normal"/>
    <w:pPr>
      <w:tabs>
        <w:tab w:val="left" w:pos="1260"/>
      </w:tabs>
      <w:spacing w:line="240" w:lineRule="auto"/>
      <w:ind w:left="1260" w:hanging="1260"/>
    </w:pPr>
  </w:style>
  <w:style w:type="paragraph" w:customStyle="1" w:styleId="HiddenText">
    <w:name w:val="Hidden Text"/>
    <w:basedOn w:val="Normal"/>
    <w:rPr>
      <w:vanish/>
    </w:rPr>
  </w:style>
  <w:style w:type="paragraph" w:customStyle="1" w:styleId="VisibleText">
    <w:name w:val="Visible Text"/>
    <w:basedOn w:val="HiddenText"/>
    <w:rPr>
      <w:vanish w:val="0"/>
    </w:rPr>
  </w:style>
  <w:style w:type="paragraph" w:customStyle="1" w:styleId="ReferenceLine">
    <w:name w:val="Reference Line"/>
    <w:basedOn w:val="BodyText"/>
    <w:pPr>
      <w:spacing w:line="240" w:lineRule="auto"/>
    </w:pPr>
    <w:rPr>
      <w:sz w:val="20"/>
    </w:rPr>
  </w:style>
  <w:style w:type="paragraph" w:styleId="Salutation">
    <w:name w:val="Salutation"/>
    <w:basedOn w:val="Normal"/>
    <w:next w:val="Normal"/>
    <w:pPr>
      <w:spacing w:line="240" w:lineRule="auto"/>
    </w:pPr>
    <w:rPr>
      <w:sz w:val="20"/>
    </w:rPr>
  </w:style>
  <w:style w:type="character" w:styleId="Hyperlink">
    <w:name w:val="Hyperlink"/>
    <w:basedOn w:val="DefaultParagraphFont"/>
    <w:rsid w:val="00154DBB"/>
    <w:rPr>
      <w:rFonts w:cs="Times New Roman"/>
      <w:color w:val="0000FF"/>
      <w:u w:val="single"/>
    </w:rPr>
  </w:style>
  <w:style w:type="paragraph" w:styleId="BalloonText">
    <w:name w:val="Balloon Text"/>
    <w:basedOn w:val="Normal"/>
    <w:link w:val="BalloonTextChar"/>
    <w:rsid w:val="00DD14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1439"/>
    <w:rPr>
      <w:rFonts w:ascii="Tahoma" w:hAnsi="Tahoma" w:cs="Tahoma"/>
      <w:sz w:val="16"/>
      <w:szCs w:val="16"/>
    </w:rPr>
  </w:style>
  <w:style w:type="paragraph" w:styleId="ListParagraph">
    <w:name w:val="List Paragraph"/>
    <w:basedOn w:val="Normal"/>
    <w:uiPriority w:val="34"/>
    <w:qFormat/>
    <w:rsid w:val="002E61B6"/>
    <w:pPr>
      <w:ind w:left="720"/>
      <w:contextualSpacing/>
    </w:pPr>
  </w:style>
  <w:style w:type="character" w:customStyle="1" w:styleId="FooterChar">
    <w:name w:val="Footer Char"/>
    <w:basedOn w:val="DefaultParagraphFont"/>
    <w:link w:val="Footer"/>
    <w:uiPriority w:val="99"/>
    <w:rsid w:val="00ED27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4913">
      <w:bodyDiv w:val="1"/>
      <w:marLeft w:val="0"/>
      <w:marRight w:val="0"/>
      <w:marTop w:val="0"/>
      <w:marBottom w:val="0"/>
      <w:divBdr>
        <w:top w:val="none" w:sz="0" w:space="0" w:color="auto"/>
        <w:left w:val="none" w:sz="0" w:space="0" w:color="auto"/>
        <w:bottom w:val="none" w:sz="0" w:space="0" w:color="auto"/>
        <w:right w:val="none" w:sz="0" w:space="0" w:color="auto"/>
      </w:divBdr>
    </w:div>
    <w:div w:id="660500093">
      <w:bodyDiv w:val="1"/>
      <w:marLeft w:val="0"/>
      <w:marRight w:val="0"/>
      <w:marTop w:val="0"/>
      <w:marBottom w:val="0"/>
      <w:divBdr>
        <w:top w:val="none" w:sz="0" w:space="0" w:color="auto"/>
        <w:left w:val="none" w:sz="0" w:space="0" w:color="auto"/>
        <w:bottom w:val="none" w:sz="0" w:space="0" w:color="auto"/>
        <w:right w:val="none" w:sz="0" w:space="0" w:color="auto"/>
      </w:divBdr>
    </w:div>
    <w:div w:id="750125086">
      <w:bodyDiv w:val="1"/>
      <w:marLeft w:val="0"/>
      <w:marRight w:val="0"/>
      <w:marTop w:val="0"/>
      <w:marBottom w:val="0"/>
      <w:divBdr>
        <w:top w:val="none" w:sz="0" w:space="0" w:color="auto"/>
        <w:left w:val="none" w:sz="0" w:space="0" w:color="auto"/>
        <w:bottom w:val="none" w:sz="0" w:space="0" w:color="auto"/>
        <w:right w:val="none" w:sz="0" w:space="0" w:color="auto"/>
      </w:divBdr>
    </w:div>
    <w:div w:id="14475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tpimf\Local%20Settings\Temporary%20Internet%20Files\OLK15\colo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ADD54-A7EE-47F0-BE6D-5B26B54421F5}"/>
</file>

<file path=customXml/itemProps2.xml><?xml version="1.0" encoding="utf-8"?>
<ds:datastoreItem xmlns:ds="http://schemas.openxmlformats.org/officeDocument/2006/customXml" ds:itemID="{63C71B58-B054-4946-A0A1-8DEE3F6FF6D0}"/>
</file>

<file path=customXml/itemProps3.xml><?xml version="1.0" encoding="utf-8"?>
<ds:datastoreItem xmlns:ds="http://schemas.openxmlformats.org/officeDocument/2006/customXml" ds:itemID="{9E7D34B3-0723-4CA0-A5B0-6B5AADEF183A}"/>
</file>

<file path=customXml/itemProps4.xml><?xml version="1.0" encoding="utf-8"?>
<ds:datastoreItem xmlns:ds="http://schemas.openxmlformats.org/officeDocument/2006/customXml" ds:itemID="{BAB0A303-E012-4617-BD55-FC3611CF745E}"/>
</file>

<file path=docProps/app.xml><?xml version="1.0" encoding="utf-8"?>
<Properties xmlns="http://schemas.openxmlformats.org/officeDocument/2006/extended-properties" xmlns:vt="http://schemas.openxmlformats.org/officeDocument/2006/docPropsVTypes">
  <Template>colorletterhead.dot</Template>
  <TotalTime>6</TotalTime>
  <Pages>5</Pages>
  <Words>1538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Letterhead</vt:lpstr>
    </vt:vector>
  </TitlesOfParts>
  <Company>SDGE</Company>
  <LinksUpToDate>false</LinksUpToDate>
  <CharactersWithSpaces>11084</CharactersWithSpaces>
  <SharedDoc>false</SharedDoc>
  <HLinks>
    <vt:vector size="6" baseType="variant">
      <vt:variant>
        <vt:i4>7405617</vt:i4>
      </vt:variant>
      <vt:variant>
        <vt:i4>0</vt:i4>
      </vt:variant>
      <vt:variant>
        <vt:i4>0</vt:i4>
      </vt:variant>
      <vt:variant>
        <vt:i4>5</vt:i4>
      </vt:variant>
      <vt:variant>
        <vt:lpwstr>http://www.aqmd.gov/prdas/spreadsheets/ICECertList.xls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Letterhead</dc:title>
  <dc:creator>TPIMF</dc:creator>
  <cp:lastModifiedBy>Humphrey, Charles</cp:lastModifiedBy>
  <cp:revision>3</cp:revision>
  <cp:lastPrinted>2015-09-02T21:33:00Z</cp:lastPrinted>
  <dcterms:created xsi:type="dcterms:W3CDTF">2015-10-02T17:27:00Z</dcterms:created>
  <dcterms:modified xsi:type="dcterms:W3CDTF">2015-10-02T17:31:00Z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